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December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81-3789973</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TNYA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On December 11, 2025, Tenaya Therapeutics, Inc. (the “Company”) entered into an underwriting agreement (the “Underwriting Agreement”) with Leerink Partners LLC and Piper Sandler &amp; Co., as representatives (the “Representatives”) of the underwriters listed therein (the “Underwriters”), relating to the issuance and sale in a firm commitment underwritten public offering (the “Offering”) of 50,000,000 units (the “Units”), at a public offering price of $1.20 per Unit, consisting of one share of the Company’s common stock, par value $0.0001 per share (the “Common Stock”, and such shares, the “Shares”) and one warrant to purchase one share of Common Stock at an exercise price of $1.50 per share that is exercisable for a period of five years from the date of issuance (a “Warrant”). Under the terms of the Underwriting Agreement, the Underwriters have agreed to purchase the Units from the Company at a price of $1.128 per share. All of the Units in the Offering are being sold by the Company. The Shares and the Warrants comprising the Units will be immediately separable upon issuance and will be issued separately in the Offering.</w:t>
      </w:r>
    </w:p>
    <w:p>
      <w:pPr>
        <w:spacing w:after="0" w:line="192"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Gross proceeds from the Offering before deducting underwriting discounts and commissions and other offering expenses payable by the Company are expected to be approximately $60 million. The Offering is expected to close on December 15, 2025, subject to the satisfaction of customary closing conditions.</w:t>
      </w:r>
    </w:p>
    <w:p>
      <w:pPr>
        <w:spacing w:after="0" w:line="176"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Offering was made pursuant to the Company’s registration statement on Form S-3 (File No. 333-286005) (the “Registration Statement”), which was filed with the Securities and Exchange Commission (the “SEC”) on March 21, 2025 and declared effective by the SEC on March 31, 2025.</w:t>
      </w:r>
    </w:p>
    <w:p>
      <w:pPr>
        <w:spacing w:after="0" w:line="162"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 in addition, subject to certain exceptions, the Company, its officers and directors and certain other holders of the Common Stock have agreed not to offer, sell, transfer, or otherwise dispose of any shares of Common Stock during the 60-day period following the date of the Underwriting Agreement, without first obtaining the written consent of the Representatives.</w:t>
      </w:r>
    </w:p>
    <w:p>
      <w:pPr>
        <w:spacing w:after="0" w:line="189"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exercise price and the number of shares of Common Stock issuable upon exercise of the Warrants are subject to appropriate adjustments in the event of certain stock dividends and distributions, stock splits, stock combinations, reclassifications or similar events affecting the Common Stock.</w:t>
      </w:r>
    </w:p>
    <w:p>
      <w:pPr>
        <w:ind w:left="4" w:right="220"/>
        <w:spacing w:after="0" w:line="265" w:lineRule="auto"/>
        <w:rPr>
          <w:sz w:val="20"/>
          <w:szCs w:val="20"/>
          <w:color w:val="auto"/>
        </w:rPr>
      </w:pPr>
      <w:r>
        <w:rPr>
          <w:rFonts w:ascii="Times New Roman" w:cs="Times New Roman" w:eastAsia="Times New Roman" w:hAnsi="Times New Roman"/>
          <w:sz w:val="17"/>
          <w:szCs w:val="17"/>
          <w:color w:val="auto"/>
        </w:rPr>
        <w:t>The Warrants will be exercisable on or after the date of issuance until five years from the date of issuance. The Warrants will be exercisable, in the holder’s discretion, by (i) payment in full in immediately available funds for the number of shares of Common Stock purchased upon such exercise or</w:t>
      </w:r>
    </w:p>
    <w:p>
      <w:pPr>
        <w:ind w:left="4" w:right="20" w:hanging="4"/>
        <w:spacing w:after="0" w:line="251"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no effective registration statement registering the shares of Common Stock underlying the Warrants at the time of such exercise, a cashless exercise, in which case the holder would receive upon such exercise the net number of shares of Common Stock determined according to the formula set forth in the applicable Warrant. Under the Warrants, the Company may not effect the exercise of any Warrant, and a holder will not be entitled to exercise any portion of any Warrant that, upon giving effect to such exercise, would cause (a) the aggregate number of shares of Common Stock beneficially owned by such holder (together with its affiliates) to exceed 4.99% or, at the election of the holder prior to the issuance of the Warrant, 9.99% of the total number of shares of Common Stock outstanding immediately after giving effect to the exercise or (b) the combined voting power of the Company’s securities beneficially owned by such holder (together with its affiliates) to exceed 4.99% or, at the election of the holder prior to the issuance of the Warrant, 9.99% of the combined voting power of all of the Company’s securities immediately outstanding after giving effect to the exercise, as such percentage ownership is determined in accordance with the terms of the Warrant, which percentage may be changed at the holder’s election to a higher or lower percentage not in excess of 19.99% (or, at the election of the holder prior to the issuance of such warrant, 9.99%) upon at least 61 days’ notice to the Company.</w:t>
      </w:r>
    </w:p>
    <w:p>
      <w:pPr>
        <w:sectPr>
          <w:pgSz w:w="11900" w:h="16838" w:orient="portrait"/>
          <w:cols w:equalWidth="0" w:num="1">
            <w:col w:w="11004"/>
          </w:cols>
          <w:pgMar w:left="436" w:top="293" w:right="459" w:bottom="1440" w:gutter="0" w:footer="0" w:header="0"/>
        </w:sectPr>
      </w:pPr>
    </w:p>
    <w:bookmarkStart w:id="2" w:name="page3"/>
    <w:bookmarkEnd w:id="2"/>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the event of certain fundamental transactions, a holder of Warrants will be entitled to receive, upon exercise of the Warrants, the kind and amount of securities, cash or other property that such holder would have received had they exercised the Warrants immediately prior to the fundamental transaction without regard to any limitations on exercise contained in the Warrants.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terms of the Underwriting Agreement and the Warrants do not purport to be complete and are each qualified in their entirety by reference to the Underwriting Agreement and the Form of Warrant, respectively, which are filed as Exhibit 1.1 and Exhibit 4.1 hereto and are incorporated herein by reference.</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copy of the opinion of Wilson Sonsini Goodrich &amp; Rosati, P.C. relating to the validity of the Shares, the Warrants, and the shares underlying the Warrants is filed as Exhibit 5.1 hereto and is incorporated by reference into the Registration Statement.</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pricing of the Offering is attached to this Current Report on Form 8-K as Exhibit 99.1.</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reported under Item 7.01 in this Current Report on Form 8-K, and Exhibit 99.1 attached hereto are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regardless of any general incorporation language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of the statements made in this report are forward looking, such as those, among others, relating to the Company’s expectations regarding the size, terms, timing and completion of the Offering and the expected gross proceeds. Actual results or developments may differ materially from those projected or implied in these forward-looking statements. Factors that may cause such a difference include risks and uncertainties related to completion of the Offering on the anticipated terms or at all, market conditions and the satisfaction of customary closing conditions related to the Offering. More information about the risks and uncertainties faced by the Company is contained under the caption “Risk Factors” in the Company’s Quarterly Report on Form 10-Q filed with the SEC on November 10, 2025. The Company disclaims any intention or obligation to update or revise any forward-looking statements, whether as a result of new information, future events or otherwise.</w:t>
      </w:r>
    </w:p>
    <w:p>
      <w:pPr>
        <w:sectPr>
          <w:pgSz w:w="11900" w:h="16838" w:orient="portrait"/>
          <w:cols w:equalWidth="0" w:num="1">
            <w:col w:w="11000"/>
          </w:cols>
          <w:pgMar w:left="440" w:top="297" w:right="459" w:bottom="1440" w:gutter="0" w:footer="0" w:header="0"/>
        </w:sectPr>
      </w:pPr>
    </w:p>
    <w:bookmarkStart w:id="3" w:name="page4"/>
    <w:bookmarkEnd w:id="3"/>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jc w:val="center"/>
        <w:ind w:right="9716"/>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jc w:val="center"/>
        <w:ind w:right="9716"/>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97" w:lineRule="exact"/>
        <w:rPr>
          <w:sz w:val="20"/>
          <w:szCs w:val="20"/>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7"/>
          <w:szCs w:val="17"/>
          <w:u w:val="single" w:color="auto"/>
          <w:color w:val="0000EE"/>
        </w:rPr>
        <w:t>Underwriting Agreement between the Company, Leerink Partners LLC and Piper Sandler &amp; Co., dated as of December 11, 2025.</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7"/>
          <w:szCs w:val="17"/>
          <w:u w:val="single" w:color="auto"/>
          <w:color w:val="0000EE"/>
        </w:rPr>
        <w:t>Form of Warrant.</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Wilson Sonsini Goodrich &amp; Rosati, Professional Corporation.</w:t>
      </w:r>
    </w:p>
    <w:p>
      <w:pPr>
        <w:spacing w:after="0" w:line="129"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EE"/>
        </w:rPr>
        <w:t>Consent of Wilson Sonsini Goodrich &amp; Rosati, Professional Corporation (included with the opinion filed as Exhibit 5.1).</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11, 2025.</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144"/>
          </w:cols>
          <w:pgMar w:left="436" w:top="293" w:right="131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2025</w:t>
      </w:r>
    </w:p>
    <w:p>
      <w:pPr>
        <w:sectPr>
          <w:pgSz w:w="11900" w:h="16838" w:orient="portrait"/>
          <w:cols w:equalWidth="0" w:num="1">
            <w:col w:w="10260"/>
          </w:cols>
          <w:pgMar w:left="440" w:top="293"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 UNITS CONSISTING OF ONE SHARE OF COMMON STOCK AND ONE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ONE SHARE OF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2025</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December 11,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As Representatives of the several Underwriters named in Schedule I hereto</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1301 Avenue of the Americas, 5th Floor</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NY 10019</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350 North 5th Street,</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Minneapolis, MN 55401</w:t>
      </w:r>
    </w:p>
    <w:p>
      <w:pPr>
        <w:spacing w:after="0" w:line="20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Ladies and Gentlemen:</w:t>
      </w:r>
    </w:p>
    <w:p>
      <w:pPr>
        <w:spacing w:after="0" w:line="113"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Tenaya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Leerink Partners LLC (“</w:t>
      </w:r>
      <w:r>
        <w:rPr>
          <w:rFonts w:ascii="Times New Roman" w:cs="Times New Roman" w:eastAsia="Times New Roman" w:hAnsi="Times New Roman"/>
          <w:sz w:val="18"/>
          <w:szCs w:val="18"/>
          <w:b w:val="1"/>
          <w:bCs w:val="1"/>
          <w:color w:val="auto"/>
        </w:rPr>
        <w:t>Leerink Partners</w:t>
      </w:r>
      <w:r>
        <w:rPr>
          <w:rFonts w:ascii="Times New Roman" w:cs="Times New Roman" w:eastAsia="Times New Roman" w:hAnsi="Times New Roman"/>
          <w:sz w:val="18"/>
          <w:szCs w:val="18"/>
          <w:color w:val="auto"/>
        </w:rPr>
        <w:t>”) and Piper Sandler &amp; Co. (“</w:t>
      </w:r>
      <w:r>
        <w:rPr>
          <w:rFonts w:ascii="Times New Roman" w:cs="Times New Roman" w:eastAsia="Times New Roman" w:hAnsi="Times New Roman"/>
          <w:sz w:val="18"/>
          <w:szCs w:val="18"/>
          <w:b w:val="1"/>
          <w:bCs w:val="1"/>
          <w:color w:val="auto"/>
        </w:rPr>
        <w:t>Piper Sandler</w:t>
      </w:r>
      <w:r>
        <w:rPr>
          <w:rFonts w:ascii="Times New Roman" w:cs="Times New Roman" w:eastAsia="Times New Roman" w:hAnsi="Times New Roman"/>
          <w:sz w:val="18"/>
          <w:szCs w:val="18"/>
          <w:color w:val="auto"/>
        </w:rPr>
        <w:t>”) are acting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 aggregate of 50,000,000 units of the Company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each consisting of one (1) share of the Company’s common stock, $0.0001 par value per share (such share,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and one (1) warrant to purchase one (1) share of the Company’s common stock at an exercise price of $1.50 per share which is exercisable for a period of five (5) years from the original issue date (a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No Units will be certificated, and the Shares and the Warrants comprising the Units will be separated immediately upon issuance. The shares of the Company’s common stock to be issued upon exercise of the Warrants are hereinafter referred to as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The Warrants are exercisable at any time on or after their original issuance. The Warrants are subject to adjustment as provided in the form attached hereto as Exhibit B. The shares of common stock, $0.0001 par value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7" w:name="page8"/>
    <w:bookmarkEnd w:id="7"/>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filed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a registration statement on Form S-3 (File No. 333-286005), including a preliminary prospectus supplement, relating to the Shares, the Warrants and the Warrant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is hereinafter referred to as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the prospectus in the form first used to confirm sales of Units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If the Company has filed an abbreviated registration statement to register additional shares of Common Stock pursuant to Rule 462(b) under the Securities Act (a “</w:t>
      </w:r>
      <w:r>
        <w:rPr>
          <w:rFonts w:ascii="Times New Roman" w:cs="Times New Roman" w:eastAsia="Times New Roman" w:hAnsi="Times New Roman"/>
          <w:sz w:val="17"/>
          <w:szCs w:val="17"/>
          <w:b w:val="1"/>
          <w:bCs w:val="1"/>
          <w:color w:val="auto"/>
        </w:rPr>
        <w:t>Rule 462 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Statement</w:t>
      </w:r>
      <w:r>
        <w:rPr>
          <w:rFonts w:ascii="Times New Roman" w:cs="Times New Roman" w:eastAsia="Times New Roman" w:hAnsi="Times New Roman"/>
          <w:sz w:val="17"/>
          <w:szCs w:val="17"/>
          <w:color w:val="auto"/>
        </w:rPr>
        <w:t>”), then any reference herein to the term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shall be deemed to include such Rule 462 Registration Statement.</w:t>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each prospectus used prior to the effectiveness of the Registration Statement, and each prospectus that omitted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Rule 430A under the Securities Act that was used after such effectiveness and prior to the execution and delivery of this Agreement,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Sale Prospectus</w:t>
      </w:r>
      <w:r>
        <w:rPr>
          <w:rFonts w:ascii="Times New Roman" w:cs="Times New Roman" w:eastAsia="Times New Roman" w:hAnsi="Times New Roman"/>
          <w:sz w:val="18"/>
          <w:szCs w:val="18"/>
          <w:color w:val="auto"/>
        </w:rPr>
        <w:t>” means the preliminary prospectus contained in the Registration Statement at the time of its effectiveness together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free writing prospectuses, if any, and pricing information set forth in Schedule 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“supplement,” “amendment” and “amend” as used herein with respect to the Registration Statement, the Time of Sale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 For purposes of this Agreement, except where otherwise expressly provided, the term “affiliate” has the meaning set forth in Rule 405 under the Securities Act.</w:t>
      </w:r>
    </w:p>
    <w:p>
      <w:pPr>
        <w:spacing w:after="0" w:line="192" w:lineRule="exact"/>
        <w:rPr>
          <w:sz w:val="20"/>
          <w:szCs w:val="20"/>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Company represents and warrants to and agrees with each of the Underwriters that:</w:t>
      </w:r>
    </w:p>
    <w:p>
      <w:pPr>
        <w:spacing w:after="0" w:line="119"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0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8" w:name="page9"/>
    <w:bookmarkEnd w:id="8"/>
    <w:p>
      <w:pPr>
        <w:ind w:firstLine="419"/>
        <w:spacing w:after="0" w:line="252"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(iv) the Time of Sale Prospectus does not, and at the time of each sale of the Units in connection with the offering when the Prospectus is not yet available to prospective purchasers and at the Closing Date (as defined in Section 4), the Time of Sale Prospectus, as then amended or supplemented by the Company, if applicable, as of the date of such amendment or supplement,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does not contain and, as amended or supplemented, if applicable, as of the date of such amendment or supplement and as of the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Underwriter Information (as defined in Section 8(b) herein).</w:t>
      </w:r>
    </w:p>
    <w:p>
      <w:pPr>
        <w:spacing w:after="0" w:line="83" w:lineRule="exact"/>
        <w:rPr>
          <w:rFonts w:ascii="Times New Roman" w:cs="Times New Roman" w:eastAsia="Times New Roman" w:hAnsi="Times New Roman"/>
          <w:sz w:val="18"/>
          <w:szCs w:val="18"/>
          <w:color w:val="auto"/>
        </w:rPr>
      </w:pPr>
    </w:p>
    <w:p>
      <w:pPr>
        <w:ind w:right="20" w:firstLine="419"/>
        <w:spacing w:after="0" w:line="254" w:lineRule="auto"/>
        <w:tabs>
          <w:tab w:leader="none" w:pos="6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9" w:name="page10"/>
    <w:bookmarkEnd w:id="9"/>
    <w:p>
      <w:pPr>
        <w:jc w:val="both"/>
        <w:ind w:right="60" w:firstLine="419"/>
        <w:spacing w:after="0" w:line="258"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been duly incorporated,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w:t>
      </w:r>
    </w:p>
    <w:p>
      <w:pPr>
        <w:spacing w:after="0" w:line="75"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subsidiaries as defined under the Securities Act.</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conforms as to legal matters to the description thereof contained in each of the Registration Statement, the Time of Sale Prospectus and the Prospectus.</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outstanding prior to the issuance of the Units have been duly authorized and are validly issued, fully paid and non-assessable.</w:t>
      </w:r>
    </w:p>
    <w:p>
      <w:pPr>
        <w:spacing w:after="0" w:line="53" w:lineRule="exact"/>
        <w:rPr>
          <w:rFonts w:ascii="Times New Roman" w:cs="Times New Roman" w:eastAsia="Times New Roman" w:hAnsi="Times New Roman"/>
          <w:sz w:val="18"/>
          <w:szCs w:val="18"/>
          <w:color w:val="auto"/>
        </w:rPr>
      </w:pPr>
    </w:p>
    <w:p>
      <w:pPr>
        <w:jc w:val="both"/>
        <w:ind w:right="140" w:firstLine="419"/>
        <w:spacing w:after="0" w:line="266" w:lineRule="auto"/>
        <w:tabs>
          <w:tab w:leader="none" w:pos="6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 not otherwise validly waived or satisfied.</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6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have been duly authorized,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reserved for issuance and sale and when issued and paid for, will be validly issued, fully paid</w:t>
      </w:r>
    </w:p>
    <w:p>
      <w:pPr>
        <w:spacing w:after="0" w:line="1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0"/>
          </w:cols>
          <w:pgMar w:left="880" w:top="270" w:right="499" w:bottom="1440" w:gutter="0" w:footer="0" w:header="0"/>
        </w:sectPr>
      </w:pPr>
    </w:p>
    <w:bookmarkStart w:id="10" w:name="page11"/>
    <w:bookmarkEnd w:id="10"/>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non-assessable, and the issuance of the Warrant Shares is not subject to any preemptive or similar rights not otherwise validly waived or satisfied. The Company has irrevocably reserved, and the Company shall continue to reserve and keep available at all times, free of preemptive rights, a sufficient amount of common stock for the purpose of enabling the Company to issue the Warrant Shares.</w:t>
      </w:r>
    </w:p>
    <w:p>
      <w:pPr>
        <w:spacing w:after="0" w:line="68" w:lineRule="exact"/>
        <w:rPr>
          <w:sz w:val="20"/>
          <w:szCs w:val="20"/>
          <w:color w:val="auto"/>
        </w:rPr>
      </w:pPr>
    </w:p>
    <w:p>
      <w:pPr>
        <w:ind w:right="40" w:firstLine="419"/>
        <w:spacing w:after="0" w:line="254"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that is material to the Company, or (iv) any judgment, order or decree of any governmental body, agency or court having jurisdiction over the Company, except, in the cases of clauses (i), (iii) and (iv), as would not, individually or in the aggregate, reasonably be expected to have a material adverse effect on the Company,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Units or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right="340" w:firstLine="419"/>
        <w:spacing w:after="0" w:line="312" w:lineRule="auto"/>
        <w:tabs>
          <w:tab w:leader="none" w:pos="63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not occurred any material adverse change, or any development involving a prospective material adverse change, in the condition, financial or otherwise, or in the earnings, business or operations of the Company, from that set forth in the Time of Sale Prospectus.</w:t>
      </w:r>
    </w:p>
    <w:p>
      <w:pPr>
        <w:spacing w:after="0" w:line="31" w:lineRule="exact"/>
        <w:rPr>
          <w:rFonts w:ascii="Times New Roman" w:cs="Times New Roman" w:eastAsia="Times New Roman" w:hAnsi="Times New Roman"/>
          <w:sz w:val="17"/>
          <w:szCs w:val="17"/>
          <w:color w:val="auto"/>
        </w:rPr>
      </w:pPr>
    </w:p>
    <w:p>
      <w:pPr>
        <w:ind w:firstLine="419"/>
        <w:spacing w:after="0" w:line="254" w:lineRule="auto"/>
        <w:tabs>
          <w:tab w:leader="none" w:pos="7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Company, threatened to which the Company is a party or to which any of the properties of the Company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or on the performance by the Company of its obligations under this Agreement or to consummate the transactions contemplated by the Time of Sale Prospectus or (ii)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w:t>
      </w:r>
    </w:p>
    <w:p>
      <w:pPr>
        <w:spacing w:after="0" w:line="83"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80" w:top="270" w:right="439" w:bottom="1440" w:gutter="0" w:footer="0" w:header="0"/>
        </w:sectPr>
      </w:pPr>
    </w:p>
    <w:bookmarkStart w:id="11" w:name="page12"/>
    <w:bookmarkEnd w:id="11"/>
    <w:p>
      <w:pPr>
        <w:ind w:right="20" w:firstLine="419"/>
        <w:spacing w:after="0" w:line="266"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and after giving effect to the offering and sale of the Units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right="60" w:firstLine="419"/>
        <w:spacing w:after="0" w:line="274" w:lineRule="auto"/>
        <w:tabs>
          <w:tab w:leader="none" w:pos="67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7"/>
          <w:szCs w:val="17"/>
          <w:b w:val="1"/>
          <w:bCs w:val="1"/>
          <w:color w:val="auto"/>
        </w:rPr>
        <w:t>Environmental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Laws</w:t>
      </w:r>
      <w:r>
        <w:rPr>
          <w:rFonts w:ascii="Times New Roman" w:cs="Times New Roman" w:eastAsia="Times New Roman" w:hAnsi="Times New Roman"/>
          <w:sz w:val="17"/>
          <w:szCs w:val="17"/>
          <w:color w:val="auto"/>
        </w:rPr>
        <w:t>”), (ii) has received all permits, licenses or other approvals required of them under applicable Environmental Laws to conduct its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businesses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w:t>
      </w:r>
    </w:p>
    <w:p>
      <w:pPr>
        <w:spacing w:after="0" w:line="64" w:lineRule="exact"/>
        <w:rPr>
          <w:rFonts w:ascii="Times New Roman" w:cs="Times New Roman" w:eastAsia="Times New Roman" w:hAnsi="Times New Roman"/>
          <w:sz w:val="17"/>
          <w:szCs w:val="17"/>
          <w:color w:val="auto"/>
        </w:rPr>
      </w:pPr>
    </w:p>
    <w:p>
      <w:pPr>
        <w:jc w:val="both"/>
        <w:ind w:right="40" w:firstLine="419"/>
        <w:spacing w:after="0" w:line="261"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 except those contracts, agreements and understandings described in the Time of Sale Prospectus and the Prospectus, all of which have been validly waived in connection with the issuance and sale of the Units contemplated hereby.</w:t>
      </w:r>
    </w:p>
    <w:p>
      <w:pPr>
        <w:spacing w:after="0" w:line="75" w:lineRule="exact"/>
        <w:rPr>
          <w:rFonts w:ascii="Times New Roman" w:cs="Times New Roman" w:eastAsia="Times New Roman" w:hAnsi="Times New Roman"/>
          <w:sz w:val="18"/>
          <w:szCs w:val="18"/>
          <w:color w:val="auto"/>
        </w:rPr>
      </w:pPr>
    </w:p>
    <w:p>
      <w:pPr>
        <w:ind w:right="40" w:firstLine="419"/>
        <w:spacing w:after="0" w:line="258" w:lineRule="auto"/>
        <w:tabs>
          <w:tab w:leader="none" w:pos="6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any of its controlled affiliates, or any director, officer, or key employee thereof who is named in the Time of Sale Prospectus, or, to the Company’s knowledge, any non-controlled affiliates, or any other employee, agent or representative of the Company or any of its subsidiaries or any of its controlled affiliates, has taken or will take any action in furtherance of an offer, payment, promise to pay, or authorization or approval of the payment, giving or receipt of money, property, gifts or anything else of value, directly or indirectly, to any government official</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2" w:name="page13"/>
    <w:bookmarkEnd w:id="1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each of its subsidiaries, if any, and each of its controlled affiliates, and to the Company’s knowledge, each of its non-controlled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80" w:lineRule="exact"/>
        <w:rPr>
          <w:sz w:val="20"/>
          <w:szCs w:val="20"/>
          <w:color w:val="auto"/>
        </w:rPr>
      </w:pPr>
    </w:p>
    <w:p>
      <w:pPr>
        <w:ind w:right="20" w:firstLine="419"/>
        <w:spacing w:after="0" w:line="254" w:lineRule="auto"/>
        <w:tabs>
          <w:tab w:leader="none" w:pos="6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each of its subsidiaries, if 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if any,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83" w:lineRule="exact"/>
        <w:rPr>
          <w:rFonts w:ascii="Times New Roman" w:cs="Times New Roman" w:eastAsia="Times New Roman" w:hAnsi="Times New Roman"/>
          <w:sz w:val="18"/>
          <w:szCs w:val="18"/>
          <w:color w:val="auto"/>
        </w:rPr>
      </w:pPr>
    </w:p>
    <w:p>
      <w:pPr>
        <w:ind w:right="20" w:firstLine="419"/>
        <w:spacing w:after="0" w:line="266"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key employee thereof who is named in the Time of Sale Prospectus, or, to the Company’s knowledge, any other employee,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80" w:right="220" w:firstLine="391"/>
        <w:spacing w:after="0" w:line="266" w:lineRule="auto"/>
        <w:tabs>
          <w:tab w:leader="none" w:pos="165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660" w:hanging="289"/>
        <w:spacing w:after="0"/>
        <w:tabs>
          <w:tab w:leader="none" w:pos="1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the</w:t>
      </w:r>
    </w:p>
    <w:p>
      <w:pPr>
        <w:spacing w:after="0" w:line="27" w:lineRule="exact"/>
        <w:rPr>
          <w:sz w:val="20"/>
          <w:szCs w:val="20"/>
          <w:color w:val="auto"/>
        </w:rPr>
      </w:pPr>
    </w:p>
    <w:p>
      <w:pPr>
        <w:jc w:val="both"/>
        <w:ind w:left="980" w:right="80"/>
        <w:spacing w:after="0" w:line="255" w:lineRule="auto"/>
        <w:rPr>
          <w:sz w:val="20"/>
          <w:szCs w:val="20"/>
          <w:color w:val="auto"/>
        </w:rPr>
      </w:pPr>
      <w:r>
        <w:rPr>
          <w:rFonts w:ascii="Times New Roman" w:cs="Times New Roman" w:eastAsia="Times New Roman" w:hAnsi="Times New Roman"/>
          <w:sz w:val="18"/>
          <w:szCs w:val="18"/>
          <w:color w:val="auto"/>
        </w:rPr>
        <w:t>so-called Donetsk People’s Republic and so-called Luhansk People’s Republic or any other regions of Ukraine as may be identified by the Secretary of the Treasury, in consultation with the Secretary of State, pursuant to Executive Order 14065, the Crimea Region of Ukraine, Cuba, Iran, North Korea and Syria).</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13" w:name="page14"/>
    <w:bookmarkEnd w:id="13"/>
    <w:p>
      <w:pPr>
        <w:ind w:left="540" w:right="300" w:firstLine="408"/>
        <w:spacing w:after="0" w:line="282" w:lineRule="auto"/>
        <w:tabs>
          <w:tab w:leader="none" w:pos="12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80" w:right="200" w:firstLine="391"/>
        <w:spacing w:after="0" w:line="282" w:lineRule="auto"/>
        <w:tabs>
          <w:tab w:leader="none" w:pos="1658"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980" w:right="320" w:firstLine="391"/>
        <w:spacing w:after="0" w:line="282" w:lineRule="auto"/>
        <w:tabs>
          <w:tab w:leader="none" w:pos="1648"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left="540" w:right="40" w:firstLine="408"/>
        <w:spacing w:after="0" w:line="266" w:lineRule="auto"/>
        <w:tabs>
          <w:tab w:leader="none" w:pos="12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five years, the Company and each of its subsidiaries, if any,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 (ii) the Company has not purchased any of its outstanding capital stock, other than from employees or other service providers in connection with such person’s termination of service from the Company pursuant to the existing terms of the agreements or equity compensation plans described in the Time of Sale Prospectus or in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or conversion of equity awards, warrants or convertible notes or loans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Time of Sale Prospectus), short-term debt or long-term debt of the Company, except in each case as described in each of the Registration Statement, the Time of Sale Prospectus and the Prospectus.</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14" w:name="page15"/>
    <w:bookmarkEnd w:id="14"/>
    <w:p>
      <w:pPr>
        <w:ind w:left="4" w:firstLine="419"/>
        <w:spacing w:after="0" w:line="255" w:lineRule="auto"/>
        <w:tabs>
          <w:tab w:leader="none" w:pos="72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does not own any real property. Except as disclosed in the Registration Statement, the Time of Sale Prospectus and the Prospectus, the Company has good and marketable title to all personal property (excluding intellectual property) owned by it which is material to the business of the Company, in each case free and clear of all liens, encumbrances and defects except such as do not materially affect the value of such property and do not interfere in any material respect with the use made and proposed to be made of such property by the Company; and any real property and buildings held under lease by the Company is held by it under valid, subsisting and, to the knowledge of the Company, enforceable leases with such exceptions as are not material and do not materially interfere with the use made and proposed to be made of such property and buildings by the Company.</w:t>
      </w:r>
    </w:p>
    <w:p>
      <w:pPr>
        <w:spacing w:after="0" w:line="80" w:lineRule="exact"/>
        <w:rPr>
          <w:rFonts w:ascii="Times New Roman" w:cs="Times New Roman" w:eastAsia="Times New Roman" w:hAnsi="Times New Roman"/>
          <w:sz w:val="18"/>
          <w:szCs w:val="18"/>
          <w:color w:val="auto"/>
        </w:rPr>
      </w:pPr>
    </w:p>
    <w:p>
      <w:pPr>
        <w:ind w:left="4" w:firstLine="419"/>
        <w:spacing w:after="0" w:line="266" w:lineRule="auto"/>
        <w:tabs>
          <w:tab w:leader="none" w:pos="68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set forth in the Registration Statement, the Prospectus or the Time of Sale Prospectus, or as would not, singly or in the aggregate, reasonably be expected to have a material adverse effect on the Company: (i) the Company owns or has a valid and enforceable right or license to use, all patents, inventions, copyrights, know how (including trade secrets and other unpatented and/or unpatentable proprietary or confidential information, systems or procedures), software, domain names, trademarks, service marks, trade names, logos and any and all other worldwide intellectual property and proprietary rights (including all registrations and applications for, and all goodwill associated with, any of the foregoing) (collectively, “</w:t>
      </w:r>
      <w:r>
        <w:rPr>
          <w:rFonts w:ascii="Times New Roman" w:cs="Times New Roman" w:eastAsia="Times New Roman" w:hAnsi="Times New Roman"/>
          <w:sz w:val="17"/>
          <w:szCs w:val="17"/>
          <w:b w:val="1"/>
          <w:bCs w:val="1"/>
          <w:color w:val="auto"/>
        </w:rPr>
        <w:t>Intellectual Property Rights</w:t>
      </w:r>
      <w:r>
        <w:rPr>
          <w:rFonts w:ascii="Times New Roman" w:cs="Times New Roman" w:eastAsia="Times New Roman" w:hAnsi="Times New Roman"/>
          <w:sz w:val="17"/>
          <w:szCs w:val="17"/>
          <w:color w:val="auto"/>
        </w:rPr>
        <w:t>”) used in, or reasonably necessary or expected to be material to the conduct of, its business as currently conducted and as proposed to be conducted, in each case as such business is described in the Registration Statement, the Prospectus, and the Time of Sale Prospectus; (ii) to the Company’s knowledge, the Intellectual Property Rights owned by and exclusively licensed to the Company, are valid, subsisting and enforceable; (iii) no Intellectual Property Rights owned by the Company and, to the Company’s knowledge, no Intellectual Property Rights licensed to the Company, have been held invalid or unenforceable by a final decision of a court or other governmental agency of competent jurisdiction which is unappealable or unappealed within the time allowed for appeal; (iv) all Intellectual Property Rights owned by the Company are owned free and clear of all liens and encumbrances, except such non-exclusive rights and licenses as are granted to third parties (including CROs and other vendors) in the ordinary course of business; (v) to the Company’s knowledge, there are no defects in any of the patents or patent applications within the Intellectual Property Rights owned by and exclusively licensed to the Company;</w:t>
      </w:r>
    </w:p>
    <w:p>
      <w:pPr>
        <w:spacing w:after="0" w:line="9" w:lineRule="exact"/>
        <w:rPr>
          <w:rFonts w:ascii="Times New Roman" w:cs="Times New Roman" w:eastAsia="Times New Roman" w:hAnsi="Times New Roman"/>
          <w:sz w:val="17"/>
          <w:szCs w:val="17"/>
          <w:color w:val="auto"/>
        </w:rPr>
      </w:pPr>
    </w:p>
    <w:p>
      <w:pPr>
        <w:ind w:left="4" w:right="40" w:hanging="4"/>
        <w:spacing w:after="0" w:line="252" w:lineRule="auto"/>
        <w:tabs>
          <w:tab w:leader="none" w:pos="3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Company’s knowledge, threatened (in writing) action, suit, proceeding or claim by others, and the Company has not received any written notice, (A) challenging the Company’s rights in or to any Intellectual Property Rights, (B) challenging the validity, scope or enforceability of any Intellectual Property Rights owned by or exclusively licensed to the Company, or (C) alleging any infringement, misappropriation or other violation by the Company of any Intellectual Property Rights of others, and in each case, the Company is unaware of any facts which the Company reasonably believes would form a reasonable basis for any such action, suit, proceeding or claim; (vii) to the Company’s knowledge, there is no infringement, misappropriation or other violation, and there has been no infringement, misappropriation or other violation, by third</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4"/>
          </w:cols>
          <w:pgMar w:left="876" w:top="270" w:right="47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parties of any of the Company’s Intellectual Property Rights, whether owned by, or licensed to, the Company; (viii) to the Company’s knowledge, the Company and the conduct of its business does not infringe, misappropriate or otherwise violate, and has not infringed, misappropriated or otherwise violated, any Intellectual Property Rights of others; (ix) the Company has taken reasonable steps necessary to secure its interests in the Intellectual Property Rights by requiring the execution of appropriate confidentiality and invention assignment agreements from the Company’s current and former employees or contractors engaged in or formerly engaged in the development of Intellectual Property Rights for or on behalf of the Company, and to the Company’s knowledge no such agreement has been breached or violated; and (x) the Company uses, and has used, commercially reasonable efforts in accordance with customary industry practice to appropriately maintain the confidentiality of all confidential information of the Company and all information intended by the Company to be maintained as a trade secret and no such information has been disclosed other than pursuant to written confidentiality agreements.</w:t>
      </w:r>
    </w:p>
    <w:p>
      <w:pPr>
        <w:spacing w:after="0" w:line="80" w:lineRule="exact"/>
        <w:rPr>
          <w:sz w:val="20"/>
          <w:szCs w:val="20"/>
          <w:color w:val="auto"/>
        </w:rPr>
      </w:pPr>
    </w:p>
    <w:p>
      <w:pPr>
        <w:ind w:right="20" w:firstLine="419"/>
        <w:spacing w:after="0" w:line="253"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singly or in the aggregate, reasonably be expected to have a material adverse effect on the Company, and except as disclosed in the Registration Statement, the Time of Sale Prospectus and the Prospectus, the Company has complied and is presently in compliance with all of its internal and external privacy policies, its privacy- and data protection-related contractual obligations, applicable laws, binding industry standards, statutes, binding rules, regulations, judgments and orders of any court or arbitrator or other governmental or regulatory authority, and any other legal obligations, in each case, relating to the collection, use, transfer, import, export, storage, protection, security, disposal, disclosure and other processing by or on behalf of the Company of personal, personally identifiable, household (in the case of household data, to the extent “Personal Information” under the California Consumer Privacy Act), sensitive or regulated information or data (“</w:t>
      </w:r>
      <w:r>
        <w:rPr>
          <w:rFonts w:ascii="Times New Roman" w:cs="Times New Roman" w:eastAsia="Times New Roman" w:hAnsi="Times New Roman"/>
          <w:sz w:val="18"/>
          <w:szCs w:val="18"/>
          <w:b w:val="1"/>
          <w:bCs w:val="1"/>
          <w:color w:val="auto"/>
        </w:rPr>
        <w:t>Data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and such information and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has not received any written notification of or written complaint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and is unaware of any other facts that the Company reasonably believes would indicate, its non-compliance with any Data Security Obligation; and (iii) there is no action, suit, proceeding or claim by or before any court or governmental agency, authority or body pending or, to the Company’s knowledge, threatened in writing against the Company alleging non-compliance with any Data Security Obligation.</w:t>
      </w:r>
    </w:p>
    <w:p>
      <w:pPr>
        <w:spacing w:after="0" w:line="83" w:lineRule="exact"/>
        <w:rPr>
          <w:rFonts w:ascii="Times New Roman" w:cs="Times New Roman" w:eastAsia="Times New Roman" w:hAnsi="Times New Roman"/>
          <w:sz w:val="18"/>
          <w:szCs w:val="18"/>
          <w:color w:val="auto"/>
        </w:rPr>
      </w:pPr>
    </w:p>
    <w:p>
      <w:pPr>
        <w:jc w:val="both"/>
        <w:ind w:right="280" w:firstLine="419"/>
        <w:spacing w:after="0" w:line="258" w:lineRule="auto"/>
        <w:tabs>
          <w:tab w:leader="none" w:pos="6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singly or in the aggregate, reasonably be expected to have a material adverse effect on the Company (i) the Company has established, implemented and maintain technical and organizational measures reasonably designed to protect its information technology systems, assets, equipment, computers, systems, websites, networks, hardware, and associated software, applications and databases used in connection with the operation of the Company’s business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and Data; (ii) the Company has used reasonable efforts to implement, establish and maintain, and have established, implemented and maintained, and complied with, reasonable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6" w:name="page17"/>
    <w:bookmarkEnd w:id="1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technology, information security, cybersecurity and data protection controls, policies and procedures designed to maintain and protect the integrity, redundancy and security of all IT Systems and Data and to protect against and prevent security breaches and incidents resulting in destruction, loss, unauthorized distribution, use, access, disablement, misappropriation or modification, outages, or other compromise or misuse of any IT Systems or Data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(iii) to the knowledge of the Company, there has been no such Breach, and the Company has not been notified in writing of and has no knowledge of any event or condition that would reasonably be expected to result in, any such Breach; and (iv) the IT Systems are adequate in capacity and operation for, and operate and perform in all material respects as required in connection with the operation of the business of the Company and, to the knowledge of the Company, are free and clear of all bugs, errors, defects, Trojan horses, time bombs, malware and other corruptants or malicious code.</w:t>
      </w:r>
    </w:p>
    <w:p>
      <w:pPr>
        <w:spacing w:after="0" w:line="84" w:lineRule="exact"/>
        <w:rPr>
          <w:sz w:val="20"/>
          <w:szCs w:val="20"/>
          <w:color w:val="auto"/>
        </w:rPr>
      </w:pPr>
    </w:p>
    <w:p>
      <w:pPr>
        <w:ind w:right="60" w:firstLine="419"/>
        <w:spacing w:after="0" w:line="266" w:lineRule="auto"/>
        <w:tabs>
          <w:tab w:leader="none" w:pos="7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exists, or, to the knowledge of the Company, is imminent; and the Company is not aware of any existing, threatened or imminent labor disturbance by the employees of any of its principal suppliers, manufacturers or contractors that could, singly or in the aggregate, reasonably be expected to have a material adverse effect on the Company.</w:t>
      </w:r>
    </w:p>
    <w:p>
      <w:pPr>
        <w:spacing w:after="0" w:line="67" w:lineRule="exact"/>
        <w:rPr>
          <w:rFonts w:ascii="Times New Roman" w:cs="Times New Roman" w:eastAsia="Times New Roman" w:hAnsi="Times New Roman"/>
          <w:sz w:val="18"/>
          <w:szCs w:val="18"/>
          <w:color w:val="auto"/>
        </w:rPr>
      </w:pPr>
    </w:p>
    <w:p>
      <w:pPr>
        <w:ind w:right="160" w:firstLine="419"/>
        <w:spacing w:after="0" w:line="258"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insured by insurers of recognized financial responsibility against such losses and risks and in such amounts as in the Company’s reasonable judgment are prudent and customary in the businesses in which they are engaged;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have a material adverse effect on the Company.</w:t>
      </w:r>
    </w:p>
    <w:p>
      <w:pPr>
        <w:spacing w:after="0" w:line="75" w:lineRule="exact"/>
        <w:rPr>
          <w:rFonts w:ascii="Times New Roman" w:cs="Times New Roman" w:eastAsia="Times New Roman" w:hAnsi="Times New Roman"/>
          <w:sz w:val="18"/>
          <w:szCs w:val="18"/>
          <w:color w:val="auto"/>
        </w:rPr>
      </w:pPr>
    </w:p>
    <w:p>
      <w:pPr>
        <w:ind w:firstLine="419"/>
        <w:spacing w:after="0" w:line="254" w:lineRule="auto"/>
        <w:tabs>
          <w:tab w:leader="none" w:pos="7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or incorporated by reference in each of the Registration Statement, the Time of Sale Prospectus and the Prospectus, together with the related schedules and notes thereto, comply as to form in all material respects with the applicable requirements of the Securities Act and present fairly in all material respects the financial position of the Company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or incorporated by reference in each of the Registration Statement, the Time of Sale Prospectus and the Prospectus has been derived from the accounting records of the Company and presents fairly in all material respects the information shown thereby.</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7" w:name="page18"/>
    <w:bookmarkEnd w:id="17"/>
    <w:p>
      <w:pPr>
        <w:ind w:firstLine="419"/>
        <w:spacing w:after="0" w:line="261"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statistical, industry-related and market-related data included or incorporated by reference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and, to the extent required, the Company has obtained the written consent to the use of such data from such sources.</w:t>
      </w:r>
    </w:p>
    <w:p>
      <w:pPr>
        <w:spacing w:after="0" w:line="71" w:lineRule="exact"/>
        <w:rPr>
          <w:rFonts w:ascii="Times New Roman" w:cs="Times New Roman" w:eastAsia="Times New Roman" w:hAnsi="Times New Roman"/>
          <w:sz w:val="18"/>
          <w:szCs w:val="18"/>
          <w:color w:val="auto"/>
        </w:rPr>
      </w:pPr>
    </w:p>
    <w:p>
      <w:pPr>
        <w:ind w:right="220" w:firstLine="419"/>
        <w:spacing w:after="0" w:line="258" w:lineRule="auto"/>
        <w:tabs>
          <w:tab w:leader="none" w:pos="7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&amp; Touche LLP, who has certified certain financial statements of the Company and delivered its report with respect to the audited financial statements and schedules filed with the Commission as part of the Registration Statement and included or incorporated by reference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75" w:lineRule="exact"/>
        <w:rPr>
          <w:rFonts w:ascii="Times New Roman" w:cs="Times New Roman" w:eastAsia="Times New Roman" w:hAnsi="Times New Roman"/>
          <w:sz w:val="18"/>
          <w:szCs w:val="18"/>
          <w:color w:val="auto"/>
        </w:rPr>
      </w:pPr>
    </w:p>
    <w:p>
      <w:pPr>
        <w:ind w:right="80" w:firstLine="419"/>
        <w:spacing w:after="0" w:line="254" w:lineRule="auto"/>
        <w:tabs>
          <w:tab w:leader="none" w:pos="7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80" w:lineRule="exact"/>
        <w:rPr>
          <w:rFonts w:ascii="Times New Roman" w:cs="Times New Roman" w:eastAsia="Times New Roman" w:hAnsi="Times New Roman"/>
          <w:sz w:val="18"/>
          <w:szCs w:val="18"/>
          <w:color w:val="auto"/>
        </w:rPr>
      </w:pPr>
    </w:p>
    <w:p>
      <w:pPr>
        <w:ind w:right="120" w:firstLine="419"/>
        <w:spacing w:after="0" w:line="261"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or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71" w:lineRule="exact"/>
        <w:rPr>
          <w:rFonts w:ascii="Times New Roman" w:cs="Times New Roman" w:eastAsia="Times New Roman" w:hAnsi="Times New Roman"/>
          <w:sz w:val="18"/>
          <w:szCs w:val="18"/>
          <w:color w:val="auto"/>
        </w:rPr>
      </w:pPr>
    </w:p>
    <w:p>
      <w:pPr>
        <w:ind w:right="100" w:firstLine="419"/>
        <w:spacing w:after="0" w:line="266"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United States federal, state, local and foreign tax returns required to be filed through the date of this Agreement or have requested extensions thereof (except where the failure to file would not, singly or in the aggregate, reasonably be expected to have a material adverse effect on the</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20"/>
          </w:cols>
          <w:pgMar w:left="880" w:top="270" w:right="499" w:bottom="1440" w:gutter="0" w:footer="0" w:header="0"/>
        </w:sectPr>
      </w:pPr>
    </w:p>
    <w:bookmarkStart w:id="18" w:name="page19"/>
    <w:bookmarkEnd w:id="1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and has paid all taxes required to be paid thereon (except for cases in which the failure to file or pay would not, singly or in the aggregate, reasonably be expected to have a material adverse effect on the Company, or, except as currently being contested in good faith and by appropriate proceedings and for which reserves required by GAAP have been created and maintained in the financial statements of the Company), and no tax deficiency has been determined adversely to the Company which, singly or in the aggregate, has had (nor does the Company have any notice or knowledge of any tax deficiency which could reasonably be expected to be determined adversely to the Company and which could reasonably be expected to have) a material adverse effect on the Company.</w:t>
      </w:r>
    </w:p>
    <w:p>
      <w:pPr>
        <w:spacing w:after="0" w:line="79" w:lineRule="exact"/>
        <w:rPr>
          <w:sz w:val="20"/>
          <w:szCs w:val="20"/>
          <w:color w:val="auto"/>
        </w:rPr>
      </w:pPr>
    </w:p>
    <w:p>
      <w:pPr>
        <w:ind w:right="80" w:firstLine="419"/>
        <w:spacing w:after="0" w:line="266" w:lineRule="auto"/>
        <w:tabs>
          <w:tab w:leader="none" w:pos="6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right="240" w:firstLine="419"/>
        <w:spacing w:after="0" w:line="266" w:lineRule="auto"/>
        <w:tabs>
          <w:tab w:leader="none" w:pos="6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Company’s Registration Statement on Form S-1 (File No. 333-257820) to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60" w:firstLine="419"/>
        <w:spacing w:after="0" w:line="256" w:lineRule="auto"/>
        <w:tabs>
          <w:tab w:leader="none" w:pos="7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alone engaged in any Testing-the-Waters Communication with any person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III hereto.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Rule 163B of the Securities Act.</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Units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or on behalf of the Representatives for use therein it being understood and agreed that the only such information furnished by the Underwriters through the Representatives consists of the information described as such in Section 8(b) below.</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19" w:name="page20"/>
    <w:bookmarkEnd w:id="19"/>
    <w:p>
      <w:pPr>
        <w:ind w:firstLine="419"/>
        <w:spacing w:after="0" w:line="282" w:lineRule="auto"/>
        <w:tabs>
          <w:tab w:leader="none" w:pos="8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had any securities rated by any “nationally recognized statistical rating organization,” as such term is defined in Section 3(a)(62) of the Exchange Act.</w:t>
      </w:r>
    </w:p>
    <w:p>
      <w:pPr>
        <w:spacing w:after="0" w:line="53" w:lineRule="exact"/>
        <w:rPr>
          <w:rFonts w:ascii="Times New Roman" w:cs="Times New Roman" w:eastAsia="Times New Roman" w:hAnsi="Times New Roman"/>
          <w:sz w:val="18"/>
          <w:szCs w:val="18"/>
          <w:color w:val="auto"/>
        </w:rPr>
      </w:pPr>
    </w:p>
    <w:p>
      <w:pPr>
        <w:jc w:val="both"/>
        <w:ind w:right="360" w:firstLine="419"/>
        <w:spacing w:after="0" w:line="266"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operated at all times and is currently in compliance in all material respects with all applicable statutes, rules and regulations of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comparable U.S. and foreign regulatory authorities to which they are subject, including the European Medicines Agency (collectively, the “</w:t>
      </w:r>
      <w:r>
        <w:rPr>
          <w:rFonts w:ascii="Times New Roman" w:cs="Times New Roman" w:eastAsia="Times New Roman" w:hAnsi="Times New Roman"/>
          <w:sz w:val="18"/>
          <w:szCs w:val="18"/>
          <w:b w:val="1"/>
          <w:bCs w:val="1"/>
          <w:color w:val="auto"/>
        </w:rPr>
        <w:t>Regulatory Authorities</w:t>
      </w:r>
      <w:r>
        <w:rPr>
          <w:rFonts w:ascii="Times New Roman" w:cs="Times New Roman" w:eastAsia="Times New Roman" w:hAnsi="Times New Roman"/>
          <w:sz w:val="18"/>
          <w:szCs w:val="18"/>
          <w:color w:val="auto"/>
        </w:rPr>
        <w:t>”), including, without limitation:</w:t>
      </w:r>
    </w:p>
    <w:p>
      <w:pPr>
        <w:spacing w:after="0" w:line="6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the regulations promulgated thereunder;</w:t>
      </w:r>
    </w:p>
    <w:p>
      <w:pPr>
        <w:spacing w:after="0" w:line="117" w:lineRule="exact"/>
        <w:rPr>
          <w:rFonts w:ascii="Times New Roman" w:cs="Times New Roman" w:eastAsia="Times New Roman" w:hAnsi="Times New Roman"/>
          <w:sz w:val="18"/>
          <w:szCs w:val="18"/>
          <w:color w:val="auto"/>
        </w:rPr>
      </w:pPr>
    </w:p>
    <w:p>
      <w:pPr>
        <w:ind w:left="540" w:right="60" w:firstLine="408"/>
        <w:spacing w:after="0" w:line="253" w:lineRule="auto"/>
        <w:tabs>
          <w:tab w:leader="none" w:pos="12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(42 U.S.C. Section 1320d et seq.), the Health Information Technology for Economic and Clinical Health Act (42 U.S.C. Section 17921 et seq.), the exclusion law (42</w:t>
      </w:r>
    </w:p>
    <w:p>
      <w:pPr>
        <w:spacing w:after="0" w:line="5" w:lineRule="exact"/>
        <w:rPr>
          <w:rFonts w:ascii="Times New Roman" w:cs="Times New Roman" w:eastAsia="Times New Roman" w:hAnsi="Times New Roman"/>
          <w:sz w:val="18"/>
          <w:szCs w:val="18"/>
          <w:color w:val="auto"/>
        </w:rPr>
      </w:pPr>
    </w:p>
    <w:p>
      <w:pPr>
        <w:ind w:left="54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 Section 1320a-7), the statutes, regulations and directives of applicable government funded or sponsored healthcare programs, and the regulations promulgated pursuant to such statutes;</w:t>
      </w:r>
    </w:p>
    <w:p>
      <w:pPr>
        <w:spacing w:after="0" w:line="73" w:lineRule="exact"/>
        <w:rPr>
          <w:rFonts w:ascii="Times New Roman" w:cs="Times New Roman" w:eastAsia="Times New Roman" w:hAnsi="Times New Roman"/>
          <w:sz w:val="18"/>
          <w:szCs w:val="18"/>
          <w:color w:val="auto"/>
        </w:rPr>
      </w:pPr>
    </w:p>
    <w:p>
      <w:pPr>
        <w:ind w:left="540" w:right="280" w:firstLine="408"/>
        <w:spacing w:after="0" w:line="282" w:lineRule="auto"/>
        <w:tabs>
          <w:tab w:leader="none" w:pos="125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Protection and Affordable Care Act of 2010, as amended by the Health Care and Education Reconciliation Act of 2010, the regulations promulgated thereunder;</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Controlled Substances Act (21 U.S.C. Section 801 et seq.);</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Good Manufacturing Practices and Good Laboratory Practices;</w:t>
      </w:r>
    </w:p>
    <w:p>
      <w:pPr>
        <w:spacing w:after="0" w:line="117" w:lineRule="exact"/>
        <w:rPr>
          <w:rFonts w:ascii="Times New Roman" w:cs="Times New Roman" w:eastAsia="Times New Roman" w:hAnsi="Times New Roman"/>
          <w:sz w:val="18"/>
          <w:szCs w:val="18"/>
          <w:color w:val="auto"/>
        </w:rPr>
      </w:pPr>
    </w:p>
    <w:p>
      <w:pPr>
        <w:ind w:left="540" w:right="500" w:firstLine="408"/>
        <w:spacing w:after="0" w:line="282" w:lineRule="auto"/>
        <w:tabs>
          <w:tab w:leader="none" w:pos="124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licensure, quality, safety and accreditation requirements under applicable federal, state, local or foreign laws or regulatory bodies; and</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20"/>
          </w:cols>
          <w:pgMar w:left="880" w:top="270" w:right="499" w:bottom="1440" w:gutter="0" w:footer="0" w:header="0"/>
        </w:sectPr>
      </w:pPr>
    </w:p>
    <w:bookmarkStart w:id="20" w:name="page21"/>
    <w:bookmarkEnd w:id="20"/>
    <w:p>
      <w:pPr>
        <w:ind w:left="540" w:right="320" w:firstLine="408"/>
        <w:spacing w:after="0" w:line="257" w:lineRule="auto"/>
        <w:tabs>
          <w:tab w:leader="none" w:pos="12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w:t>
      </w:r>
    </w:p>
    <w:p>
      <w:pPr>
        <w:spacing w:after="0" w:line="1" w:lineRule="exact"/>
        <w:rPr>
          <w:rFonts w:ascii="Times New Roman" w:cs="Times New Roman" w:eastAsia="Times New Roman" w:hAnsi="Times New Roman"/>
          <w:sz w:val="18"/>
          <w:szCs w:val="18"/>
          <w:color w:val="auto"/>
        </w:rPr>
      </w:pPr>
    </w:p>
    <w:p>
      <w:pPr>
        <w:ind w:left="760" w:hanging="213"/>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(vii), collectively,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firstLine="419"/>
        <w:spacing w:after="0" w:line="252"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studies, tests and preclinical and clinical trials conducted by or on behalf of or sponsored by the Company or in which the Company has participated, were, and if still pending are, being conducted in all material respects in accordance with legally required standard medical and experimental protocols, procedures and controls pursuant to applicable Health Care Laws; (ii) the descriptions of the results of such studies, tests and trials contained in the Registration Statement, the Time of Sale Prospectus or the Prospectus are accurate and complete in all material respects and fairly present the data derived from such trials; (iii) the Company has no knowledge of any other studies not described in the Registration Statement, the Time of Sale Prospectus and the Prospectus, the results of which the Company reasonably believes call into question the results described or referred to in the Registration Statement, the Time of Sale Prospectus and the Prospectus, except where such question would not, singly or in the aggregate, reasonably be expected to have a material adverse effect on the Company; (iv) the Company has provided the Representatives with all substantive and material written notices, correspondence and communications provided to the Company from the Regulatory Authorities; and (v) the Company has not received any written notices, correspondence or other communications from any Regulatory Authority or any other governmental entity requiring or threatening the termination, material modification, clinical hold or suspension of any studies or trials that are described in the Registration Statement, the Time of Sale Prospectus and the Prospectus or the results of which are referred to in the Registration Statement, the Time of Sale Prospectus and the Prospectus, except as already disclosed in such Registration Statement, the Time of Sale Prospectus or the Prospectus or where such as have been lifted, resolved, or are otherwise no longer in effect, and, to the Company’s knowledge, there are no reasonable grounds for the same.</w:t>
      </w:r>
    </w:p>
    <w:p>
      <w:pPr>
        <w:spacing w:after="0" w:line="87" w:lineRule="exact"/>
        <w:rPr>
          <w:rFonts w:ascii="Times New Roman" w:cs="Times New Roman" w:eastAsia="Times New Roman" w:hAnsi="Times New Roman"/>
          <w:sz w:val="18"/>
          <w:szCs w:val="18"/>
          <w:color w:val="auto"/>
        </w:rPr>
      </w:pPr>
    </w:p>
    <w:p>
      <w:pPr>
        <w:ind w:right="60" w:firstLine="419"/>
        <w:spacing w:after="0" w:line="255"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individually or in the aggregate, reasonably be expected to have a material adverse effect on the Company,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20"/>
          </w:cols>
          <w:pgMar w:left="880" w:top="270" w:right="499" w:bottom="1440" w:gutter="0" w:footer="0" w:header="0"/>
        </w:sectPr>
      </w:pPr>
    </w:p>
    <w:bookmarkStart w:id="21" w:name="page22"/>
    <w:bookmarkEnd w:id="2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 (iv)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84" w:lineRule="exact"/>
        <w:rPr>
          <w:sz w:val="20"/>
          <w:szCs w:val="20"/>
          <w:color w:val="auto"/>
        </w:rPr>
      </w:pPr>
    </w:p>
    <w:p>
      <w:pPr>
        <w:ind w:right="360" w:firstLine="419"/>
        <w:spacing w:after="0" w:line="256"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failed to file with the Regulatory Authorities any required filing, declaration, listing, registration, report or submission with respect to the Company’s product candidates that are described or referred to in the Time of Sale Prospectus; all such filings, declarations, listings, registrations, reports or submissions were in material compliance with applicable laws when filed, or amended or supplemented in material compliance with applicable laws; and no material deficiencies regarding compliance with applicable law have been asserted by any applicable regulatory authority with respect to any such filings, declarations, listings, registrations, reports or submissions, or amendments or supplements thereof.</w:t>
      </w:r>
    </w:p>
    <w:p>
      <w:pPr>
        <w:spacing w:after="0" w:line="79" w:lineRule="exact"/>
        <w:rPr>
          <w:rFonts w:ascii="Times New Roman" w:cs="Times New Roman" w:eastAsia="Times New Roman" w:hAnsi="Times New Roman"/>
          <w:sz w:val="18"/>
          <w:szCs w:val="18"/>
          <w:color w:val="auto"/>
        </w:rPr>
      </w:pPr>
    </w:p>
    <w:p>
      <w:pPr>
        <w:ind w:firstLine="419"/>
        <w:spacing w:after="0" w:line="258" w:lineRule="auto"/>
        <w:tabs>
          <w:tab w:leader="none" w:pos="7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possesses all certificates, authorizations and permits issued by the appropriate federal, state or foreign regulatory authorities necessary to conduct its business as currently conducted, including, without limitation, from the Regulatory Authorities, and the Company has not received any notice of proceedings relating to the revocation or material modification of any such certificate, authorization or permit which, singly or in the aggregate, if the subject of an unfavorable decision, ruling or finding, would reasonably be expected have a material adverse effect on the Company, except as described in the Time of Sale Prospectus.</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on the Company, (i)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that is sponsored, maintained, administered or contributed to by the Company has been maintained in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(ii) neither the Company nor any member of its “Controlled Group” (defined as any trade or business, whether or not incorporated, that would be regarded as a single employer with the Company under Section 414 of the Code) (x) has ever sponsored, maintained, contributed to or has had any obligation to contribute to, any employee benefit plan that is subject to Title IV of ERISA or any “multiemployer plan” as defined in Section 3(37) of ERISA or (y) has incurred, or reasonably expects to incur, any liability under Title IV of</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80" w:top="270" w:right="479" w:bottom="1440" w:gutter="0" w:footer="0" w:header="0"/>
        </w:sectPr>
      </w:pPr>
    </w:p>
    <w:bookmarkStart w:id="22" w:name="page23"/>
    <w:bookmarkEnd w:id="22"/>
    <w:p>
      <w:pPr>
        <w:jc w:val="both"/>
        <w:ind w:left="-20" w:right="60" w:firstLine="436"/>
        <w:spacing w:after="0" w:line="281"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Agreements to Sell and Purchase. </w:t>
      </w:r>
      <w:r>
        <w:rPr>
          <w:rFonts w:ascii="Times New Roman" w:cs="Times New Roman" w:eastAsia="Times New Roman" w:hAnsi="Times New Roman"/>
          <w:sz w:val="17"/>
          <w:szCs w:val="17"/>
          <w:color w:val="auto"/>
        </w:rPr>
        <w:t>The Company hereby agrees to sell to the several Underwriters, and each Underwriter, upon the basis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representations and warranties herein contained, but subject to the terms and conditions hereinafter stated, agrees, severally and not jointly, to purchase from the Company the respective number of Units set forth in Schedule I hereto opposite its name. The purchase price per Unit to be paid by the several Underwriters to the Company shall be $1.128 per Unit (94 % of the Public Offering Price per Unit (as defined below)) (the “</w:t>
      </w:r>
      <w:r>
        <w:rPr>
          <w:rFonts w:ascii="Times New Roman" w:cs="Times New Roman" w:eastAsia="Times New Roman" w:hAnsi="Times New Roman"/>
          <w:sz w:val="17"/>
          <w:szCs w:val="17"/>
          <w:b w:val="1"/>
          <w:bCs w:val="1"/>
          <w:color w:val="auto"/>
        </w:rPr>
        <w:t>Unit Purchase Price</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ind w:left="-20" w:firstLine="436"/>
        <w:spacing w:after="0" w:line="258"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the Public Offering</w:t>
      </w:r>
      <w:r>
        <w:rPr>
          <w:rFonts w:ascii="Times New Roman" w:cs="Times New Roman" w:eastAsia="Times New Roman" w:hAnsi="Times New Roman"/>
          <w:sz w:val="18"/>
          <w:szCs w:val="18"/>
          <w:color w:val="auto"/>
        </w:rPr>
        <w:t>. The Company is advised by the Representatives that the Underwriters propose to make a public offering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portions of the Units as soon after the Registration Statement and this Agreement have become effective as in the Representatives’ judgment is advisable. The Company is further advised by the Representatives that the Units are to be offered to the public initially at $1.20 per Unit (the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Offering Price per Unit</w:t>
      </w:r>
      <w:r>
        <w:rPr>
          <w:rFonts w:ascii="Times New Roman" w:cs="Times New Roman" w:eastAsia="Times New Roman" w:hAnsi="Times New Roman"/>
          <w:sz w:val="18"/>
          <w:szCs w:val="18"/>
          <w:color w:val="auto"/>
        </w:rPr>
        <w:t>”) and to certain dealers selected by the Representatives at a price that represents a concession not in excess of $0.0432 per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Public Offering Price per Unit.</w:t>
      </w:r>
    </w:p>
    <w:p>
      <w:pPr>
        <w:spacing w:after="0" w:line="183"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and Delivery. </w:t>
      </w:r>
      <w:r>
        <w:rPr>
          <w:rFonts w:ascii="Times New Roman" w:cs="Times New Roman" w:eastAsia="Times New Roman" w:hAnsi="Times New Roman"/>
          <w:sz w:val="18"/>
          <w:szCs w:val="18"/>
          <w:color w:val="auto"/>
        </w:rPr>
        <w:t>Payment for the Units shall be made to the Company in Federal or other funds immediately available in New York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delivery of such Units for the respective accounts of the several Underwriters at 10:00 a.m., New York City time, on December 15, 2025, or at such other time on the same or such other date, not later than December 22, 2025,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60" w:top="268" w:right="459" w:bottom="1440" w:gutter="0" w:footer="0" w:header="0"/>
        </w:sectPr>
      </w:pPr>
    </w:p>
    <w:bookmarkStart w:id="23" w:name="page24"/>
    <w:bookmarkEnd w:id="23"/>
    <w:p>
      <w:pPr>
        <w:ind w:right="7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Closing Date, the Company shall deliver the Units against payment of the purchase price therefor. Delivery of the Shares and Warrants comprising the Units shall be made as follows, unless the Representatives shall otherwise instruct:</w:t>
      </w:r>
    </w:p>
    <w:p>
      <w:pPr>
        <w:spacing w:after="0" w:line="50" w:lineRule="exact"/>
        <w:rPr>
          <w:sz w:val="20"/>
          <w:szCs w:val="20"/>
          <w:color w:val="auto"/>
        </w:rPr>
      </w:pPr>
    </w:p>
    <w:p>
      <w:pPr>
        <w:ind w:left="1100" w:hanging="241"/>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the Shares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shall be delivered in definitive, certificated form, registered in the names and in the denominations as the Representatives shall instruct, in writing, at least one business day prior to the Closing Date.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Representatives, at their election, may instruct the Company to deliver the Warrants directly to purchasers thereof. The Warrants will be made available for inspection by the Representatives on the business day prior to the Closing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transfer taxes payable in connection with the transfer of the Units shall be duly paid by the Company.</w:t>
      </w:r>
    </w:p>
    <w:p>
      <w:pPr>
        <w:spacing w:after="0" w:line="223" w:lineRule="exact"/>
        <w:rPr>
          <w:sz w:val="20"/>
          <w:szCs w:val="20"/>
          <w:color w:val="auto"/>
        </w:rPr>
      </w:pPr>
    </w:p>
    <w:p>
      <w:pPr>
        <w:ind w:left="620" w:hanging="184"/>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several obligations of the Underwriters are subject to the following further conditions:</w:t>
      </w:r>
    </w:p>
    <w:p>
      <w:pPr>
        <w:spacing w:after="0" w:line="119"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7" w:lineRule="exact"/>
        <w:rPr>
          <w:rFonts w:ascii="Times New Roman" w:cs="Times New Roman" w:eastAsia="Times New Roman" w:hAnsi="Times New Roman"/>
          <w:sz w:val="18"/>
          <w:szCs w:val="18"/>
          <w:color w:val="auto"/>
        </w:rPr>
      </w:pPr>
    </w:p>
    <w:p>
      <w:pPr>
        <w:ind w:left="980" w:firstLine="408"/>
        <w:spacing w:after="0" w:line="266" w:lineRule="auto"/>
        <w:tabs>
          <w:tab w:leader="none" w:pos="1596"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to the Company’s knowledge, no proceeding for such purpose or pursuant to Section 8A under the Securities Act shall be pending before or threatened by the Commission; and</w:t>
      </w:r>
    </w:p>
    <w:p>
      <w:pPr>
        <w:spacing w:after="0" w:line="67"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46"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from that set forth in the Time of Sale Prospectus that, in the Representatives’ judgment, is material and adverse and that makes it, in the Representatives’ judgment, impracticable to market the Units on the terms and in the manner contemplated in the Time of Sale Prospectus.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40" w:top="270" w:right="539" w:bottom="1440" w:gutter="0" w:footer="0" w:header="0"/>
        </w:sectPr>
      </w:pPr>
    </w:p>
    <w:bookmarkStart w:id="24" w:name="page25"/>
    <w:bookmarkEnd w:id="24"/>
    <w:p>
      <w:pPr>
        <w:ind w:left="440" w:firstLine="419"/>
        <w:spacing w:after="0" w:line="261"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 certificate, dated the Closing Date and signed on behalf of the Company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his or her knowledge as to proceedings threatened.</w:t>
      </w:r>
    </w:p>
    <w:p>
      <w:pPr>
        <w:spacing w:after="0" w:line="117" w:lineRule="exact"/>
        <w:rPr>
          <w:sz w:val="20"/>
          <w:szCs w:val="20"/>
          <w:color w:val="auto"/>
        </w:rPr>
      </w:pPr>
    </w:p>
    <w:p>
      <w:pPr>
        <w:ind w:left="440" w:firstLine="419"/>
        <w:spacing w:after="0" w:line="266" w:lineRule="auto"/>
        <w:tabs>
          <w:tab w:leader="none" w:pos="11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Wilson Sonsini Goodrich &amp; Rosati Professional Corporation (“</w:t>
      </w:r>
      <w:r>
        <w:rPr>
          <w:rFonts w:ascii="Times New Roman" w:cs="Times New Roman" w:eastAsia="Times New Roman" w:hAnsi="Times New Roman"/>
          <w:sz w:val="18"/>
          <w:szCs w:val="18"/>
          <w:b w:val="1"/>
          <w:bCs w:val="1"/>
          <w:color w:val="auto"/>
        </w:rPr>
        <w:t>WSGR</w:t>
      </w:r>
      <w:r>
        <w:rPr>
          <w:rFonts w:ascii="Times New Roman" w:cs="Times New Roman" w:eastAsia="Times New Roman" w:hAnsi="Times New Roman"/>
          <w:sz w:val="18"/>
          <w:szCs w:val="18"/>
          <w:color w:val="auto"/>
        </w:rPr>
        <w:t>”), outside counsel for the Company, dated the Closing Date, in form and substance reasonably satisfactory to the Representatives.</w:t>
      </w:r>
    </w:p>
    <w:p>
      <w:pPr>
        <w:spacing w:after="0" w:line="63" w:lineRule="exact"/>
        <w:rPr>
          <w:rFonts w:ascii="Times New Roman" w:cs="Times New Roman" w:eastAsia="Times New Roman" w:hAnsi="Times New Roman"/>
          <w:sz w:val="18"/>
          <w:szCs w:val="18"/>
          <w:color w:val="auto"/>
        </w:rPr>
      </w:pPr>
    </w:p>
    <w:p>
      <w:pPr>
        <w:ind w:left="440" w:right="540" w:firstLine="419"/>
        <w:spacing w:after="0" w:line="317" w:lineRule="auto"/>
        <w:tabs>
          <w:tab w:leader="none" w:pos="111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Underwriters shall have received on the Closing Date an opinion of Goodwin Procter LLP (“</w:t>
      </w:r>
      <w:r>
        <w:rPr>
          <w:rFonts w:ascii="Times New Roman" w:cs="Times New Roman" w:eastAsia="Times New Roman" w:hAnsi="Times New Roman"/>
          <w:sz w:val="17"/>
          <w:szCs w:val="17"/>
          <w:b w:val="1"/>
          <w:bCs w:val="1"/>
          <w:color w:val="auto"/>
        </w:rPr>
        <w:t>Goodwin</w:t>
      </w:r>
      <w:r>
        <w:rPr>
          <w:rFonts w:ascii="Times New Roman" w:cs="Times New Roman" w:eastAsia="Times New Roman" w:hAnsi="Times New Roman"/>
          <w:sz w:val="17"/>
          <w:szCs w:val="17"/>
          <w:color w:val="auto"/>
        </w:rPr>
        <w:t>”), outside intellectual property counsel for the Company, dated the Closing Date, in form and substance reasonably satisfactory to the Representatives.</w:t>
      </w:r>
    </w:p>
    <w:p>
      <w:pPr>
        <w:spacing w:after="0" w:line="27" w:lineRule="exact"/>
        <w:rPr>
          <w:rFonts w:ascii="Times New Roman" w:cs="Times New Roman" w:eastAsia="Times New Roman" w:hAnsi="Times New Roman"/>
          <w:sz w:val="17"/>
          <w:szCs w:val="17"/>
          <w:color w:val="auto"/>
        </w:rPr>
      </w:pPr>
    </w:p>
    <w:p>
      <w:pPr>
        <w:ind w:left="1100" w:hanging="241"/>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Davis Polk &amp; Wardwell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Davis Polk</w:t>
      </w:r>
      <w:r>
        <w:rPr>
          <w:rFonts w:ascii="Times New Roman" w:cs="Times New Roman" w:eastAsia="Times New Roman" w:hAnsi="Times New Roman"/>
          <w:sz w:val="18"/>
          <w:szCs w:val="18"/>
          <w:color w:val="auto"/>
        </w:rPr>
        <w:t>”), counsel for the Underwriters, dated the Closing Date, in form and substance reasonably satisfactory to the Representatives.</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negative assurance letters to be delivered pursuant to Sections 5(c) and 5(e) above, WSGR and Davis Polk may state that their opinions and beliefs are based upon their participation in the preparation of the Registration Statement, the Time of Sale Prospectus and the Prospectus and any amendments or supplements thereto (other than the documents incorporated by reference) and upon review and discussion of the contents thereof (including documents incorporated by reference), but are without independent check or verification, except as specified.</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opinions of WSGR and Goodwin described in Section 5(c) and 5(d), respectively, above shall be rendered to the Underwriters at the request of the Company and shall so state therein.</w:t>
      </w:r>
    </w:p>
    <w:p>
      <w:pPr>
        <w:spacing w:after="0" w:line="54" w:lineRule="exact"/>
        <w:rPr>
          <w:sz w:val="20"/>
          <w:szCs w:val="20"/>
          <w:color w:val="auto"/>
        </w:rPr>
      </w:pPr>
    </w:p>
    <w:p>
      <w:pPr>
        <w:ind w:left="440" w:right="40" w:firstLine="419"/>
        <w:spacing w:after="0" w:line="258" w:lineRule="auto"/>
        <w:tabs>
          <w:tab w:leader="none" w:pos="10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reasonably satisfactory to the Underwriters, from Deloitte &amp; Touche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sectPr>
      </w:pPr>
    </w:p>
    <w:bookmarkStart w:id="25" w:name="page26"/>
    <w:bookmarkEnd w:id="25"/>
    <w:p>
      <w:pPr>
        <w:ind w:left="4" w:right="240" w:firstLine="419"/>
        <w:spacing w:after="0" w:line="261"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“lock-up” agreements, each substantially in the form of Exhibit A hereto, between the Representatives and certain shareholders, officers and directors of the Company relating to restrictions on sales and certain other dispositions of shares of Common Stock or certain other securities, delivered to the Representatives on or before the date hereof (the “</w:t>
      </w:r>
      <w:r>
        <w:rPr>
          <w:rFonts w:ascii="Times New Roman" w:cs="Times New Roman" w:eastAsia="Times New Roman" w:hAnsi="Times New Roman"/>
          <w:sz w:val="18"/>
          <w:szCs w:val="18"/>
          <w:b w:val="1"/>
          <w:bCs w:val="1"/>
          <w:color w:val="auto"/>
        </w:rPr>
        <w:t>Lock-Up Agreements</w:t>
      </w:r>
      <w:r>
        <w:rPr>
          <w:rFonts w:ascii="Times New Roman" w:cs="Times New Roman" w:eastAsia="Times New Roman" w:hAnsi="Times New Roman"/>
          <w:sz w:val="18"/>
          <w:szCs w:val="18"/>
          <w:color w:val="auto"/>
        </w:rPr>
        <w:t>”), shall be in full force and effect on the Closing Date.</w:t>
      </w:r>
    </w:p>
    <w:p>
      <w:pPr>
        <w:spacing w:after="0" w:line="17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rFonts w:ascii="Times New Roman" w:cs="Times New Roman" w:eastAsia="Times New Roman" w:hAnsi="Times New Roman"/>
          <w:sz w:val="18"/>
          <w:szCs w:val="18"/>
          <w:color w:val="auto"/>
        </w:rPr>
      </w:pPr>
    </w:p>
    <w:p>
      <w:pPr>
        <w:ind w:left="4" w:firstLine="419"/>
        <w:spacing w:after="0" w:line="256" w:lineRule="auto"/>
        <w:tabs>
          <w:tab w:leader="none" w:pos="6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without charge, five signed copies of the Registration Statement (including exhibits thereto and documents incorporated by reference) and for delivery to each other Underwriter a conformed copy of the Registration Statement (without exhibits thereto and documents incorporated by reference)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and documents incorporated by reference therein and any supplements and amendments thereto or to the Registration Statement as the Representatives may reasonably request.</w:t>
      </w:r>
    </w:p>
    <w:p>
      <w:pPr>
        <w:spacing w:after="0" w:line="79"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68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objects, and to file with the Commission within the applicable period specified in Rule 424(b) under the Securities Act any prospectus required to be filed pursuant to such Rule.</w:t>
      </w:r>
    </w:p>
    <w:p>
      <w:pPr>
        <w:spacing w:after="0" w:line="71"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6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objects.</w:t>
      </w:r>
    </w:p>
    <w:p>
      <w:pPr>
        <w:spacing w:after="0" w:line="53"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68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left="4" w:right="120" w:firstLine="419"/>
        <w:spacing w:after="0" w:line="261" w:lineRule="auto"/>
        <w:tabs>
          <w:tab w:leader="none" w:pos="6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Units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70" w:right="459" w:bottom="1440" w:gutter="0" w:footer="0" w:header="0"/>
        </w:sectPr>
      </w:pPr>
    </w:p>
    <w:bookmarkStart w:id="26" w:name="page27"/>
    <w:bookmarkEnd w:id="2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81" w:lineRule="exact"/>
        <w:rPr>
          <w:sz w:val="20"/>
          <w:szCs w:val="20"/>
          <w:color w:val="auto"/>
        </w:rPr>
      </w:pPr>
    </w:p>
    <w:p>
      <w:pPr>
        <w:ind w:right="40" w:firstLine="419"/>
        <w:spacing w:after="0" w:line="253"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Units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Units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83"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the Units for offer and sale under the securities or Blue Sky laws of such jurisdictions as the Representatives shall reasonably request; provided, however,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spacing w:after="0" w:line="71" w:lineRule="exact"/>
        <w:rPr>
          <w:rFonts w:ascii="Times New Roman" w:cs="Times New Roman" w:eastAsia="Times New Roman" w:hAnsi="Times New Roman"/>
          <w:sz w:val="18"/>
          <w:szCs w:val="18"/>
          <w:color w:val="auto"/>
        </w:rPr>
      </w:pPr>
    </w:p>
    <w:p>
      <w:pPr>
        <w:ind w:right="120" w:firstLine="419"/>
        <w:spacing w:after="0" w:line="261"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(which may be satisfied by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27" w:name="page28"/>
    <w:bookmarkEnd w:id="27"/>
    <w:p>
      <w:pPr>
        <w:ind w:left="4" w:firstLine="419"/>
        <w:spacing w:after="0" w:line="268" w:lineRule="auto"/>
        <w:tabs>
          <w:tab w:leader="none" w:pos="64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Units under the Securities Act, including the costs of reproducing and distributing of each of the Warrants,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w:t>
      </w:r>
    </w:p>
    <w:p>
      <w:pPr>
        <w:spacing w:after="0" w:line="2" w:lineRule="exact"/>
        <w:rPr>
          <w:rFonts w:ascii="Times New Roman" w:cs="Times New Roman" w:eastAsia="Times New Roman" w:hAnsi="Times New Roman"/>
          <w:sz w:val="17"/>
          <w:szCs w:val="17"/>
          <w:color w:val="auto"/>
        </w:rPr>
      </w:pPr>
    </w:p>
    <w:p>
      <w:pPr>
        <w:ind w:left="4" w:right="140" w:hanging="4"/>
        <w:spacing w:after="0" w:line="265" w:lineRule="auto"/>
        <w:tabs>
          <w:tab w:leader="none" w:pos="26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costs and expenses related to the transfer and delivery of the Units to the Underwriters, including any transfer or other taxes payable thereon, (iii) the cost of printing or producing any Blue Sky or Legal Investment memorandum in connection with the offer and sale of the Units under state securities laws and all expenses in connection with the qualification of the Units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Units by FINRA (provided, that the amount payable by the Company with respect to fees and disbursements of counsel for the Underwriters pursuant to subsections (iii) and (iv) shall not exceed $15,000), (v) all costs and expenses incident to listing the Shares on the Nasdaq Global Select Market,</w:t>
      </w:r>
    </w:p>
    <w:p>
      <w:pPr>
        <w:spacing w:after="0" w:line="1" w:lineRule="exact"/>
        <w:rPr>
          <w:rFonts w:ascii="Times New Roman" w:cs="Times New Roman" w:eastAsia="Times New Roman" w:hAnsi="Times New Roman"/>
          <w:sz w:val="17"/>
          <w:szCs w:val="17"/>
          <w:color w:val="auto"/>
        </w:rPr>
      </w:pPr>
    </w:p>
    <w:p>
      <w:pPr>
        <w:ind w:left="4" w:hanging="4"/>
        <w:spacing w:after="0" w:line="268" w:lineRule="auto"/>
        <w:tabs>
          <w:tab w:leader="none" w:pos="30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printing certificates representing the Shares and the Warrants, (vii) the costs and charges of any transfer agent, registrar or depositary, (viii) the costs and expenses of the Company relating to investor presentations on any “road show” undertaken in connection with the marketing of the offering of the Units,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any pre-approved travel and lodging expenses of the representatives and officers of the Company and any such consultants, and the cost of any aircraft chartered with the Company’s prior written consent in connection with the road show, (ix) the document production charges and expenses associated with printing this Agreement, and (x) all other costs and expenses incident to the performance of the obligations of the Company hereunder for which provision is not otherwise made in this Section. It is</w:t>
      </w:r>
    </w:p>
    <w:p>
      <w:pPr>
        <w:spacing w:after="0" w:line="11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44"/>
          </w:cols>
          <w:pgMar w:left="876" w:top="270" w:right="479" w:bottom="1440" w:gutter="0" w:footer="0" w:header="0"/>
        </w:sectPr>
      </w:pPr>
    </w:p>
    <w:bookmarkStart w:id="28" w:name="page29"/>
    <w:bookmarkEnd w:id="28"/>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Units by them and any advertising expenses connected with any offers they may make.</w:t>
      </w:r>
    </w:p>
    <w:p>
      <w:pPr>
        <w:spacing w:after="0" w:line="68" w:lineRule="exact"/>
        <w:rPr>
          <w:sz w:val="20"/>
          <w:szCs w:val="20"/>
          <w:color w:val="auto"/>
        </w:rPr>
      </w:pPr>
    </w:p>
    <w:p>
      <w:pPr>
        <w:jc w:val="both"/>
        <w:ind w:right="100" w:firstLine="419"/>
        <w:spacing w:after="0" w:line="266"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Representatives if the Company ceases to be an Emerging Growth Company at any time prior to the later of (i) completion of the distribution of the Units within the meaning of the Securities Act and (ii) completion of the Restricted Period (as defined in this Section 6).</w:t>
      </w:r>
    </w:p>
    <w:p>
      <w:pPr>
        <w:spacing w:after="0" w:line="67"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79" w:lineRule="exact"/>
        <w:rPr>
          <w:rFonts w:ascii="Times New Roman" w:cs="Times New Roman" w:eastAsia="Times New Roman" w:hAnsi="Times New Roman"/>
          <w:sz w:val="18"/>
          <w:szCs w:val="18"/>
          <w:color w:val="auto"/>
        </w:rPr>
      </w:pPr>
    </w:p>
    <w:p>
      <w:pPr>
        <w:jc w:val="both"/>
        <w:ind w:right="300" w:firstLine="419"/>
        <w:spacing w:after="0" w:line="261"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71" w:lineRule="exact"/>
        <w:rPr>
          <w:rFonts w:ascii="Times New Roman" w:cs="Times New Roman" w:eastAsia="Times New Roman" w:hAnsi="Times New Roman"/>
          <w:sz w:val="18"/>
          <w:szCs w:val="18"/>
          <w:color w:val="auto"/>
        </w:rPr>
      </w:pPr>
    </w:p>
    <w:p>
      <w:pPr>
        <w:ind w:right="120" w:firstLine="419"/>
        <w:spacing w:after="0" w:line="254" w:lineRule="auto"/>
        <w:tabs>
          <w:tab w:leader="none" w:pos="7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also covenants with each Underwriter that, without the prior written consent of the Representatives on behalf of the Underwriters, it will not, and will not publicly disclose an intention to, during the period ending 60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29" w:name="page30"/>
    <w:bookmarkEnd w:id="29"/>
    <w:p>
      <w:pPr>
        <w:ind w:left="-7" w:right="40" w:firstLine="408"/>
        <w:spacing w:after="0" w:line="255" w:lineRule="auto"/>
        <w:tabs>
          <w:tab w:leader="none" w:pos="65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restrictions contained in Section 6(m)(i) shall not apply to (A) the Units to be sold hereunder, including, for the avoidance of doubt, the issuance by the Company of the Warrant Shares upon the exercise of the Warrants, (B) the issuance by the Company of shares of Common Stock upon the exercise of an option or warrant, vesting or settlement of restricted stock or restricted stock units or the exercise or conversion of a security outstanding on the date hereof as described in each of the Time of Sale Prospectus and Prospectus,</w:t>
      </w:r>
    </w:p>
    <w:p>
      <w:pPr>
        <w:spacing w:after="0" w:line="2" w:lineRule="exact"/>
        <w:rPr>
          <w:rFonts w:ascii="Times New Roman" w:cs="Times New Roman" w:eastAsia="Times New Roman" w:hAnsi="Times New Roman"/>
          <w:sz w:val="18"/>
          <w:szCs w:val="18"/>
          <w:color w:val="auto"/>
        </w:rPr>
      </w:pPr>
    </w:p>
    <w:p>
      <w:pPr>
        <w:ind w:left="-7" w:right="40" w:firstLine="7"/>
        <w:spacing w:after="0" w:line="250" w:lineRule="auto"/>
        <w:tabs>
          <w:tab w:leader="none" w:pos="2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shareholder, officer or director of the Company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(D) the issuance of shares of, or options to purchase shares of, Common Stock or securities convertible into or exercisable for Common Stock (whether upon the exercise of stock options or otherwise) to employees, officers, directors, advisors, or consultants of the Company pursuant to the terms of an equity compensation plan in effect on the date hereof and described in the Time of Sale Prospectus and Prospectus, provided that, prior to the issuance of any such shares or the grant of any such options to a director or executive officer, the Company shall cause each recipient of such grant or issuance to execute and deliver a Lock-Up Agreement, substantially in the form of Exhibit A hereto, (E) the filing of any registration statement on Form S-8 with respect to the employee benefit plans described in the Time of Sale Prospectus and Prospectus,</w:t>
      </w:r>
    </w:p>
    <w:p>
      <w:pPr>
        <w:spacing w:after="0" w:line="4" w:lineRule="exact"/>
        <w:rPr>
          <w:rFonts w:ascii="Times New Roman" w:cs="Times New Roman" w:eastAsia="Times New Roman" w:hAnsi="Times New Roman"/>
          <w:sz w:val="18"/>
          <w:szCs w:val="18"/>
          <w:color w:val="auto"/>
        </w:rPr>
      </w:pPr>
    </w:p>
    <w:p>
      <w:pPr>
        <w:ind w:left="-7" w:firstLine="7"/>
        <w:spacing w:after="0" w:line="251" w:lineRule="auto"/>
        <w:tabs>
          <w:tab w:leader="none" w:pos="2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of or entry into an agreement to sell or issue shares of Common Stock in connection with the Company’s acquisition of one or more businesses, products or technologies (whether by means of merger, stock purchase, asset purchase or otherwise) or in connection with joint ventures, commercial relationships or other strategic transactions, provided, that, the aggregate number of shares of Common Stock that the Company may sell or issue or agree to sell or issue, or that may be issuable upon conversion or exercise of all other securities that the Company may sell or issue or agree to sell or issue, pursuant to this clause (F) shall not exceed 10% of the total number of shares of Common Stock issued and outstanding immediately following the completion of the transactions contemplated by this Agreement (giving effect to the issuance of the Warrant Shares issuable upon exercise of the Warrants), and provided further, that the Company shall cause each recipient of such shares to execute and deliver to you, on or prior to such issuance, a Lock-Up Agreement, substantially in the form of Exhibit</w:t>
      </w:r>
    </w:p>
    <w:p>
      <w:pPr>
        <w:spacing w:after="0" w:line="126"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993"/>
          </w:cols>
          <w:pgMar w:left="1427" w:top="270" w:right="479" w:bottom="1440" w:gutter="0" w:footer="0" w:header="0"/>
        </w:sectPr>
      </w:pPr>
    </w:p>
    <w:bookmarkStart w:id="30" w:name="page31"/>
    <w:bookmarkEnd w:id="30"/>
    <w:p>
      <w:pPr>
        <w:ind w:left="96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hereto, and (G) the amendment of, or filing of any prospectus supplement or amendment relating to, any “at-the-market” offering program described in the Time of Sale Prospectus and the Prospectus, or the issuance of shares of Common Stock pursuant to a placement made under any such program.</w:t>
      </w:r>
    </w:p>
    <w:p>
      <w:pPr>
        <w:spacing w:after="0" w:line="174" w:lineRule="exact"/>
        <w:rPr>
          <w:sz w:val="20"/>
          <w:szCs w:val="20"/>
          <w:color w:val="auto"/>
        </w:rPr>
      </w:pPr>
    </w:p>
    <w:p>
      <w:pPr>
        <w:ind w:left="-20" w:right="360" w:firstLine="436"/>
        <w:spacing w:after="0" w:line="267" w:lineRule="auto"/>
        <w:tabs>
          <w:tab w:leader="none" w:pos="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3"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 and Contribution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20" w:firstLine="419"/>
        <w:spacing w:after="0" w:line="252" w:lineRule="auto"/>
        <w:tabs>
          <w:tab w:leader="none" w:pos="10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Underwriter Information as defined in paragraph (b) below.</w:t>
      </w:r>
    </w:p>
    <w:p>
      <w:pPr>
        <w:spacing w:after="0" w:line="89" w:lineRule="exact"/>
        <w:rPr>
          <w:rFonts w:ascii="Times New Roman" w:cs="Times New Roman" w:eastAsia="Times New Roman" w:hAnsi="Times New Roman"/>
          <w:sz w:val="18"/>
          <w:szCs w:val="18"/>
          <w:color w:val="auto"/>
        </w:rPr>
      </w:pPr>
    </w:p>
    <w:p>
      <w:pPr>
        <w:ind w:left="420" w:right="100" w:firstLine="419"/>
        <w:spacing w:after="0" w:line="261" w:lineRule="auto"/>
        <w:tabs>
          <w:tab w:leader="none" w:pos="109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70" w:right="479" w:bottom="1440" w:gutter="0" w:footer="0" w:header="0"/>
        </w:sectPr>
      </w:pPr>
    </w:p>
    <w:bookmarkStart w:id="31" w:name="page32"/>
    <w:bookmarkEnd w:id="31"/>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 it being understood and agreed that the only such information furnished by any Underwriter through the Representatives consists of the following information in the Prospectus: (i) the fifth paragraph on terms of the offering and (ii) the twenty-fifth, twenty-sixth and twenty-seventh paragraphs, and the last sentence of the twenty-eighth paragraph on stabilization, under the heading “Underwriting.”</w:t>
      </w:r>
    </w:p>
    <w:p>
      <w:pPr>
        <w:spacing w:after="0" w:line="79" w:lineRule="exact"/>
        <w:rPr>
          <w:sz w:val="20"/>
          <w:szCs w:val="20"/>
          <w:color w:val="auto"/>
        </w:rPr>
      </w:pPr>
    </w:p>
    <w:p>
      <w:pPr>
        <w:ind w:left="4" w:firstLine="419"/>
        <w:spacing w:after="0" w:line="268" w:lineRule="auto"/>
        <w:tabs>
          <w:tab w:leader="none" w:pos="67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promptly notify the person against whom such indemnity may be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2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4"/>
          </w:cols>
          <w:pgMar w:left="876" w:top="270" w:right="459" w:bottom="1440" w:gutter="0" w:footer="0" w:header="0"/>
        </w:sectPr>
      </w:pPr>
    </w:p>
    <w:bookmarkStart w:id="32" w:name="page33"/>
    <w:bookmarkEnd w:id="3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any statement as to or an admission of fault, culpability or failure to act by or on behalf of any indemnified party.</w:t>
      </w:r>
    </w:p>
    <w:p>
      <w:pPr>
        <w:spacing w:after="0" w:line="81" w:lineRule="exact"/>
        <w:rPr>
          <w:sz w:val="20"/>
          <w:szCs w:val="20"/>
          <w:color w:val="auto"/>
        </w:rPr>
      </w:pPr>
    </w:p>
    <w:p>
      <w:pPr>
        <w:ind w:firstLine="419"/>
        <w:spacing w:after="0" w:line="252" w:lineRule="auto"/>
        <w:tabs>
          <w:tab w:leader="none" w:pos="6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Units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Units shall be deemed to be in the same respective proportions as the net proceeds from the offering of the Units (after deducting underwriting discounts and commissions but before deducting expenses) received by the Company and the total underwriting discounts and commissions received by the Underwriters, in each case as set forth in the table on the cover of the Prospectus, bear to the aggregate Public Offering Price per Unit.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Units they have purchased hereunder, and not joint.</w:t>
      </w:r>
    </w:p>
    <w:p>
      <w:pPr>
        <w:spacing w:after="0" w:line="1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40"/>
          </w:cols>
          <w:pgMar w:left="880" w:top="270" w:right="479" w:bottom="1440" w:gutter="0" w:footer="0" w:header="0"/>
        </w:sectPr>
      </w:pPr>
    </w:p>
    <w:bookmarkStart w:id="33" w:name="page34"/>
    <w:bookmarkEnd w:id="33"/>
    <w:p>
      <w:pPr>
        <w:ind w:left="4" w:right="20" w:firstLine="419"/>
        <w:spacing w:after="0" w:line="253" w:lineRule="auto"/>
        <w:tabs>
          <w:tab w:leader="none" w:pos="6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Units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83" w:lineRule="exact"/>
        <w:rPr>
          <w:rFonts w:ascii="Times New Roman" w:cs="Times New Roman" w:eastAsia="Times New Roman" w:hAnsi="Times New Roman"/>
          <w:sz w:val="18"/>
          <w:szCs w:val="18"/>
          <w:color w:val="auto"/>
        </w:rPr>
      </w:pPr>
    </w:p>
    <w:p>
      <w:pPr>
        <w:ind w:left="4" w:right="360" w:firstLine="419"/>
        <w:spacing w:after="0" w:line="276" w:lineRule="auto"/>
        <w:tabs>
          <w:tab w:leader="none" w:pos="65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jc w:val="both"/>
        <w:ind w:left="4" w:hanging="4"/>
        <w:spacing w:after="0" w:line="290" w:lineRule="auto"/>
        <w:tabs>
          <w:tab w:leader="none" w:pos="26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Units.</w:t>
      </w:r>
    </w:p>
    <w:p>
      <w:pPr>
        <w:spacing w:after="0" w:line="155" w:lineRule="exact"/>
        <w:rPr>
          <w:sz w:val="20"/>
          <w:szCs w:val="20"/>
          <w:color w:val="auto"/>
        </w:rPr>
      </w:pPr>
    </w:p>
    <w:p>
      <w:pPr>
        <w:ind w:left="-436" w:right="20" w:firstLine="436"/>
        <w:spacing w:after="0" w:line="254" w:lineRule="auto"/>
        <w:tabs>
          <w:tab w:leader="none" w:pos="1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Agreement and prior to or on the Closing Date (i) trading generally shall have been suspended or materially limited on, or by, as the case may be, any of the New York Stock Exchange, the NYSE American, the Nasdaq Global Select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Units on the terms and in the manner contemplated in the Time of Sale Prospectus or the Prospectus.</w:t>
      </w:r>
    </w:p>
    <w:p>
      <w:pPr>
        <w:spacing w:after="0" w:line="185" w:lineRule="exact"/>
        <w:rPr>
          <w:rFonts w:ascii="Times New Roman" w:cs="Times New Roman" w:eastAsia="Times New Roman" w:hAnsi="Times New Roman"/>
          <w:sz w:val="18"/>
          <w:szCs w:val="18"/>
          <w:color w:val="auto"/>
        </w:rPr>
      </w:pPr>
    </w:p>
    <w:p>
      <w:pPr>
        <w:ind w:left="4984" w:right="140" w:hanging="4984"/>
        <w:spacing w:after="0" w:line="456" w:lineRule="auto"/>
        <w:tabs>
          <w:tab w:leader="none" w:pos="2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w:t>
      </w:r>
    </w:p>
    <w:p>
      <w:pPr>
        <w:sectPr>
          <w:pgSz w:w="11900" w:h="16838" w:orient="portrait"/>
          <w:cols w:equalWidth="0" w:num="1">
            <w:col w:w="10564"/>
          </w:cols>
          <w:pgMar w:left="876" w:top="270" w:right="459" w:bottom="1440" w:gutter="0" w:footer="0" w:header="0"/>
        </w:sectPr>
      </w:pPr>
    </w:p>
    <w:bookmarkStart w:id="34" w:name="page35"/>
    <w:bookmarkEnd w:id="34"/>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on the Closing Date, any one or more of the Underwriters shall fail or refuse to purchase the Units that it has or they have agreed to purchase hereunder on such date, and the aggregate number of the Units which such defaulting Underwriter or Underwriters agreed but failed or refused to purchase is not more than one-tenth of the aggregate number of the Units to be purchased on such date, the other Underwriters shall be obligated severally in the proportions that the number of Units set forth opposite their respective names in Schedule I bears to the aggregate number of Units set forth opposite the names of all such non-defaulting Underwriters, or in such other proportions as the Representatives may specify, to purchase the Units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Units that any Underwriter has agreed to purchase pursuant to this Agreement be increased pursuant to this Section 10 by an amount in excess of one-ninth of such number of Units without the written consent of such Underwriter. If, on the Closing Date, any Underwriter or Underwriters shall fail or refuse to purchase the Units and the aggregate number of the Units with respect to which such default occurs is more than one-tenth of the aggregate number of Units to be purchased on such date, and arrangements satisfactory to the Representatives and the Company for the purchase of such Units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9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w:t>
      </w:r>
    </w:p>
    <w:p>
      <w:pPr>
        <w:spacing w:after="0" w:line="181" w:lineRule="exact"/>
        <w:rPr>
          <w:sz w:val="20"/>
          <w:szCs w:val="20"/>
          <w:color w:val="auto"/>
        </w:rPr>
      </w:pPr>
    </w:p>
    <w:p>
      <w:pPr>
        <w:ind w:right="40" w:firstLine="436"/>
        <w:spacing w:after="0" w:line="261" w:lineRule="auto"/>
        <w:tabs>
          <w:tab w:leader="none" w:pos="70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Units, represents the entire agreement between the Company and the Underwriters with respect to the preparation of any preliminary prospectus, the Time of Sale Prospectus, the Prospectus, the conduct of the offering, and the purchase and sale of the Units.</w:t>
      </w:r>
    </w:p>
    <w:p>
      <w:pPr>
        <w:spacing w:after="0" w:line="73"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1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of the Units: (i) the Underwriters have acted at arm’s length, are not agents of, and owe no fiduciary duties to, the Company or any other person, (ii) the Underwriters owe the Company only those duties and obligations set forth in this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any contemporaneous written agreements and prior written agreements (to the extent not superseded by this Agreement), if any,</w:t>
      </w:r>
    </w:p>
    <w:p>
      <w:pPr>
        <w:spacing w:after="0" w:line="27" w:lineRule="exact"/>
        <w:rPr>
          <w:sz w:val="20"/>
          <w:szCs w:val="20"/>
          <w:color w:val="auto"/>
        </w:rPr>
      </w:pPr>
    </w:p>
    <w:p>
      <w:pPr>
        <w:ind w:left="440" w:right="20" w:hanging="4"/>
        <w:spacing w:after="0" w:line="253" w:lineRule="auto"/>
        <w:tabs>
          <w:tab w:leader="none" w:pos="7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Units.</w:t>
      </w:r>
    </w:p>
    <w:p>
      <w:pPr>
        <w:spacing w:after="0" w:line="187" w:lineRule="exact"/>
        <w:rPr>
          <w:sz w:val="20"/>
          <w:szCs w:val="20"/>
          <w:color w:val="auto"/>
        </w:rPr>
      </w:pPr>
    </w:p>
    <w:p>
      <w:pPr>
        <w:ind w:right="80" w:firstLine="436"/>
        <w:spacing w:after="0" w:line="261" w:lineRule="auto"/>
        <w:tabs>
          <w:tab w:leader="none" w:pos="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ind w:firstLine="436"/>
        <w:spacing w:after="0" w:line="258" w:lineRule="auto"/>
        <w:tabs>
          <w:tab w:leader="none" w:pos="7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 Counterparts may be delivered via facsimile, electronic mail (including any electronic signature complying with the U.S. federal ESIGN Act of 2000, Uniform Electronic Transactions Act or other applicable law, e.g., www.docusign.com) or other transmission method and any counterpart so delivered shall be deemed to have been duly and validly delivered and be valid and effective for all purposes.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36" w:name="page37"/>
    <w:bookmarkEnd w:id="36"/>
    <w:p>
      <w:pPr>
        <w:ind w:left="680" w:hanging="264"/>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left="-20" w:right="40" w:firstLine="436"/>
        <w:spacing w:after="0" w:line="284" w:lineRule="auto"/>
        <w:tabs>
          <w:tab w:leader="none" w:pos="6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ind w:left="-20" w:firstLine="436"/>
        <w:spacing w:after="0" w:line="258" w:lineRule="auto"/>
        <w:tabs>
          <w:tab w:leader="none" w:pos="6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the Representatives in care of Leerink Partners LLC, 1301 Avenue of the Americas, 5th Floor, New York, NY 10019, Attention: Stuart R. Nayman; and in care of Piper Sandler &amp; Co., U.S. Bancorp Center, 350 North 5th Street, Minneapolis, MN 55401, Attention: Piper Legal (email: LegalCapMarkets@psc.com); and if to the Company shall be delivered, mailed or sent to Tenaya Therapeutics, Inc., 171 Oyster Point Boulevard, Suite 500, South San Francisco, CA, 94080.</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60" w:top="268" w:right="459" w:bottom="1440" w:gutter="0" w:footer="0" w:header="0"/>
        </w:sectPr>
      </w:pPr>
    </w:p>
    <w:bookmarkStart w:id="37" w:name="page38"/>
    <w:bookmarkEnd w:id="37"/>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6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Faraz Ali, M.B.A.</w:t>
      </w:r>
    </w:p>
    <w:p>
      <w:pPr>
        <w:spacing w:after="0" w:line="27"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Leerink Partners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Anurag Jindal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Anurag Jindal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Sr.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Piper Sandler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Chad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Chad Huber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019"/>
          </w:cols>
          <w:pgMar w:left="440" w:top="270"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540" w:type="dxa"/>
            <w:vAlign w:val="bottom"/>
            <w:gridSpan w:val="3"/>
          </w:tcPr>
          <w:p>
            <w:pPr>
              <w:ind w:left="642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700" w:type="dxa"/>
            <w:vAlign w:val="bottom"/>
            <w:vMerge w:val="restart"/>
          </w:tcPr>
          <w:p>
            <w:pPr>
              <w:spacing w:after="0"/>
              <w:rPr>
                <w:sz w:val="24"/>
                <w:szCs w:val="24"/>
                <w:color w:val="auto"/>
              </w:rPr>
            </w:pPr>
          </w:p>
        </w:tc>
        <w:tc>
          <w:tcPr>
            <w:tcW w:w="64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6440" w:type="dxa"/>
            <w:vAlign w:val="bottom"/>
          </w:tcPr>
          <w:p>
            <w:pPr>
              <w:spacing w:after="0"/>
              <w:rPr>
                <w:sz w:val="15"/>
                <w:szCs w:val="15"/>
                <w:color w:val="auto"/>
              </w:rPr>
            </w:pPr>
          </w:p>
        </w:tc>
        <w:tc>
          <w:tcPr>
            <w:tcW w:w="11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3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Leerink Partners LLC</w:t>
            </w:r>
          </w:p>
        </w:tc>
        <w:tc>
          <w:tcPr>
            <w:tcW w:w="64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7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21,000,000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7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3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4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 communicated pricing information:</w:t>
      </w:r>
    </w:p>
    <w:p>
      <w:pPr>
        <w:spacing w:after="0" w:line="266"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Number of Units:</w:t>
      </w:r>
    </w:p>
    <w:p>
      <w:pPr>
        <w:spacing w:after="0" w:line="131"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Offering Price per Unit:</w:t>
      </w:r>
    </w:p>
    <w:p>
      <w:pPr>
        <w:spacing w:after="0" w:line="131"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Exercise Price per Warrant:</w:t>
      </w:r>
    </w:p>
    <w:p>
      <w:pPr>
        <w:spacing w:after="0" w:line="131"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Warrant Coverage: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-210820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50,000,000</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$1.20</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$1.50</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100%</w:t>
      </w:r>
    </w:p>
    <w:p>
      <w:pPr>
        <w:spacing w:after="0" w:line="17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2">
            <w:col w:w="3864" w:space="720"/>
            <w:col w:w="6440"/>
          </w:cols>
          <w:pgMar w:left="436" w:top="266"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Testing-the-Water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1020"/>
          </w:cols>
          <w:pgMar w:left="440" w:top="266"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ind w:left="184" w:hanging="184"/>
        <w:spacing w:after="0"/>
        <w:tabs>
          <w:tab w:leader="none" w:pos="1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1301 Avenue of the Americas, 5th Floor</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NY 10019</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ind w:left="184" w:hanging="184"/>
        <w:spacing w:after="0"/>
        <w:tabs>
          <w:tab w:leader="none" w:pos="1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800 Nicollet Mall, Suite 800</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Minneapolis, Minnesota 55402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320" w:firstLine="440"/>
        <w:spacing w:after="0" w:line="278" w:lineRule="auto"/>
        <w:rPr>
          <w:sz w:val="20"/>
          <w:szCs w:val="20"/>
          <w:color w:val="auto"/>
        </w:rPr>
      </w:pPr>
      <w:r>
        <w:rPr>
          <w:rFonts w:ascii="Times New Roman" w:cs="Times New Roman" w:eastAsia="Times New Roman" w:hAnsi="Times New Roman"/>
          <w:sz w:val="17"/>
          <w:szCs w:val="17"/>
          <w:color w:val="auto"/>
        </w:rPr>
        <w:t>The undersigned understands that Leerink Partners LLC (“</w:t>
      </w:r>
      <w:r>
        <w:rPr>
          <w:rFonts w:ascii="Times New Roman" w:cs="Times New Roman" w:eastAsia="Times New Roman" w:hAnsi="Times New Roman"/>
          <w:sz w:val="17"/>
          <w:szCs w:val="17"/>
          <w:b w:val="1"/>
          <w:bCs w:val="1"/>
          <w:color w:val="auto"/>
        </w:rPr>
        <w:t>Leerink Partners</w:t>
      </w:r>
      <w:r>
        <w:rPr>
          <w:rFonts w:ascii="Times New Roman" w:cs="Times New Roman" w:eastAsia="Times New Roman" w:hAnsi="Times New Roman"/>
          <w:sz w:val="17"/>
          <w:szCs w:val="17"/>
          <w:color w:val="auto"/>
        </w:rPr>
        <w:t>”) and Piper Sandler &amp; Co. (“</w:t>
      </w:r>
      <w:r>
        <w:rPr>
          <w:rFonts w:ascii="Times New Roman" w:cs="Times New Roman" w:eastAsia="Times New Roman" w:hAnsi="Times New Roman"/>
          <w:sz w:val="17"/>
          <w:szCs w:val="17"/>
          <w:b w:val="1"/>
          <w:bCs w:val="1"/>
          <w:color w:val="auto"/>
        </w:rPr>
        <w:t>Piper Sandler</w:t>
      </w:r>
      <w:r>
        <w:rPr>
          <w:rFonts w:ascii="Times New Roman" w:cs="Times New Roman" w:eastAsia="Times New Roman" w:hAnsi="Times New Roman"/>
          <w:sz w:val="17"/>
          <w:szCs w:val="17"/>
          <w:color w:val="auto"/>
        </w:rPr>
        <w:t>” and, together with Leerink Partners, the “</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proposes to enter into an Underwriting Agreement (the “</w:t>
      </w:r>
      <w:r>
        <w:rPr>
          <w:rFonts w:ascii="Times New Roman" w:cs="Times New Roman" w:eastAsia="Times New Roman" w:hAnsi="Times New Roman"/>
          <w:sz w:val="17"/>
          <w:szCs w:val="17"/>
          <w:b w:val="1"/>
          <w:bCs w:val="1"/>
          <w:color w:val="auto"/>
        </w:rPr>
        <w:t>Underwriting Agreement</w:t>
      </w:r>
      <w:r>
        <w:rPr>
          <w:rFonts w:ascii="Times New Roman" w:cs="Times New Roman" w:eastAsia="Times New Roman" w:hAnsi="Times New Roman"/>
          <w:sz w:val="17"/>
          <w:szCs w:val="17"/>
          <w:color w:val="auto"/>
        </w:rPr>
        <w:t>”) with Tenaya Therapeutics,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providing for the public offering (the “</w:t>
      </w:r>
      <w:r>
        <w:rPr>
          <w:rFonts w:ascii="Times New Roman" w:cs="Times New Roman" w:eastAsia="Times New Roman" w:hAnsi="Times New Roman"/>
          <w:sz w:val="17"/>
          <w:szCs w:val="17"/>
          <w:b w:val="1"/>
          <w:bCs w:val="1"/>
          <w:color w:val="auto"/>
        </w:rPr>
        <w:t>Public Offering</w:t>
      </w:r>
      <w:r>
        <w:rPr>
          <w:rFonts w:ascii="Times New Roman" w:cs="Times New Roman" w:eastAsia="Times New Roman" w:hAnsi="Times New Roman"/>
          <w:sz w:val="17"/>
          <w:szCs w:val="17"/>
          <w:color w:val="auto"/>
        </w:rPr>
        <w:t>”) by the several Underwriters, including the Representatives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of shares of common stock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par value $0.0001 per share, of the Company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Capitalized terms used herein and not otherwise defined shall have the meanings set forth in the Underwriting Agreement.</w:t>
      </w:r>
    </w:p>
    <w:p>
      <w:pPr>
        <w:spacing w:after="0" w:line="168"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and will not publicly disclose an intention to, during the period commencing on the date hereof and ending 60 days after the date of the final prospectus supplement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Common Stock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 designed or intended, or which could</w:t>
      </w:r>
    </w:p>
    <w:p>
      <w:pPr>
        <w:sectPr>
          <w:pgSz w:w="11900" w:h="16838" w:orient="portrait"/>
          <w:cols w:equalWidth="0" w:num="1">
            <w:col w:w="11024"/>
          </w:cols>
          <w:pgMar w:left="436" w:top="266" w:right="439" w:bottom="1440" w:gutter="0" w:footer="0" w:header="0"/>
        </w:sectPr>
      </w:pPr>
    </w:p>
    <w:bookmarkStart w:id="42" w:name="page43"/>
    <w:bookmarkEnd w:id="4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sentence shall not apply to:</w:t>
      </w:r>
    </w:p>
    <w:p>
      <w:pPr>
        <w:spacing w:after="0" w:line="117" w:lineRule="exact"/>
        <w:rPr>
          <w:sz w:val="20"/>
          <w:szCs w:val="20"/>
          <w:color w:val="auto"/>
        </w:rPr>
      </w:pPr>
    </w:p>
    <w:p>
      <w:pPr>
        <w:ind w:right="20" w:firstLine="436"/>
        <w:spacing w:after="0" w:line="261"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shares of Common Stock or other Securities acquired in the Public Offering or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public announcement or filing under Section 16(a) of the Exchange Act, or any other public filing or disclosure, reporting a reduction in beneficial ownership of shares, shall be required or shall be voluntarily made during the Restricted Period in connection with subsequent sales of Common Stock or other Securities acquired in the Public Offering or in such open market transactions;</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(i) as a bona fide gift or charitable contribution in a transaction exempt under</w:t>
      </w:r>
    </w:p>
    <w:p>
      <w:pPr>
        <w:spacing w:after="0" w:line="27" w:lineRule="exact"/>
        <w:rPr>
          <w:sz w:val="20"/>
          <w:szCs w:val="20"/>
          <w:color w:val="auto"/>
        </w:rPr>
      </w:pPr>
    </w:p>
    <w:p>
      <w:pPr>
        <w:jc w:val="both"/>
        <w:ind w:right="540"/>
        <w:spacing w:after="0" w:line="253" w:lineRule="auto"/>
        <w:rPr>
          <w:sz w:val="20"/>
          <w:szCs w:val="20"/>
          <w:color w:val="auto"/>
        </w:rPr>
      </w:pPr>
      <w:r>
        <w:rPr>
          <w:rFonts w:ascii="Times New Roman" w:cs="Times New Roman" w:eastAsia="Times New Roman" w:hAnsi="Times New Roman"/>
          <w:sz w:val="18"/>
          <w:szCs w:val="18"/>
          <w:color w:val="auto"/>
        </w:rPr>
        <w:t>Section 16(b) of the Exchange Act; (ii) by will or intestate succession upon the death of the undersigned, including to the transferee’s nominee or custodian; or (iii) to an immediate family member or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81" w:lineRule="exact"/>
        <w:rPr>
          <w:sz w:val="20"/>
          <w:szCs w:val="20"/>
          <w:color w:val="auto"/>
        </w:rPr>
      </w:pPr>
    </w:p>
    <w:p>
      <w:pPr>
        <w:ind w:right="300" w:firstLine="436"/>
        <w:spacing w:after="0" w:line="282"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of shares of Common Stock or any other Securities by a stockholder that is a trust to a trustor or beneficiary of the trust or to the estate of a beneficiary of such trust;</w:t>
      </w:r>
    </w:p>
    <w:p>
      <w:pPr>
        <w:spacing w:after="0" w:line="53" w:lineRule="exact"/>
        <w:rPr>
          <w:rFonts w:ascii="Times New Roman" w:cs="Times New Roman" w:eastAsia="Times New Roman" w:hAnsi="Times New Roman"/>
          <w:sz w:val="18"/>
          <w:szCs w:val="18"/>
          <w:color w:val="auto"/>
        </w:rPr>
      </w:pPr>
    </w:p>
    <w:p>
      <w:pPr>
        <w:ind w:right="40" w:firstLine="436"/>
        <w:spacing w:after="0" w:line="277" w:lineRule="auto"/>
        <w:tabs>
          <w:tab w:leader="none" w:pos="69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undersigned is a corporation, partnership, limited liability company, trust or other business entity, (1) distributions of shares of Common Stock or other Securities to limited partners, members, stockholders or holders of similar equity interests in the undersigned (or in each case its nominee or custodian) or (2) transfers of shares of Common Stock or other Securities to another corporation, partnership, limited liability company, trust or other business entity (or in each case its nominee or custodian) that is an affiliate (as defined in Rule 405 promulgated under the Securities Act of 1933, as amended) of the undersigned, or to any investment fund or other entity controlled or managed by the undersigned or affiliates of the undersigned;</w:t>
      </w:r>
    </w:p>
    <w:p>
      <w:pPr>
        <w:spacing w:after="0" w:line="59" w:lineRule="exact"/>
        <w:rPr>
          <w:rFonts w:ascii="Times New Roman" w:cs="Times New Roman" w:eastAsia="Times New Roman" w:hAnsi="Times New Roman"/>
          <w:sz w:val="17"/>
          <w:szCs w:val="17"/>
          <w:color w:val="auto"/>
        </w:rPr>
      </w:pPr>
    </w:p>
    <w:p>
      <w:pPr>
        <w:ind w:firstLine="436"/>
        <w:spacing w:after="0" w:line="261"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transfers of shares of Common Stock or other Securities by operation of law pursuant to a qualified domestic order or in connection with a divorce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required by Section 16 of the Exchange Act shall clearly indicate in the footnotes thereto that such transfer is being made pursuant to the circumstances described in this clause (e);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other public announcement or filing shall be voluntarily made during the Restricted Period;</w:t>
      </w:r>
    </w:p>
    <w:p>
      <w:pPr>
        <w:spacing w:after="0" w:line="71" w:lineRule="exact"/>
        <w:rPr>
          <w:rFonts w:ascii="Times New Roman" w:cs="Times New Roman" w:eastAsia="Times New Roman" w:hAnsi="Times New Roman"/>
          <w:sz w:val="18"/>
          <w:szCs w:val="18"/>
          <w:color w:val="auto"/>
        </w:rPr>
      </w:pPr>
    </w:p>
    <w:p>
      <w:pPr>
        <w:ind w:right="40" w:firstLine="436"/>
        <w:spacing w:after="0" w:line="282" w:lineRule="auto"/>
        <w:tabs>
          <w:tab w:leader="none" w:pos="6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receipt by the undersigned from the Company of shares of Common Stock upon the exercise, vesting or settlement of options, restricted stock units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3" w:name="page44"/>
    <w:bookmarkEnd w:id="43"/>
    <w:p>
      <w:pPr>
        <w:ind w:left="4"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other equity awards granted under a stock incentive plan or other equity award plan, which plan is described in the registration statement related to the Public Offering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Time of Sale Prospectus (as defined in the Underwriting Agreement) and the Prospectus,</w:t>
      </w:r>
    </w:p>
    <w:p>
      <w:pPr>
        <w:ind w:left="4" w:hanging="4"/>
        <w:spacing w:after="0" w:line="267" w:lineRule="auto"/>
        <w:tabs>
          <w:tab w:leader="none" w:pos="25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transfer or disposition of shares of Common Stock or any Securities upon a vesting or settlement event of the Company’s restricted stock units or other securities or upon the exercise of any warrant or options to purchase the Company’s securities on a “cashless” or “net exercise” basis to the extent permitted by the instruments (and any transfer to the Company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the Company and the Company’s cancellation of all or a portion thereof to pay the exercise price and/or withholding tax and remittance obligations in connection with the vesting, settlement or exercise of the restricted stock unit, option or other equity award, or (3) the transfer or disposition of shares of Common Stock or any Securities in connection with the vesting or settlement of restricted stock units, for the payment of tax withholdings or remittance payments due as a result of the vesting or settlement of such restricted stock units, in all such cases, pursuant to equity awards granted under a stock incentive plan or other equity award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(yy) that the shares received upon vesting, settlement or exercise of the restricted stock unit, option or other equity award are subject to this Lock-Up Agreement, and (zz) that no public announcement or filing shall be voluntarily made by or on behalf of the undersigned during the Restricted Period, and any filing under Section 16 of the Exchange Act reporting a reduction in beneficial ownership of Common Stock that is required to be made during the Restricted Period shall include a statement to the effect that such transaction reflects the circumstances described in (1), (2) or (3), as the case may be;</w:t>
      </w:r>
    </w:p>
    <w:p>
      <w:pPr>
        <w:spacing w:after="0" w:line="69" w:lineRule="exact"/>
        <w:rPr>
          <w:rFonts w:ascii="Times New Roman" w:cs="Times New Roman" w:eastAsia="Times New Roman" w:hAnsi="Times New Roman"/>
          <w:sz w:val="17"/>
          <w:szCs w:val="17"/>
          <w:color w:val="auto"/>
        </w:rPr>
      </w:pPr>
    </w:p>
    <w:p>
      <w:pPr>
        <w:ind w:left="4" w:right="100" w:firstLine="436"/>
        <w:spacing w:after="0" w:line="256" w:lineRule="auto"/>
        <w:tabs>
          <w:tab w:leader="none" w:pos="69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shares of Common Stock or any Security to the Company pursuant to any contractual arrangement in effect on the date of this agreement and disclosed to the Underwriters in writing that provides for the repurchase by the Company of the undersigned’s Common Stock or other Securities pursuant to a repurchase right arising in connection with the termination of the undersigned’s employment with or service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under Section 16 of the Exchange Act reporting a reduction in beneficial ownership of Common Stock shall indicate by footnote disclosure or otherwise the nature of the transfer or disposition pursuant to circumstances described in this clause;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other public announcement or filing shall be required or shall be voluntarily made during the Restricted Period;</w:t>
      </w:r>
    </w:p>
    <w:p>
      <w:pPr>
        <w:spacing w:after="0" w:line="79" w:lineRule="exact"/>
        <w:rPr>
          <w:rFonts w:ascii="Times New Roman" w:cs="Times New Roman" w:eastAsia="Times New Roman" w:hAnsi="Times New Roman"/>
          <w:sz w:val="18"/>
          <w:szCs w:val="18"/>
          <w:color w:val="auto"/>
        </w:rPr>
      </w:pPr>
    </w:p>
    <w:p>
      <w:pPr>
        <w:ind w:left="4" w:right="260" w:firstLine="436"/>
        <w:spacing w:after="0" w:line="261" w:lineRule="auto"/>
        <w:tabs>
          <w:tab w:leader="none" w:pos="69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transfers of shares of Common Stock or other Securities pursuant to a bona fide third-party tender offer, merger, consolidation or other similar transaction involving a Change of Control (as defined below) of the Company which occurs after the consummation of the Public Offering, is open to all holders of the Company’s Common Stock and that is approved by the Board of Directors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 not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44" w:name="page45"/>
    <w:bookmarkEnd w:id="44"/>
    <w:p>
      <w:pPr>
        <w:ind w:right="3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completed, the Securities held by the undersigned shall remain subject to the provisions of this Lock-Up agreement (for purposes of this clause (h),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(or the surviving entity));</w:t>
      </w:r>
    </w:p>
    <w:p>
      <w:pPr>
        <w:spacing w:after="0" w:line="75" w:lineRule="exact"/>
        <w:rPr>
          <w:sz w:val="20"/>
          <w:szCs w:val="20"/>
          <w:color w:val="auto"/>
        </w:rPr>
      </w:pPr>
    </w:p>
    <w:p>
      <w:pPr>
        <w:ind w:right="60" w:firstLine="436"/>
        <w:spacing w:after="0" w:line="256"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pursuant to Rule 10b5-1 under the Exchange Act for the transfer of shares of Common Stock (a “</w:t>
      </w:r>
      <w:r>
        <w:rPr>
          <w:rFonts w:ascii="Times New Roman" w:cs="Times New Roman" w:eastAsia="Times New Roman" w:hAnsi="Times New Roman"/>
          <w:sz w:val="18"/>
          <w:szCs w:val="18"/>
          <w:b w:val="1"/>
          <w:bCs w:val="1"/>
          <w:color w:val="auto"/>
        </w:rPr>
        <w:t>10b5-1 Trading Plan</w:t>
      </w:r>
      <w:r>
        <w:rPr>
          <w:rFonts w:ascii="Times New Roman" w:cs="Times New Roman" w:eastAsia="Times New Roman" w:hAnsi="Times New Roman"/>
          <w:sz w:val="18"/>
          <w:szCs w:val="18"/>
          <w:color w:val="auto"/>
        </w:rPr>
        <w:t>”), provided that (i) such plan does not provide for the transfer of Common Stock during the Restricted Period; (ii) no public announcement, report, or filing under the Exchange Act, or any public filing, report or announcement, shall be voluntarily made regarding the establishment or amendment of such plan during the Restricted Period and (iii) to the extent a public announcement or filing under the Exchange Act, if any, is required of the undersigned or the Company regarding the establishment of such plan during the Restricted Period, such announcement or filing shall include a statement to the effect that no transfer of Common Stock may be made under such plan during the Restricted Period; or</w:t>
      </w:r>
    </w:p>
    <w:p>
      <w:pPr>
        <w:spacing w:after="0" w:line="79" w:lineRule="exact"/>
        <w:rPr>
          <w:rFonts w:ascii="Times New Roman" w:cs="Times New Roman" w:eastAsia="Times New Roman" w:hAnsi="Times New Roman"/>
          <w:sz w:val="18"/>
          <w:szCs w:val="18"/>
          <w:color w:val="auto"/>
        </w:rPr>
      </w:pPr>
    </w:p>
    <w:p>
      <w:pPr>
        <w:ind w:right="140" w:firstLine="436"/>
        <w:spacing w:after="0" w:line="261"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of shares of Common Stock pursuant to a 10b5-1 Trading Plan (provided that such plan was established prior to the execution of this agreement by the undersigned),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under Section 16(a) of the Exchange Act that is made in connection with any such sales during the Restricted Period shall state that such sales have been executed under a 10b5-1 Trading Plan and shall also state the date such 10b5-1 Trading Plan was adopted;</w:t>
      </w:r>
    </w:p>
    <w:p>
      <w:pPr>
        <w:spacing w:after="0" w:line="178"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or distribution pursuant to clauses (b), (c), and (d) above, each donee, trustee, transferee or distributee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sign and deliver a lock-up agreement to the Representatives substantially in the form of this Lock-Up Agreement;</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transfer or distribution pursuant to clauses (b), (c), (d) and (h) above, no filing under Section 16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Act, reporting a reduction in beneficial ownership of shares of Common Stock and no other public announcement or filing shall be required or shall be voluntarily made during the Restricted Period (other than a filing in the case of a transfer pursuant to clause (b)(i) required pursuant to Section 16(a)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filing shall state that such transfer is a bona fide gift and that such shares remain subject to the restrictions set forth herein);</w:t>
      </w:r>
    </w:p>
    <w:p>
      <w:pPr>
        <w:spacing w:after="0" w:line="183"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transfer or distribution pursuant to clauses (b), (c), (d) and (e) above, such transfer or distribution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 a disposition for value; and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5" w:name="page46"/>
    <w:bookmarkEnd w:id="45"/>
    <w:p>
      <w:pPr>
        <w:ind w:left="4"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further </w:t>
      </w:r>
      <w:r>
        <w:rPr>
          <w:rFonts w:ascii="Times New Roman" w:cs="Times New Roman" w:eastAsia="Times New Roman" w:hAnsi="Times New Roman"/>
          <w:sz w:val="18"/>
          <w:szCs w:val="18"/>
          <w:color w:val="auto"/>
        </w:rPr>
        <w:t>that in the event of any transfer or distribution for which a public filing under Section 16 of the Exchange Act or any other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or announcement is permitted hereunder, the undersigned covenants and agrees to use commercially reasonable efforts to give the Representatives written notice at least one business day (which, for the avoidance of doubt, shall be at least a twenty-four (24) hour period) before such filing or announcement.</w:t>
      </w:r>
    </w:p>
    <w:p>
      <w:pPr>
        <w:spacing w:after="0" w:line="18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the Representatives on behalf of the Underwriters, it will not, during the Restricted Period, make any demand for or exercise any right with respect to, the registration of any shares of Common Stock or other Securities.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0"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The undersigned agrees that, to the extent that the terms of this Lock-Up Agreement conflict with or are in any way inconsistent with any prior investor rights agreement, prior registration rights agreement, prior market standoff agreement or any other prior lock-up or similar prior agreement to which the undersigned and the Company may be a party, this Lock-Up Agreement supersedes such prior agreement.</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jc w:val="both"/>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Notwithstanding anything to the contrary contained herein, this agreement will automatically terminate and the undersigned will be released from all of his, her or its obligations hereunder upon the earliest to occur, if any, of (i) the date that the Company, on the one hand, or the Representatives, on the other hand, advises in writing prior to the execution of the Underwriting Agreement, that it has determined not to proceed with the Public Offering,</w:t>
      </w:r>
    </w:p>
    <w:p>
      <w:pPr>
        <w:spacing w:after="0" w:line="2" w:lineRule="exact"/>
        <w:rPr>
          <w:sz w:val="20"/>
          <w:szCs w:val="20"/>
          <w:color w:val="auto"/>
        </w:rPr>
      </w:pPr>
    </w:p>
    <w:p>
      <w:pPr>
        <w:ind w:left="264" w:hanging="264"/>
        <w:spacing w:after="0"/>
        <w:tabs>
          <w:tab w:leader="none" w:pos="2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Company withdraws the Registration Statement related to the Public Offering before the execution of the Underwriting Agreement,</w:t>
      </w:r>
    </w:p>
    <w:p>
      <w:pPr>
        <w:spacing w:after="0" w:line="9" w:lineRule="exact"/>
        <w:rPr>
          <w:rFonts w:ascii="Times New Roman" w:cs="Times New Roman" w:eastAsia="Times New Roman" w:hAnsi="Times New Roman"/>
          <w:sz w:val="18"/>
          <w:szCs w:val="18"/>
          <w:color w:val="auto"/>
        </w:rPr>
      </w:pPr>
    </w:p>
    <w:p>
      <w:pPr>
        <w:ind w:left="4" w:right="540" w:hanging="4"/>
        <w:spacing w:after="0" w:line="260" w:lineRule="auto"/>
        <w:tabs>
          <w:tab w:leader="none" w:pos="3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Underwriting Agreement is executed but is terminated (other than the provisions thereof which survive termination) prior to payment for and delivery of the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8" w:right="479" w:bottom="1440" w:gutter="0" w:footer="0" w:header="0"/>
        </w:sectPr>
      </w:pPr>
    </w:p>
    <w:bookmarkStart w:id="46" w:name="page47"/>
    <w:bookmarkEnd w:id="46"/>
    <w:p>
      <w:pPr>
        <w:ind w:right="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to be sold thereunder or (iv) December 31, 2025 in the event that the Underwriting Agreement has not been executed by such date, provided that the Company may by written notice to the undersigned prior to December 31, 2025, extend such date for a period of up to an additional three months.</w:t>
      </w:r>
    </w:p>
    <w:p>
      <w:pPr>
        <w:spacing w:after="0" w:line="14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undersigned hereby waives any and all notice requirements and rights with respect to the registration of securities pursuant to any agreement, understanding or anything otherwise setting forth the terms of any security of the Company held by the undersigned, including any registration rights agreement to which the undersigned and the Company may be a party; provided, however, that such waiver shall apply only to the proposed Public Offering, any other action taken by the Company in connection with the proposed Public Offering.</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undersigned and the Representatives hereby consent to receipt of this agreement in electronic form and understand and agree that this agreement may be signed electronically. In the event that any signature is delivered by facsimile transmission, electronic mail, or otherwise by electronic transmission evidencing an intent to sign this agreement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Very truly yours,</w:t>
            </w:r>
          </w:p>
        </w:tc>
        <w:tc>
          <w:tcPr>
            <w:tcW w:w="152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5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AN INDIVIDUAL:</w:t>
            </w:r>
          </w:p>
        </w:tc>
        <w:tc>
          <w:tcPr>
            <w:tcW w:w="5820" w:type="dxa"/>
            <w:vAlign w:val="bottom"/>
            <w:gridSpan w:val="2"/>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w w:val="98"/>
              </w:rPr>
              <w:t>IF AN ENTITY:</w:t>
            </w:r>
          </w:p>
        </w:tc>
      </w:tr>
      <w:tr>
        <w:trPr>
          <w:trHeight w:val="432"/>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430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tc>
        <w:tc>
          <w:tcPr>
            <w:tcW w:w="1520" w:type="dxa"/>
            <w:vAlign w:val="bottom"/>
          </w:tcPr>
          <w:p>
            <w:pPr>
              <w:spacing w:after="0"/>
              <w:rPr>
                <w:sz w:val="19"/>
                <w:szCs w:val="19"/>
                <w:color w:val="auto"/>
              </w:rPr>
            </w:pPr>
          </w:p>
        </w:tc>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(please print complete name of entity)</w:t>
            </w:r>
          </w:p>
        </w:tc>
      </w:tr>
      <w:tr>
        <w:trPr>
          <w:trHeight w:val="42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5820" w:type="dxa"/>
            <w:vAlign w:val="bottom"/>
            <w:gridSpan w:val="2"/>
          </w:tcPr>
          <w:p>
            <w:pPr>
              <w:jc w:val="center"/>
              <w:ind w:right="3150"/>
              <w:spacing w:after="0"/>
              <w:rPr>
                <w:sz w:val="20"/>
                <w:szCs w:val="20"/>
                <w:color w:val="auto"/>
              </w:rPr>
            </w:pPr>
            <w:r>
              <w:rPr>
                <w:rFonts w:ascii="Times New Roman" w:cs="Times New Roman" w:eastAsia="Times New Roman" w:hAnsi="Times New Roman"/>
                <w:sz w:val="18"/>
                <w:szCs w:val="18"/>
                <w:color w:val="auto"/>
                <w:w w:val="99"/>
              </w:rPr>
              <w:t>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0</wp:posOffset>
            </wp:positionV>
            <wp:extent cx="6420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p>
      <w:pPr>
        <w:spacing w:after="0" w:line="7"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i w:val="1"/>
          <w:iCs w:val="1"/>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33000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0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33000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18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17145</wp:posOffset>
            </wp:positionV>
            <wp:extent cx="27260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(please print full name)</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17145</wp:posOffset>
            </wp:positionV>
            <wp:extent cx="27260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i w:val="1"/>
          <w:iCs w:val="1"/>
          <w:color w:val="auto"/>
        </w:rPr>
        <w:t>(please print full title)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291465</wp:posOffset>
            </wp:positionV>
            <wp:extent cx="32829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582930</wp:posOffset>
            </wp:positionV>
            <wp:extent cx="32829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040"/>
          </w:cols>
          <w:pgMar w:left="440" w:top="26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17145</wp:posOffset>
            </wp:positionV>
            <wp:extent cx="64204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type w:val="continuous"/>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WARRANT TO PURCHASE COMMON STOCK</w:t>
      </w:r>
    </w:p>
    <w:p>
      <w:pPr>
        <w:spacing w:after="0" w:line="229" w:lineRule="exact"/>
        <w:rPr>
          <w:sz w:val="20"/>
          <w:szCs w:val="20"/>
          <w:color w:val="auto"/>
        </w:rPr>
      </w:pPr>
    </w:p>
    <w:p>
      <w:pPr>
        <w:ind w:left="9304"/>
        <w:spacing w:after="0"/>
        <w:rPr>
          <w:sz w:val="20"/>
          <w:szCs w:val="20"/>
          <w:color w:val="auto"/>
        </w:rPr>
      </w:pPr>
      <w:r>
        <w:rPr>
          <w:rFonts w:ascii="Times New Roman" w:cs="Times New Roman" w:eastAsia="Times New Roman" w:hAnsi="Times New Roman"/>
          <w:sz w:val="17"/>
          <w:szCs w:val="17"/>
          <w:color w:val="auto"/>
        </w:rPr>
        <w:t>Number of Shares: [   ]</w:t>
      </w:r>
    </w:p>
    <w:p>
      <w:pPr>
        <w:spacing w:after="0" w:line="39" w:lineRule="exact"/>
        <w:rPr>
          <w:sz w:val="20"/>
          <w:szCs w:val="20"/>
          <w:color w:val="auto"/>
        </w:rPr>
      </w:pPr>
    </w:p>
    <w:p>
      <w:pPr>
        <w:ind w:left="9364"/>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34" w:lineRule="exact"/>
        <w:rPr>
          <w:sz w:val="20"/>
          <w:szCs w:val="20"/>
          <w:color w:val="auto"/>
        </w:rPr>
      </w:pPr>
    </w:p>
    <w:p>
      <w:pPr>
        <w:ind w:left="4"/>
        <w:spacing w:after="0"/>
        <w:tabs>
          <w:tab w:leader="none" w:pos="8104" w:val="left"/>
        </w:tabs>
        <w:rPr>
          <w:sz w:val="20"/>
          <w:szCs w:val="20"/>
          <w:color w:val="auto"/>
        </w:rPr>
      </w:pPr>
      <w:r>
        <w:rPr>
          <w:rFonts w:ascii="Times New Roman" w:cs="Times New Roman" w:eastAsia="Times New Roman" w:hAnsi="Times New Roman"/>
          <w:sz w:val="18"/>
          <w:szCs w:val="18"/>
          <w:color w:val="auto"/>
        </w:rPr>
        <w:t>Warrant No. [   ]</w:t>
      </w:r>
      <w:r>
        <w:rPr>
          <w:sz w:val="20"/>
          <w:szCs w:val="20"/>
          <w:color w:val="auto"/>
        </w:rPr>
        <w:tab/>
      </w:r>
      <w:r>
        <w:rPr>
          <w:rFonts w:ascii="Times New Roman" w:cs="Times New Roman" w:eastAsia="Times New Roman" w:hAnsi="Times New Roman"/>
          <w:sz w:val="18"/>
          <w:szCs w:val="18"/>
          <w:color w:val="auto"/>
        </w:rPr>
        <w:t>Original Issue Date: December [ ], 2025</w:t>
      </w:r>
    </w:p>
    <w:p>
      <w:pPr>
        <w:spacing w:after="0" w:line="223" w:lineRule="exact"/>
        <w:rPr>
          <w:sz w:val="20"/>
          <w:szCs w:val="20"/>
          <w:color w:val="auto"/>
        </w:rPr>
      </w:pPr>
    </w:p>
    <w:p>
      <w:pPr>
        <w:ind w:left="4" w:right="260"/>
        <w:spacing w:after="0" w:line="255" w:lineRule="auto"/>
        <w:rPr>
          <w:sz w:val="20"/>
          <w:szCs w:val="20"/>
          <w:color w:val="auto"/>
        </w:rPr>
      </w:pPr>
      <w:r>
        <w:rPr>
          <w:rFonts w:ascii="Times New Roman" w:cs="Times New Roman" w:eastAsia="Times New Roman" w:hAnsi="Times New Roman"/>
          <w:sz w:val="18"/>
          <w:szCs w:val="18"/>
          <w:color w:val="auto"/>
        </w:rPr>
        <w:t>Tenaya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 or its registered assigns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 shares of common stock, $0.001 par value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i w:val="1"/>
          <w:i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i w:val="1"/>
          <w:iCs w:val="1"/>
          <w:color w:val="auto"/>
        </w:rPr>
        <w:t>Warrant Shares</w:t>
      </w:r>
      <w:r>
        <w:rPr>
          <w:rFonts w:ascii="Times New Roman" w:cs="Times New Roman" w:eastAsia="Times New Roman" w:hAnsi="Times New Roman"/>
          <w:sz w:val="18"/>
          <w:szCs w:val="18"/>
          <w:color w:val="auto"/>
        </w:rPr>
        <w:t xml:space="preserve">”) at an exercise price per share equal to $[ ]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xml:space="preserve">”), upon exercise of this </w:t>
      </w:r>
      <w:r>
        <w:rPr>
          <w:rFonts w:ascii="Times New Roman" w:cs="Times New Roman" w:eastAsia="Times New Roman" w:hAnsi="Times New Roman"/>
          <w:sz w:val="18"/>
          <w:szCs w:val="18"/>
          <w:i w:val="1"/>
          <w:iCs w:val="1"/>
          <w:color w:val="auto"/>
        </w:rPr>
        <w:t>Warrant to Purchase Common Stock</w:t>
      </w:r>
      <w:r>
        <w:rPr>
          <w:rFonts w:ascii="Times New Roman" w:cs="Times New Roman" w:eastAsia="Times New Roman" w:hAnsi="Times New Roman"/>
          <w:sz w:val="18"/>
          <w:szCs w:val="18"/>
          <w:color w:val="auto"/>
        </w:rPr>
        <w:t xml:space="preserve"> (including any </w:t>
      </w:r>
      <w:r>
        <w:rPr>
          <w:rFonts w:ascii="Times New Roman" w:cs="Times New Roman" w:eastAsia="Times New Roman" w:hAnsi="Times New Roman"/>
          <w:sz w:val="18"/>
          <w:szCs w:val="18"/>
          <w:i w:val="1"/>
          <w:iCs w:val="1"/>
          <w:color w:val="auto"/>
        </w:rPr>
        <w:t>Warrants to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issued in exchange, transfer or replacement hereof,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at any time and from time to time on or after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Issue Date</w:t>
      </w:r>
      <w:r>
        <w:rPr>
          <w:rFonts w:ascii="Times New Roman" w:cs="Times New Roman" w:eastAsia="Times New Roman" w:hAnsi="Times New Roman"/>
          <w:sz w:val="18"/>
          <w:szCs w:val="18"/>
          <w:color w:val="auto"/>
        </w:rPr>
        <w:t>”) and on or prior to 5:00 P.M., New York City time on the five year anniversary of the Original Issue Date (the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subject to the following terms and conditions: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3" w:lineRule="exact"/>
        <w:rPr>
          <w:sz w:val="20"/>
          <w:szCs w:val="20"/>
          <w:color w:val="auto"/>
        </w:rPr>
      </w:pPr>
    </w:p>
    <w:p>
      <w:pPr>
        <w:ind w:left="4" w:right="20" w:hanging="4"/>
        <w:spacing w:after="0" w:line="277" w:lineRule="auto"/>
        <w:tabs>
          <w:tab w:leader="none" w:pos="249"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spacing w:after="0" w:line="167"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4" w:right="220" w:hanging="4"/>
        <w:spacing w:after="0" w:line="284" w:lineRule="auto"/>
        <w:tabs>
          <w:tab w:leader="none" w:pos="2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Select Market.</w:t>
      </w:r>
    </w:p>
    <w:p>
      <w:pPr>
        <w:spacing w:after="0" w:line="158"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means the Company’s Registration Statement on Form S-3 (File No. 333-266741), declared effective on August 17, 2022.</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ectPr>
          <w:pgSz w:w="11900" w:h="16838" w:orient="portrait"/>
          <w:cols w:equalWidth="0" w:num="1">
            <w:col w:w="11024"/>
          </w:cols>
          <w:pgMar w:left="436" w:top="266" w:right="439" w:bottom="1440" w:gutter="0" w:footer="0" w:header="0"/>
        </w:sectPr>
      </w:pPr>
    </w:p>
    <w:bookmarkStart w:id="49" w:name="page50"/>
    <w:bookmarkEnd w:id="49"/>
    <w:p>
      <w:pPr>
        <w:ind w:left="4" w:right="280" w:hanging="4"/>
        <w:spacing w:after="0" w:line="284"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Principal Trading Market with respect to the Common Stock as in effect on the date of delivery of the Exercise Notice.</w:t>
      </w:r>
    </w:p>
    <w:p>
      <w:pPr>
        <w:spacing w:after="0" w:line="158"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rFonts w:ascii="Times New Roman" w:cs="Times New Roman" w:eastAsia="Times New Roman" w:hAnsi="Times New Roman"/>
          <w:sz w:val="18"/>
          <w:szCs w:val="18"/>
          <w:color w:val="auto"/>
        </w:rPr>
      </w:pPr>
    </w:p>
    <w:p>
      <w:pPr>
        <w:ind w:left="4" w:right="80" w:hanging="4"/>
        <w:spacing w:after="0" w:line="284" w:lineRule="auto"/>
        <w:tabs>
          <w:tab w:leader="none" w:pos="2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60" w:lineRule="exact"/>
        <w:rPr>
          <w:sz w:val="20"/>
          <w:szCs w:val="20"/>
          <w:color w:val="auto"/>
        </w:rPr>
      </w:pPr>
    </w:p>
    <w:p>
      <w:pPr>
        <w:ind w:left="4" w:hanging="4"/>
        <w:spacing w:after="0" w:line="254" w:lineRule="auto"/>
        <w:tabs>
          <w:tab w:leader="none" w:pos="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 Registration of Warrants</w:t>
      </w:r>
      <w:r>
        <w:rPr>
          <w:rFonts w:ascii="Times New Roman" w:cs="Times New Roman" w:eastAsia="Times New Roman" w:hAnsi="Times New Roman"/>
          <w:sz w:val="18"/>
          <w:szCs w:val="18"/>
          <w:color w:val="auto"/>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cs="Times New Roman" w:eastAsia="Times New Roman" w:hAnsi="Times New Roman"/>
          <w:sz w:val="18"/>
          <w:szCs w:val="18"/>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91" w:lineRule="exact"/>
        <w:rPr>
          <w:rFonts w:ascii="Times New Roman" w:cs="Times New Roman" w:eastAsia="Times New Roman" w:hAnsi="Times New Roman"/>
          <w:sz w:val="18"/>
          <w:szCs w:val="18"/>
          <w:color w:val="auto"/>
        </w:rPr>
      </w:pPr>
    </w:p>
    <w:p>
      <w:pPr>
        <w:ind w:left="4" w:hanging="4"/>
        <w:spacing w:after="0" w:line="254" w:lineRule="auto"/>
        <w:tabs>
          <w:tab w:leader="none" w:pos="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8"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and Duration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hanging="4"/>
        <w:spacing w:after="0" w:line="282" w:lineRule="auto"/>
        <w:tabs>
          <w:tab w:leader="none" w:pos="2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this Warrant at any time and from time to time on or after the Original Issue Date and on or before the Termination Date.</w:t>
      </w:r>
    </w:p>
    <w:p>
      <w:pPr>
        <w:spacing w:after="0" w:line="161" w:lineRule="exact"/>
        <w:rPr>
          <w:rFonts w:ascii="Times New Roman" w:cs="Times New Roman" w:eastAsia="Times New Roman" w:hAnsi="Times New Roman"/>
          <w:sz w:val="18"/>
          <w:szCs w:val="18"/>
          <w:color w:val="auto"/>
        </w:rPr>
      </w:pPr>
    </w:p>
    <w:p>
      <w:pPr>
        <w:ind w:left="4" w:right="20" w:hanging="4"/>
        <w:spacing w:after="0" w:line="252" w:lineRule="auto"/>
        <w:tabs>
          <w:tab w:leader="none" w:pos="2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of the purchase rights represented by this Warrant may be made, in whole or in part, at any time or times on or after the Original Issue Date and on or before the Termination Date by delivery to the Company of a duly executed facsimile copy or PDF copy submitted by e-mail (or e-mail attachment) of the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i w:val="1"/>
          <w:iCs w:val="1"/>
          <w:color w:val="auto"/>
        </w:rPr>
        <w:t>Exercise Notice</w:t>
      </w:r>
      <w:r>
        <w:rPr>
          <w:rFonts w:ascii="Times New Roman" w:cs="Times New Roman" w:eastAsia="Times New Roman" w:hAnsi="Times New Roman"/>
          <w:sz w:val="18"/>
          <w:szCs w:val="18"/>
          <w:color w:val="auto"/>
        </w:rPr>
        <w:t>”, and the date of receipt of such Exercise Notice, the “</w:t>
      </w:r>
      <w:r>
        <w:rPr>
          <w:rFonts w:ascii="Times New Roman" w:cs="Times New Roman" w:eastAsia="Times New Roman" w:hAnsi="Times New Roman"/>
          <w:sz w:val="18"/>
          <w:szCs w:val="18"/>
          <w:i w:val="1"/>
          <w:iCs w:val="1"/>
          <w:color w:val="auto"/>
        </w:rPr>
        <w:t>Exercise Date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following the date of exercise as aforesaid, the Holder shall deliver the aggregate Exercise Price for the number of Warrant Shares specified in the applicable Exercise Notice by wire transfer or cashier’s check drawn on a United States bank unless the cashless exercise procedure specified below is specified in the applicable Exercise Notice. No ink-original Exercise Notice shall be required, nor shall any medallion guarantee (or other type of guarantee or notarization) of any Exercise Notice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Exercise Notice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following the purchase</w:t>
      </w:r>
    </w:p>
    <w:p>
      <w:pPr>
        <w:sectPr>
          <w:pgSz w:w="11900" w:h="16838" w:orient="portrait"/>
          <w:cols w:equalWidth="0" w:num="1">
            <w:col w:w="11004"/>
          </w:cols>
          <w:pgMar w:left="436" w:top="268" w:right="459" w:bottom="1440" w:gutter="0" w:footer="0" w:header="0"/>
        </w:sectPr>
      </w:pPr>
    </w:p>
    <w:bookmarkStart w:id="50" w:name="page51"/>
    <w:bookmarkEnd w:id="50"/>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 portion of the Warrant Shares hereunder, the number of Warrant Shares available for purchase hereunder at any given time may be less than the amount stated on the face hereof.</w:t>
      </w:r>
    </w:p>
    <w:p>
      <w:pPr>
        <w:spacing w:after="0" w:line="159" w:lineRule="exact"/>
        <w:rPr>
          <w:sz w:val="20"/>
          <w:szCs w:val="20"/>
          <w:color w:val="auto"/>
        </w:rPr>
      </w:pPr>
    </w:p>
    <w:p>
      <w:pPr>
        <w:ind w:left="4" w:right="160" w:hanging="4"/>
        <w:spacing w:after="0" w:line="266" w:lineRule="auto"/>
        <w:tabs>
          <w:tab w:leader="none" w:pos="2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6" w:lineRule="exact"/>
        <w:rPr>
          <w:sz w:val="20"/>
          <w:szCs w:val="20"/>
          <w:color w:val="auto"/>
        </w:rPr>
      </w:pPr>
    </w:p>
    <w:p>
      <w:pPr>
        <w:ind w:left="184" w:hanging="184"/>
        <w:spacing w:after="0"/>
        <w:tabs>
          <w:tab w:leader="none" w:pos="1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hanging="4"/>
        <w:spacing w:after="0" w:line="253" w:lineRule="auto"/>
        <w:tabs>
          <w:tab w:leader="none" w:pos="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or will cause its Transfer Agent to, promptly (but in no event later than two (2) Trading Days after the Exercise Date, provided the Company has received the Exercise Price related to such exercise by such date), upon the request of the Holder,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through its Deposit Withdrawal Agent Commission system, or if the Transfer Agent is not participating in the Fast Automated Securities Transfer Program (the “</w:t>
      </w:r>
      <w:r>
        <w:rPr>
          <w:rFonts w:ascii="Times New Roman" w:cs="Times New Roman" w:eastAsia="Times New Roman" w:hAnsi="Times New Roman"/>
          <w:sz w:val="18"/>
          <w:szCs w:val="18"/>
          <w:i w:val="1"/>
          <w:iCs w:val="1"/>
          <w:color w:val="auto"/>
        </w:rPr>
        <w:t>FAST Program</w:t>
      </w:r>
      <w:r>
        <w:rPr>
          <w:rFonts w:ascii="Times New Roman" w:cs="Times New Roman" w:eastAsia="Times New Roman" w:hAnsi="Times New Roman"/>
          <w:sz w:val="18"/>
          <w:szCs w:val="18"/>
          <w:color w:val="auto"/>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DTC (or its nominee) or any natural person or legal entity (each, a “Person”)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In addition, solely for purposes of Regulation SHO, the Holder will be deemed to be the holder of record of Warrant Shares upon delivery of the Exercise Notice relating thereto.</w:t>
      </w:r>
    </w:p>
    <w:p>
      <w:pPr>
        <w:spacing w:after="0" w:line="189" w:lineRule="exact"/>
        <w:rPr>
          <w:rFonts w:ascii="Times New Roman" w:cs="Times New Roman" w:eastAsia="Times New Roman" w:hAnsi="Times New Roman"/>
          <w:sz w:val="18"/>
          <w:szCs w:val="18"/>
          <w:color w:val="auto"/>
        </w:rPr>
      </w:pPr>
    </w:p>
    <w:p>
      <w:pPr>
        <w:ind w:left="4" w:hanging="4"/>
        <w:spacing w:after="0" w:line="269" w:lineRule="auto"/>
        <w:tabs>
          <w:tab w:leader="none" w:pos="25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by the close of the second (2nd) Trading Day after the Exercise Date, the Company fails to deliver to the Holder a certificate representing the required number of Warrant Shares in the manner required pursuant to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or fails to or cause the Transfer Agent to credit the Holder’s balance account with DTC for such number of Warrant Shares to which the Holder is entitled, and if after such second (2nd)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i w:val="1"/>
          <w:iCs w:val="1"/>
          <w:color w:val="auto"/>
        </w:rPr>
        <w:t>Buy-In</w:t>
      </w:r>
      <w:r>
        <w:rPr>
          <w:rFonts w:ascii="Times New Roman" w:cs="Times New Roman" w:eastAsia="Times New Roman" w:hAnsi="Times New Roman"/>
          <w:sz w:val="17"/>
          <w:szCs w:val="17"/>
          <w:color w:val="auto"/>
        </w:rPr>
        <w:t>”), then the Company shall, within three</w:t>
      </w:r>
    </w:p>
    <w:p>
      <w:pPr>
        <w:spacing w:after="0" w:line="2" w:lineRule="exact"/>
        <w:rPr>
          <w:rFonts w:ascii="Times New Roman" w:cs="Times New Roman" w:eastAsia="Times New Roman" w:hAnsi="Times New Roman"/>
          <w:sz w:val="17"/>
          <w:szCs w:val="17"/>
          <w:color w:val="auto"/>
        </w:rPr>
      </w:pPr>
    </w:p>
    <w:p>
      <w:pPr>
        <w:ind w:left="4" w:right="8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Trading Days after the Holder’s request and in the Holder’s sole discretion, either (i) pay in cash to the Holder an amount equal to the Holder’s total purchase price (including brokerage commissions, if any) for the shares of Common Stock so purchased, at which point the Company’s obligation to deliver such certificate (and to issue such Warrant Shares) or to cause the Holder’s DTC account to be credited for such Warrant Shares shall terminate or (ii)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w:t>
      </w:r>
    </w:p>
    <w:p>
      <w:pPr>
        <w:spacing w:after="0" w:line="175" w:lineRule="exact"/>
        <w:rPr>
          <w:rFonts w:ascii="Times New Roman" w:cs="Times New Roman" w:eastAsia="Times New Roman" w:hAnsi="Times New Roman"/>
          <w:sz w:val="17"/>
          <w:szCs w:val="17"/>
          <w:color w:val="auto"/>
        </w:rPr>
      </w:pPr>
    </w:p>
    <w:p>
      <w:pPr>
        <w:ind w:left="4" w:hanging="4"/>
        <w:spacing w:after="0" w:line="254" w:lineRule="auto"/>
        <w:tabs>
          <w:tab w:leader="none" w:pos="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Section 5(b), the Company’s obligations to or to cause the Transfer Agent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188" w:lineRule="exact"/>
        <w:rPr>
          <w:sz w:val="20"/>
          <w:szCs w:val="20"/>
          <w:color w:val="auto"/>
        </w:rPr>
      </w:pPr>
    </w:p>
    <w:p>
      <w:pPr>
        <w:jc w:val="both"/>
        <w:ind w:left="4" w:right="60" w:hanging="4"/>
        <w:spacing w:after="0" w:line="266" w:lineRule="auto"/>
        <w:tabs>
          <w:tab w:leader="none" w:pos="1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w:t>
      </w:r>
    </w:p>
    <w:p>
      <w:pPr>
        <w:sectPr>
          <w:pgSz w:w="11900" w:h="16838" w:orient="portrait"/>
          <w:cols w:equalWidth="0" w:num="1">
            <w:col w:w="10984"/>
          </w:cols>
          <w:pgMar w:left="436" w:top="266" w:right="479" w:bottom="1440" w:gutter="0" w:footer="0" w:header="0"/>
        </w:sectPr>
      </w:pPr>
    </w:p>
    <w:bookmarkStart w:id="51" w:name="page52"/>
    <w:bookmarkEnd w:id="51"/>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which taxes and expenses shall be paid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sz w:val="20"/>
          <w:szCs w:val="20"/>
          <w:color w:val="auto"/>
        </w:rPr>
      </w:pPr>
    </w:p>
    <w:p>
      <w:pPr>
        <w:ind w:left="4" w:hanging="4"/>
        <w:spacing w:after="0" w:line="255" w:lineRule="auto"/>
        <w:tabs>
          <w:tab w:leader="none" w:pos="18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not the posting of any surety or similar bond).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88" w:lineRule="exact"/>
        <w:rPr>
          <w:rFonts w:ascii="Times New Roman" w:cs="Times New Roman" w:eastAsia="Times New Roman" w:hAnsi="Times New Roman"/>
          <w:sz w:val="18"/>
          <w:szCs w:val="18"/>
          <w:color w:val="auto"/>
        </w:rPr>
      </w:pPr>
    </w:p>
    <w:p>
      <w:pPr>
        <w:ind w:left="4" w:right="20" w:hanging="4"/>
        <w:spacing w:after="0" w:line="253" w:lineRule="auto"/>
        <w:tabs>
          <w:tab w:leader="none" w:pos="18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Warrant Shares</w:t>
      </w:r>
      <w:r>
        <w:rPr>
          <w:rFonts w:ascii="Times New Roman" w:cs="Times New Roman" w:eastAsia="Times New Roman" w:hAnsi="Times New Roman"/>
          <w:sz w:val="18"/>
          <w:szCs w:val="18"/>
          <w:color w:val="auto"/>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94" w:lineRule="exact"/>
        <w:rPr>
          <w:rFonts w:ascii="Times New Roman" w:cs="Times New Roman" w:eastAsia="Times New Roman" w:hAnsi="Times New Roman"/>
          <w:sz w:val="18"/>
          <w:szCs w:val="18"/>
          <w:color w:val="auto"/>
        </w:rPr>
      </w:pPr>
    </w:p>
    <w:p>
      <w:pPr>
        <w:ind w:left="4" w:right="80" w:hanging="4"/>
        <w:spacing w:after="0" w:line="282" w:lineRule="auto"/>
        <w:tabs>
          <w:tab w:leader="none" w:pos="18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xml:space="preserve">. The Exercise Price and number of Warrant Shares issuable upon exercise of this Warrant are subject to 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hanging="4"/>
        <w:spacing w:after="0" w:line="267" w:lineRule="auto"/>
        <w:tabs>
          <w:tab w:leader="none" w:pos="24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on its Common Stock or otherwise makes a distribution on any class of capital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w:t>
      </w:r>
    </w:p>
    <w:p>
      <w:pPr>
        <w:spacing w:after="0" w:line="3"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shall become effective immediately after the effective date of such subdivision or combination.</w:t>
      </w:r>
    </w:p>
    <w:p>
      <w:pPr>
        <w:spacing w:after="0" w:line="206" w:lineRule="exact"/>
        <w:rPr>
          <w:rFonts w:ascii="Times New Roman" w:cs="Times New Roman" w:eastAsia="Times New Roman" w:hAnsi="Times New Roman"/>
          <w:sz w:val="18"/>
          <w:szCs w:val="18"/>
          <w:color w:val="auto"/>
        </w:rPr>
      </w:pPr>
    </w:p>
    <w:p>
      <w:pPr>
        <w:ind w:left="4" w:right="40" w:hanging="4"/>
        <w:spacing w:after="0" w:line="255"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w:t>
      </w:r>
    </w:p>
    <w:p>
      <w:pPr>
        <w:sectPr>
          <w:pgSz w:w="11900" w:h="16838" w:orient="portrait"/>
          <w:cols w:equalWidth="0" w:num="1">
            <w:col w:w="11004"/>
          </w:cols>
          <w:pgMar w:left="436" w:top="268" w:right="459" w:bottom="1440" w:gutter="0" w:footer="0" w:header="0"/>
        </w:sectPr>
      </w:pPr>
    </w:p>
    <w:bookmarkStart w:id="52" w:name="page53"/>
    <w:bookmarkEnd w:id="52"/>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3" w:lineRule="exact"/>
        <w:rPr>
          <w:sz w:val="20"/>
          <w:szCs w:val="20"/>
          <w:color w:val="auto"/>
        </w:rPr>
      </w:pPr>
    </w:p>
    <w:p>
      <w:pPr>
        <w:ind w:left="4" w:right="40" w:hanging="4"/>
        <w:spacing w:after="0" w:line="252" w:lineRule="auto"/>
        <w:tabs>
          <w:tab w:leader="none" w:pos="24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directly or indirectly,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w:t>
      </w:r>
    </w:p>
    <w:p>
      <w:pPr>
        <w:spacing w:after="0" w:line="193"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7"/>
          <w:szCs w:val="17"/>
          <w:color w:val="auto"/>
        </w:rPr>
        <w:t>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cash payment right shall not apply. “</w:t>
      </w:r>
      <w:r>
        <w:rPr>
          <w:rFonts w:ascii="Times New Roman" w:cs="Times New Roman" w:eastAsia="Times New Roman" w:hAnsi="Times New Roman"/>
          <w:sz w:val="17"/>
          <w:szCs w:val="17"/>
          <w:i w:val="1"/>
          <w:iCs w:val="1"/>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L.P. (“</w:t>
      </w:r>
      <w:r>
        <w:rPr>
          <w:rFonts w:ascii="Times New Roman" w:cs="Times New Roman" w:eastAsia="Times New Roman" w:hAnsi="Times New Roman"/>
          <w:sz w:val="17"/>
          <w:szCs w:val="17"/>
          <w:i w:val="1"/>
          <w:iCs w:val="1"/>
          <w:color w:val="auto"/>
        </w:rPr>
        <w:t>Bloomberg</w:t>
      </w:r>
      <w:r>
        <w:rPr>
          <w:rFonts w:ascii="Times New Roman" w:cs="Times New Roman" w:eastAsia="Times New Roman" w:hAnsi="Times New Roman"/>
          <w:sz w:val="17"/>
          <w:szCs w:val="17"/>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lesser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w:t>
      </w:r>
    </w:p>
    <w:p>
      <w:pPr>
        <w:spacing w:after="0" w:line="6" w:lineRule="exact"/>
        <w:rPr>
          <w:sz w:val="20"/>
          <w:szCs w:val="20"/>
          <w:color w:val="auto"/>
        </w:rPr>
      </w:pPr>
    </w:p>
    <w:p>
      <w:pPr>
        <w:ind w:left="4" w:right="280" w:hanging="4"/>
        <w:spacing w:after="0" w:line="260" w:lineRule="auto"/>
        <w:tabs>
          <w:tab w:leader="none" w:pos="2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VWAP during the five (5) Trading Days immediately prior to such Fundamental Transaction, (D) a remaining option time equal to the time between the date of the public announcement of the applicable contemplated Fundamental Transaction and the</w:t>
      </w:r>
    </w:p>
    <w:p>
      <w:pPr>
        <w:sectPr>
          <w:pgSz w:w="11900" w:h="16838" w:orient="portrait"/>
          <w:cols w:equalWidth="0" w:num="1">
            <w:col w:w="11024"/>
          </w:cols>
          <w:pgMar w:left="436" w:top="270" w:right="439" w:bottom="1440" w:gutter="0" w:footer="0" w:header="0"/>
        </w:sectPr>
      </w:pPr>
    </w:p>
    <w:bookmarkStart w:id="53" w:name="page54"/>
    <w:bookmarkEnd w:id="53"/>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to the extent the Fundamental Transaction is within the Company’s control, any successor entity in a Fundamental Transaction in which the Company is not the survivor (the “</w:t>
      </w:r>
      <w:r>
        <w:rPr>
          <w:rFonts w:ascii="Times New Roman" w:cs="Times New Roman" w:eastAsia="Times New Roman" w:hAnsi="Times New Roman"/>
          <w:sz w:val="18"/>
          <w:szCs w:val="18"/>
          <w:i w:val="1"/>
          <w:iCs w:val="1"/>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9(c)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spacing w:after="0" w:line="191" w:lineRule="exact"/>
        <w:rPr>
          <w:sz w:val="20"/>
          <w:szCs w:val="20"/>
          <w:color w:val="auto"/>
        </w:rPr>
      </w:pPr>
    </w:p>
    <w:p>
      <w:pPr>
        <w:ind w:left="4" w:right="20" w:hanging="4"/>
        <w:spacing w:after="0" w:line="258"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8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one-hundredth of one cent or the nearest share, as applicable.</w:t>
      </w:r>
    </w:p>
    <w:p>
      <w:pPr>
        <w:spacing w:after="0" w:line="225" w:lineRule="exact"/>
        <w:rPr>
          <w:rFonts w:ascii="Times New Roman" w:cs="Times New Roman" w:eastAsia="Times New Roman" w:hAnsi="Times New Roman"/>
          <w:sz w:val="18"/>
          <w:szCs w:val="18"/>
          <w:color w:val="auto"/>
        </w:rPr>
      </w:pPr>
    </w:p>
    <w:p>
      <w:pPr>
        <w:ind w:left="4" w:right="100" w:hanging="4"/>
        <w:spacing w:after="0" w:line="258" w:lineRule="auto"/>
        <w:tabs>
          <w:tab w:leader="none" w:pos="22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83"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other than a Fundamental Transaction under clause (iii) of Section 9(c), then, except if such notice and the contents thereof shall be deemed to</w:t>
      </w:r>
    </w:p>
    <w:p>
      <w:pPr>
        <w:sectPr>
          <w:pgSz w:w="11900" w:h="16838" w:orient="portrait"/>
          <w:cols w:equalWidth="0" w:num="1">
            <w:col w:w="11004"/>
          </w:cols>
          <w:pgMar w:left="436" w:top="270" w:right="459" w:bottom="1440" w:gutter="0" w:footer="0" w:header="0"/>
        </w:sectPr>
      </w:pPr>
    </w:p>
    <w:bookmarkStart w:id="54" w:name="page55"/>
    <w:bookmarkEnd w:id="54"/>
    <w:p>
      <w:pPr>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constitute material non-public information,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w:t>
      </w:r>
    </w:p>
    <w:p>
      <w:pPr>
        <w:spacing w:after="0" w:line="180" w:lineRule="exact"/>
        <w:rPr>
          <w:sz w:val="20"/>
          <w:szCs w:val="20"/>
          <w:color w:val="auto"/>
        </w:rPr>
      </w:pPr>
    </w:p>
    <w:p>
      <w:pPr>
        <w:jc w:val="both"/>
        <w:ind w:left="4" w:right="140" w:hanging="4"/>
        <w:spacing w:after="0" w:line="266"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xml:space="preserve"> Subject to the rules and regulations of the Principal Trading Market, the Company may at any time during the term of this Warrant, reduce the then-current Exercise Price to any amount and for any period of time deemed appropriate by the Board of Directors of the Company.</w:t>
      </w:r>
    </w:p>
    <w:p>
      <w:pPr>
        <w:spacing w:after="0" w:line="176" w:lineRule="exact"/>
        <w:rPr>
          <w:sz w:val="20"/>
          <w:szCs w:val="20"/>
          <w:color w:val="auto"/>
        </w:rPr>
      </w:pPr>
    </w:p>
    <w:p>
      <w:pPr>
        <w:ind w:left="4" w:right="100" w:hanging="4"/>
        <w:spacing w:after="0" w:line="261" w:lineRule="auto"/>
        <w:tabs>
          <w:tab w:leader="none" w:pos="27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if at the time of exercise hereof there is no effective registration statement registering the issuance of the Warrant Shares to the Holder upon exercise of this Warrant, then this Warrant may only be exercised, in whole or in part, at such time by means of a “cashless exercise,” in which event the Company shall issue to the Holder the number of Warrant Shares in an exchange of securities effected pursuant to Section 3(a)(9) of the Securities Act, as determined as follows:</w:t>
      </w:r>
    </w:p>
    <w:p>
      <w:pPr>
        <w:spacing w:after="0" w:line="39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“A” equals the Closing Sale Price per share of Common Stock (as reported by Bloomberg Financial Markets) as of the Trading Day immediately preceding the Exercise Date;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equals the Exercise Price per Warrant Share then in effect on the Exercise Date.</w:t>
      </w:r>
    </w:p>
    <w:p>
      <w:pPr>
        <w:spacing w:after="0" w:line="225"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(provided that the Commission continues to take the position that such treatment is proper at the time of such exercise). 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w:t>
      </w:r>
    </w:p>
    <w:p>
      <w:pPr>
        <w:spacing w:after="0" w:line="187" w:lineRule="exact"/>
        <w:rPr>
          <w:sz w:val="20"/>
          <w:szCs w:val="20"/>
          <w:color w:val="auto"/>
        </w:rPr>
      </w:pPr>
    </w:p>
    <w:p>
      <w:pPr>
        <w:ind w:left="264" w:hanging="264"/>
        <w:spacing w:after="0"/>
        <w:tabs>
          <w:tab w:leader="none" w:pos="2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66" w:lineRule="auto"/>
        <w:tabs>
          <w:tab w:leader="none" w:pos="24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Persons who are members of a Section 13(d) group with such Holder or its Affiliates to exceed 4.99% (or at the election of the Holder prior to the issuance of this Warrant, 9.99%) (the “</w:t>
      </w:r>
      <w:r>
        <w:rPr>
          <w:rFonts w:ascii="Times New Roman" w:cs="Times New Roman" w:eastAsia="Times New Roman" w:hAnsi="Times New Roman"/>
          <w:sz w:val="17"/>
          <w:szCs w:val="17"/>
          <w:i w:val="1"/>
          <w:iCs w:val="1"/>
          <w:color w:val="auto"/>
        </w:rPr>
        <w:t>Maximum Percentage</w:t>
      </w:r>
      <w:r>
        <w:rPr>
          <w:rFonts w:ascii="Times New Roman" w:cs="Times New Roman" w:eastAsia="Times New Roman" w:hAnsi="Times New Roman"/>
          <w:sz w:val="17"/>
          <w:szCs w:val="17"/>
          <w:color w:val="auto"/>
        </w:rPr>
        <w:t>”)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Exchange Act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(y) a more recent public announcement by the Company or (z) any other written notice by the Company or the Transfer Agent setting forth the number of shares of Common Stock outstanding. Upon the written request of the Holder, the Company shall within three</w:t>
      </w:r>
    </w:p>
    <w:p>
      <w:pPr>
        <w:spacing w:after="0" w:line="9" w:lineRule="exact"/>
        <w:rPr>
          <w:rFonts w:ascii="Times New Roman" w:cs="Times New Roman" w:eastAsia="Times New Roman" w:hAnsi="Times New Roman"/>
          <w:sz w:val="17"/>
          <w:szCs w:val="17"/>
          <w:color w:val="auto"/>
        </w:rPr>
      </w:pPr>
    </w:p>
    <w:p>
      <w:pPr>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w:t>
      </w:r>
    </w:p>
    <w:p>
      <w:pPr>
        <w:sectPr>
          <w:pgSz w:w="11900" w:h="16838" w:orient="portrait"/>
          <w:cols w:equalWidth="0" w:num="1">
            <w:col w:w="10984"/>
          </w:cols>
          <w:pgMar w:left="436" w:top="270" w:right="479" w:bottom="1440" w:gutter="0" w:footer="0" w:header="0"/>
        </w:sectPr>
      </w:pPr>
    </w:p>
    <w:bookmarkStart w:id="55" w:name="page56"/>
    <w:bookmarkEnd w:id="55"/>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percentage specified in such notice, but not in excess of 19.99% (or at the election of the Holder prior to the issuance of this Warrant, 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 are members of a Section 13(d) group with such Holder or its Affiliates shall include the shares of Common Stock issuable upon (x) the exercise of this Warrant with respect to which such determination is being made, but shall exclude the number of shares of Common Stock which would be issuable upon exercise of the remaining unexercised and non-cancelled portion of this Warrant by the Holder and</w:t>
      </w:r>
    </w:p>
    <w:p>
      <w:pPr>
        <w:spacing w:after="0" w:line="5" w:lineRule="exact"/>
        <w:rPr>
          <w:sz w:val="20"/>
          <w:szCs w:val="20"/>
          <w:color w:val="auto"/>
        </w:rPr>
      </w:pPr>
    </w:p>
    <w:p>
      <w:pPr>
        <w:ind w:left="4" w:right="20" w:hanging="4"/>
        <w:spacing w:after="0" w:line="253"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w:t>
      </w:r>
    </w:p>
    <w:p>
      <w:pPr>
        <w:spacing w:after="0" w:line="187" w:lineRule="exact"/>
        <w:rPr>
          <w:sz w:val="20"/>
          <w:szCs w:val="20"/>
          <w:color w:val="auto"/>
        </w:rPr>
      </w:pPr>
    </w:p>
    <w:p>
      <w:pPr>
        <w:jc w:val="both"/>
        <w:ind w:left="4" w:right="120" w:hanging="4"/>
        <w:spacing w:after="0" w:line="266"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w:t>
      </w:r>
    </w:p>
    <w:p>
      <w:pPr>
        <w:spacing w:after="0" w:line="176" w:lineRule="exact"/>
        <w:rPr>
          <w:sz w:val="20"/>
          <w:szCs w:val="20"/>
          <w:color w:val="auto"/>
        </w:rPr>
      </w:pPr>
    </w:p>
    <w:p>
      <w:pPr>
        <w:jc w:val="both"/>
        <w:ind w:left="4" w:right="260" w:hanging="4"/>
        <w:spacing w:after="0" w:line="266" w:lineRule="auto"/>
        <w:tabs>
          <w:tab w:leader="none" w:pos="27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Any and all notices or other communications or deliveries hereunder (including, without limitation, any Exercise Notice) shall be in writing and shall be deemed given and effective on the earliest of (i) the time of transmission, if such notice or communication is delivered via facsimile or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facsimile or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171 Oyster Point Blvd., Suite 500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Holder, to its address, facsimile number or e-mail address set forth herein or on the books and records of the Company.</w:t>
      </w:r>
    </w:p>
    <w:p>
      <w:pPr>
        <w:spacing w:after="0" w:line="225"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Or, in each of the above instances, to such other address, facsimile number or e-mail address as the recipient party has specified by written notice given to each other party at least five (5) days prior to the effectiveness of such change.</w:t>
      </w:r>
    </w:p>
    <w:p>
      <w:pPr>
        <w:spacing w:after="0" w:line="162" w:lineRule="exact"/>
        <w:rPr>
          <w:sz w:val="20"/>
          <w:szCs w:val="20"/>
          <w:color w:val="auto"/>
        </w:rPr>
      </w:pPr>
    </w:p>
    <w:p>
      <w:pPr>
        <w:ind w:left="264" w:hanging="264"/>
        <w:spacing w:after="0"/>
        <w:tabs>
          <w:tab w:leader="none" w:pos="26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Company shall initially serve as warrant agent under this Warrant. Upon thirty (30) days’ notice to the Holder, the Company</w:t>
      </w:r>
    </w:p>
    <w:p>
      <w:pPr>
        <w:spacing w:after="0" w:line="27"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ectPr>
          <w:pgSz w:w="11900" w:h="16838" w:orient="portrait"/>
          <w:cols w:equalWidth="0" w:num="1">
            <w:col w:w="11004"/>
          </w:cols>
          <w:pgMar w:left="436" w:top="270" w:right="459" w:bottom="1440" w:gutter="0" w:footer="0" w:header="0"/>
        </w:sectPr>
      </w:pPr>
    </w:p>
    <w:bookmarkStart w:id="56" w:name="page57"/>
    <w:bookmarkEnd w:id="56"/>
    <w:p>
      <w:pPr>
        <w:ind w:left="264" w:hanging="264"/>
        <w:spacing w:after="0"/>
        <w:tabs>
          <w:tab w:leader="none" w:pos="2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54" w:lineRule="auto"/>
        <w:tabs>
          <w:tab w:leader="none" w:pos="2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91" w:lineRule="exact"/>
        <w:rPr>
          <w:rFonts w:ascii="Times New Roman" w:cs="Times New Roman" w:eastAsia="Times New Roman" w:hAnsi="Times New Roman"/>
          <w:sz w:val="18"/>
          <w:szCs w:val="18"/>
          <w:color w:val="auto"/>
        </w:rPr>
      </w:pPr>
    </w:p>
    <w:p>
      <w:pPr>
        <w:ind w:left="4" w:right="60" w:hanging="4"/>
        <w:spacing w:after="0" w:line="254" w:lineRule="auto"/>
        <w:tabs>
          <w:tab w:leader="none" w:pos="25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left="4" w:right="560" w:hanging="4"/>
        <w:spacing w:after="0" w:line="266" w:lineRule="auto"/>
        <w:tabs>
          <w:tab w:leader="none" w:pos="26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 w:right="140" w:hanging="4"/>
        <w:spacing w:after="0" w:line="256" w:lineRule="auto"/>
        <w:tabs>
          <w:tab w:leader="none" w:pos="24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7" w:lineRule="exact"/>
        <w:rPr>
          <w:rFonts w:ascii="Times New Roman" w:cs="Times New Roman" w:eastAsia="Times New Roman" w:hAnsi="Times New Roman"/>
          <w:sz w:val="18"/>
          <w:szCs w:val="18"/>
          <w:color w:val="auto"/>
        </w:rPr>
      </w:pPr>
    </w:p>
    <w:p>
      <w:pPr>
        <w:ind w:left="4" w:hanging="4"/>
        <w:spacing w:after="0" w:line="312" w:lineRule="auto"/>
        <w:tabs>
          <w:tab w:leader="none" w:pos="25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Waiver</w:t>
      </w:r>
      <w:r>
        <w:rPr>
          <w:rFonts w:ascii="Times New Roman" w:cs="Times New Roman" w:eastAsia="Times New Roman" w:hAnsi="Times New Roman"/>
          <w:sz w:val="17"/>
          <w:szCs w:val="17"/>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w:t>
      </w:r>
    </w:p>
    <w:p>
      <w:pPr>
        <w:spacing w:after="0" w:line="139"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225" w:lineRule="exact"/>
        <w:rPr>
          <w:rFonts w:ascii="Times New Roman" w:cs="Times New Roman" w:eastAsia="Times New Roman" w:hAnsi="Times New Roman"/>
          <w:sz w:val="18"/>
          <w:szCs w:val="18"/>
          <w:color w:val="auto"/>
        </w:rPr>
      </w:pPr>
    </w:p>
    <w:p>
      <w:pPr>
        <w:ind w:left="4" w:right="120" w:hanging="4"/>
        <w:spacing w:after="0" w:line="254" w:lineRule="auto"/>
        <w:tabs>
          <w:tab w:leader="none" w:pos="22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DELAWARE WITHOUT REGARD TO THE PRINCIPLES OF CONFLICTS OF LAW THEREOF. EACH OF THE COMPANY AND THE HOLDER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w:t>
      </w:r>
    </w:p>
    <w:p>
      <w:pPr>
        <w:sectPr>
          <w:pgSz w:w="11900" w:h="16838" w:orient="portrait"/>
          <w:cols w:equalWidth="0" w:num="1">
            <w:col w:w="11004"/>
          </w:cols>
          <w:pgMar w:left="436" w:top="270" w:right="459" w:bottom="1440" w:gutter="0" w:footer="0" w:header="0"/>
        </w:sectPr>
      </w:pPr>
    </w:p>
    <w:bookmarkStart w:id="57" w:name="page58"/>
    <w:bookmarkEnd w:id="57"/>
    <w:p>
      <w:pPr>
        <w:ind w:left="4" w:right="2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73" w:lineRule="exact"/>
        <w:rPr>
          <w:sz w:val="20"/>
          <w:szCs w:val="20"/>
          <w:color w:val="auto"/>
        </w:rPr>
      </w:pPr>
    </w:p>
    <w:p>
      <w:pPr>
        <w:ind w:left="4" w:right="80" w:hanging="4"/>
        <w:spacing w:after="0" w:line="282"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4" w:hanging="4"/>
        <w:spacing w:after="0" w:line="261"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004"/>
          </w:cols>
          <w:pgMar w:left="436" w:top="270"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Faraz Ali, M.B.A.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480"/>
          </w:cols>
          <w:pgMar w:left="440" w:top="270" w:right="979" w:bottom="1440" w:gutter="0" w:footer="0" w:header="0"/>
        </w:sectPr>
      </w:pPr>
    </w:p>
    <w:bookmarkStart w:id="59" w:name="page60"/>
    <w:bookmarkEnd w:id="59"/>
    <w:p>
      <w:pPr>
        <w:jc w:val="center"/>
        <w:ind w:right="-6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ind w:left="4" w:right="260" w:hanging="4"/>
        <w:spacing w:after="0" w:line="284"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issued by Tenaya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58"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__________ Warrant Shares (the “</w:t>
      </w:r>
      <w:r>
        <w:rPr>
          <w:rFonts w:ascii="Times New Roman" w:cs="Times New Roman" w:eastAsia="Times New Roman" w:hAnsi="Times New Roman"/>
          <w:sz w:val="18"/>
          <w:szCs w:val="18"/>
          <w:i w:val="1"/>
          <w:iCs w:val="1"/>
          <w:color w:val="auto"/>
        </w:rPr>
        <w:t>Exercised Warrant Shares</w:t>
      </w:r>
      <w:r>
        <w:rPr>
          <w:rFonts w:ascii="Times New Roman" w:cs="Times New Roman" w:eastAsia="Times New Roman" w:hAnsi="Times New Roman"/>
          <w:sz w:val="18"/>
          <w:szCs w:val="18"/>
          <w:color w:val="auto"/>
        </w:rPr>
        <w:t>”) pursuant to the Warrant.</w:t>
      </w:r>
    </w:p>
    <w:p>
      <w:pPr>
        <w:spacing w:after="0" w:line="2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1"/>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in accordance with Section 10 of the Warrant, “Cashless Exercise”</w:t>
      </w:r>
    </w:p>
    <w:p>
      <w:pPr>
        <w:spacing w:after="0" w:line="225" w:lineRule="exact"/>
        <w:rPr>
          <w:rFonts w:ascii="MS PGothic" w:cs="MS PGothic" w:eastAsia="MS PGothic" w:hAnsi="MS PGothic"/>
          <w:sz w:val="18"/>
          <w:szCs w:val="18"/>
          <w:color w:val="auto"/>
        </w:rPr>
      </w:pPr>
    </w:p>
    <w:p>
      <w:pPr>
        <w:ind w:left="4" w:right="660" w:hanging="4"/>
        <w:spacing w:after="0" w:line="282"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__________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4" w:right="80" w:hanging="4"/>
        <w:spacing w:after="0" w:line="282"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the Exercised Warrant Shares determined in accordance with the terms of the Warrant.</w:t>
      </w:r>
    </w:p>
    <w:p>
      <w:pPr>
        <w:spacing w:after="0" w:line="161"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ectPr>
          <w:pgSz w:w="11900" w:h="16838" w:orient="portrait"/>
          <w:cols w:equalWidth="0" w:num="1">
            <w:col w:w="10944"/>
          </w:cols>
          <w:pgMar w:left="436" w:top="270" w:right="5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WARRANT TO PURCHASE COMMON STOCK</w:t>
      </w:r>
    </w:p>
    <w:p>
      <w:pPr>
        <w:spacing w:after="0" w:line="229" w:lineRule="exact"/>
        <w:rPr>
          <w:sz w:val="20"/>
          <w:szCs w:val="20"/>
          <w:color w:val="auto"/>
        </w:rPr>
      </w:pPr>
    </w:p>
    <w:p>
      <w:pPr>
        <w:ind w:left="9304"/>
        <w:spacing w:after="0"/>
        <w:rPr>
          <w:sz w:val="20"/>
          <w:szCs w:val="20"/>
          <w:color w:val="auto"/>
        </w:rPr>
      </w:pPr>
      <w:r>
        <w:rPr>
          <w:rFonts w:ascii="Times New Roman" w:cs="Times New Roman" w:eastAsia="Times New Roman" w:hAnsi="Times New Roman"/>
          <w:sz w:val="17"/>
          <w:szCs w:val="17"/>
          <w:color w:val="auto"/>
        </w:rPr>
        <w:t>Number of Shares: [   ]</w:t>
      </w:r>
    </w:p>
    <w:p>
      <w:pPr>
        <w:spacing w:after="0" w:line="39" w:lineRule="exact"/>
        <w:rPr>
          <w:sz w:val="20"/>
          <w:szCs w:val="20"/>
          <w:color w:val="auto"/>
        </w:rPr>
      </w:pPr>
    </w:p>
    <w:p>
      <w:pPr>
        <w:ind w:left="9364"/>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34" w:lineRule="exact"/>
        <w:rPr>
          <w:sz w:val="20"/>
          <w:szCs w:val="20"/>
          <w:color w:val="auto"/>
        </w:rPr>
      </w:pPr>
    </w:p>
    <w:p>
      <w:pPr>
        <w:ind w:left="4"/>
        <w:spacing w:after="0"/>
        <w:tabs>
          <w:tab w:leader="none" w:pos="8104" w:val="left"/>
        </w:tabs>
        <w:rPr>
          <w:sz w:val="20"/>
          <w:szCs w:val="20"/>
          <w:color w:val="auto"/>
        </w:rPr>
      </w:pPr>
      <w:r>
        <w:rPr>
          <w:rFonts w:ascii="Times New Roman" w:cs="Times New Roman" w:eastAsia="Times New Roman" w:hAnsi="Times New Roman"/>
          <w:sz w:val="18"/>
          <w:szCs w:val="18"/>
          <w:color w:val="auto"/>
        </w:rPr>
        <w:t>Warrant No. [   ]</w:t>
      </w:r>
      <w:r>
        <w:rPr>
          <w:sz w:val="20"/>
          <w:szCs w:val="20"/>
          <w:color w:val="auto"/>
        </w:rPr>
        <w:tab/>
      </w:r>
      <w:r>
        <w:rPr>
          <w:rFonts w:ascii="Times New Roman" w:cs="Times New Roman" w:eastAsia="Times New Roman" w:hAnsi="Times New Roman"/>
          <w:sz w:val="18"/>
          <w:szCs w:val="18"/>
          <w:color w:val="auto"/>
        </w:rPr>
        <w:t>Original Issue Date: December [ ], 2025</w:t>
      </w:r>
    </w:p>
    <w:p>
      <w:pPr>
        <w:spacing w:after="0" w:line="223" w:lineRule="exact"/>
        <w:rPr>
          <w:sz w:val="20"/>
          <w:szCs w:val="20"/>
          <w:color w:val="auto"/>
        </w:rPr>
      </w:pPr>
    </w:p>
    <w:p>
      <w:pPr>
        <w:ind w:left="4" w:right="260"/>
        <w:spacing w:after="0" w:line="255" w:lineRule="auto"/>
        <w:rPr>
          <w:sz w:val="20"/>
          <w:szCs w:val="20"/>
          <w:color w:val="auto"/>
        </w:rPr>
      </w:pPr>
      <w:r>
        <w:rPr>
          <w:rFonts w:ascii="Times New Roman" w:cs="Times New Roman" w:eastAsia="Times New Roman" w:hAnsi="Times New Roman"/>
          <w:sz w:val="18"/>
          <w:szCs w:val="18"/>
          <w:color w:val="auto"/>
        </w:rPr>
        <w:t>Tenaya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 or its registered assigns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 shares of common stock, $0.001 par value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i w:val="1"/>
          <w:i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i w:val="1"/>
          <w:iCs w:val="1"/>
          <w:color w:val="auto"/>
        </w:rPr>
        <w:t>Warrant Shares</w:t>
      </w:r>
      <w:r>
        <w:rPr>
          <w:rFonts w:ascii="Times New Roman" w:cs="Times New Roman" w:eastAsia="Times New Roman" w:hAnsi="Times New Roman"/>
          <w:sz w:val="18"/>
          <w:szCs w:val="18"/>
          <w:color w:val="auto"/>
        </w:rPr>
        <w:t xml:space="preserve">”) at an exercise price per share equal to $[ ]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xml:space="preserve">”), upon exercise of this </w:t>
      </w:r>
      <w:r>
        <w:rPr>
          <w:rFonts w:ascii="Times New Roman" w:cs="Times New Roman" w:eastAsia="Times New Roman" w:hAnsi="Times New Roman"/>
          <w:sz w:val="18"/>
          <w:szCs w:val="18"/>
          <w:i w:val="1"/>
          <w:iCs w:val="1"/>
          <w:color w:val="auto"/>
        </w:rPr>
        <w:t>Warrant to Purchase Common Stock</w:t>
      </w:r>
      <w:r>
        <w:rPr>
          <w:rFonts w:ascii="Times New Roman" w:cs="Times New Roman" w:eastAsia="Times New Roman" w:hAnsi="Times New Roman"/>
          <w:sz w:val="18"/>
          <w:szCs w:val="18"/>
          <w:color w:val="auto"/>
        </w:rPr>
        <w:t xml:space="preserve"> (including any </w:t>
      </w:r>
      <w:r>
        <w:rPr>
          <w:rFonts w:ascii="Times New Roman" w:cs="Times New Roman" w:eastAsia="Times New Roman" w:hAnsi="Times New Roman"/>
          <w:sz w:val="18"/>
          <w:szCs w:val="18"/>
          <w:i w:val="1"/>
          <w:iCs w:val="1"/>
          <w:color w:val="auto"/>
        </w:rPr>
        <w:t>Warrants to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issued in exchange, transfer or replacement hereof,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at any time and from time to time on or after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Issue Date</w:t>
      </w:r>
      <w:r>
        <w:rPr>
          <w:rFonts w:ascii="Times New Roman" w:cs="Times New Roman" w:eastAsia="Times New Roman" w:hAnsi="Times New Roman"/>
          <w:sz w:val="18"/>
          <w:szCs w:val="18"/>
          <w:color w:val="auto"/>
        </w:rPr>
        <w:t>”) and on or prior to 5:00 P.M., New York City time on the five year anniversary of the Original Issue Date (the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subject to the following terms and conditions: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3" w:lineRule="exact"/>
        <w:rPr>
          <w:sz w:val="20"/>
          <w:szCs w:val="20"/>
          <w:color w:val="auto"/>
        </w:rPr>
      </w:pPr>
    </w:p>
    <w:p>
      <w:pPr>
        <w:ind w:left="4" w:right="20" w:hanging="4"/>
        <w:spacing w:after="0" w:line="277" w:lineRule="auto"/>
        <w:tabs>
          <w:tab w:leader="none" w:pos="24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spacing w:after="0" w:line="167"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4" w:right="220" w:hanging="4"/>
        <w:spacing w:after="0" w:line="284" w:lineRule="auto"/>
        <w:tabs>
          <w:tab w:leader="none" w:pos="2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Select Market.</w:t>
      </w:r>
    </w:p>
    <w:p>
      <w:pPr>
        <w:spacing w:after="0" w:line="158"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means the Company’s Registration Statement on Form S-3 (File No. 333-266741), declared effective on August 17, 2022.</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ectPr>
          <w:pgSz w:w="11900" w:h="16838" w:orient="portrait"/>
          <w:cols w:equalWidth="0" w:num="1">
            <w:col w:w="11024"/>
          </w:cols>
          <w:pgMar w:left="436" w:top="117" w:right="439" w:bottom="1440" w:gutter="0" w:footer="0" w:header="0"/>
        </w:sectPr>
      </w:pPr>
    </w:p>
    <w:bookmarkStart w:id="61" w:name="page62"/>
    <w:bookmarkEnd w:id="61"/>
    <w:p>
      <w:pPr>
        <w:ind w:left="4" w:right="280" w:hanging="4"/>
        <w:spacing w:after="0" w:line="284"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Principal Trading Market with respect to the Common Stock as in effect on the date of delivery of the Exercise Notice.</w:t>
      </w:r>
    </w:p>
    <w:p>
      <w:pPr>
        <w:spacing w:after="0" w:line="158"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rFonts w:ascii="Times New Roman" w:cs="Times New Roman" w:eastAsia="Times New Roman" w:hAnsi="Times New Roman"/>
          <w:sz w:val="18"/>
          <w:szCs w:val="18"/>
          <w:color w:val="auto"/>
        </w:rPr>
      </w:pPr>
    </w:p>
    <w:p>
      <w:pPr>
        <w:ind w:left="4" w:right="80" w:hanging="4"/>
        <w:spacing w:after="0" w:line="284" w:lineRule="auto"/>
        <w:tabs>
          <w:tab w:leader="none" w:pos="21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60" w:lineRule="exact"/>
        <w:rPr>
          <w:sz w:val="20"/>
          <w:szCs w:val="20"/>
          <w:color w:val="auto"/>
        </w:rPr>
      </w:pPr>
    </w:p>
    <w:p>
      <w:pPr>
        <w:ind w:left="4" w:hanging="4"/>
        <w:spacing w:after="0" w:line="254" w:lineRule="auto"/>
        <w:tabs>
          <w:tab w:leader="none" w:pos="18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 Registration of Warrants</w:t>
      </w:r>
      <w:r>
        <w:rPr>
          <w:rFonts w:ascii="Times New Roman" w:cs="Times New Roman" w:eastAsia="Times New Roman" w:hAnsi="Times New Roman"/>
          <w:sz w:val="18"/>
          <w:szCs w:val="18"/>
          <w:color w:val="auto"/>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cs="Times New Roman" w:eastAsia="Times New Roman" w:hAnsi="Times New Roman"/>
          <w:sz w:val="18"/>
          <w:szCs w:val="18"/>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91" w:lineRule="exact"/>
        <w:rPr>
          <w:rFonts w:ascii="Times New Roman" w:cs="Times New Roman" w:eastAsia="Times New Roman" w:hAnsi="Times New Roman"/>
          <w:sz w:val="18"/>
          <w:szCs w:val="18"/>
          <w:color w:val="auto"/>
        </w:rPr>
      </w:pPr>
    </w:p>
    <w:p>
      <w:pPr>
        <w:ind w:left="4" w:hanging="4"/>
        <w:spacing w:after="0" w:line="254" w:lineRule="auto"/>
        <w:tabs>
          <w:tab w:leader="none" w:pos="18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8"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and Duration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hanging="4"/>
        <w:spacing w:after="0" w:line="282" w:lineRule="auto"/>
        <w:tabs>
          <w:tab w:leader="none" w:pos="2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this Warrant at any time and from time to time on or after the Original Issue Date and on or before the Termination Date.</w:t>
      </w:r>
    </w:p>
    <w:p>
      <w:pPr>
        <w:spacing w:after="0" w:line="161" w:lineRule="exact"/>
        <w:rPr>
          <w:rFonts w:ascii="Times New Roman" w:cs="Times New Roman" w:eastAsia="Times New Roman" w:hAnsi="Times New Roman"/>
          <w:sz w:val="18"/>
          <w:szCs w:val="18"/>
          <w:color w:val="auto"/>
        </w:rPr>
      </w:pPr>
    </w:p>
    <w:p>
      <w:pPr>
        <w:ind w:left="4" w:right="20" w:hanging="4"/>
        <w:spacing w:after="0" w:line="252" w:lineRule="auto"/>
        <w:tabs>
          <w:tab w:leader="none" w:pos="25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of the purchase rights represented by this Warrant may be made, in whole or in part, at any time or times on or after the Original Issue Date and on or before the Termination Date by delivery to the Company of a duly executed facsimile copy or PDF copy submitted by e-mail (or e-mail attachment) of the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i w:val="1"/>
          <w:iCs w:val="1"/>
          <w:color w:val="auto"/>
        </w:rPr>
        <w:t>Exercise Notice</w:t>
      </w:r>
      <w:r>
        <w:rPr>
          <w:rFonts w:ascii="Times New Roman" w:cs="Times New Roman" w:eastAsia="Times New Roman" w:hAnsi="Times New Roman"/>
          <w:sz w:val="18"/>
          <w:szCs w:val="18"/>
          <w:color w:val="auto"/>
        </w:rPr>
        <w:t>”, and the date of receipt of such Exercise Notice, the “</w:t>
      </w:r>
      <w:r>
        <w:rPr>
          <w:rFonts w:ascii="Times New Roman" w:cs="Times New Roman" w:eastAsia="Times New Roman" w:hAnsi="Times New Roman"/>
          <w:sz w:val="18"/>
          <w:szCs w:val="18"/>
          <w:i w:val="1"/>
          <w:iCs w:val="1"/>
          <w:color w:val="auto"/>
        </w:rPr>
        <w:t>Exercise Date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following the date of exercise as aforesaid, the Holder shall deliver the aggregate Exercise Price for the number of Warrant Shares specified in the applicable Exercise Notice by wire transfer or cashier’s check drawn on a United States bank unless the cashless exercise procedure specified below is specified in the applicable Exercise Notice. No ink-original Exercise Notice shall be required, nor shall any medallion guarantee (or other type of guarantee or notarization) of any Exercise Notice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Exercise Notice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following the purchase</w:t>
      </w:r>
    </w:p>
    <w:p>
      <w:pPr>
        <w:sectPr>
          <w:pgSz w:w="11900" w:h="16838" w:orient="portrait"/>
          <w:cols w:equalWidth="0" w:num="1">
            <w:col w:w="11004"/>
          </w:cols>
          <w:pgMar w:left="436" w:top="268" w:right="459" w:bottom="1440" w:gutter="0" w:footer="0" w:header="0"/>
        </w:sectPr>
      </w:pPr>
    </w:p>
    <w:bookmarkStart w:id="62" w:name="page63"/>
    <w:bookmarkEnd w:id="62"/>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 portion of the Warrant Shares hereunder, the number of Warrant Shares available for purchase hereunder at any given time may be less than the amount stated on the face hereof.</w:t>
      </w:r>
    </w:p>
    <w:p>
      <w:pPr>
        <w:spacing w:after="0" w:line="159" w:lineRule="exact"/>
        <w:rPr>
          <w:sz w:val="20"/>
          <w:szCs w:val="20"/>
          <w:color w:val="auto"/>
        </w:rPr>
      </w:pPr>
    </w:p>
    <w:p>
      <w:pPr>
        <w:ind w:left="4" w:right="160" w:hanging="4"/>
        <w:spacing w:after="0" w:line="266" w:lineRule="auto"/>
        <w:tabs>
          <w:tab w:leader="none" w:pos="2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6" w:lineRule="exact"/>
        <w:rPr>
          <w:sz w:val="20"/>
          <w:szCs w:val="20"/>
          <w:color w:val="auto"/>
        </w:rPr>
      </w:pPr>
    </w:p>
    <w:p>
      <w:pPr>
        <w:ind w:left="184" w:hanging="184"/>
        <w:spacing w:after="0"/>
        <w:tabs>
          <w:tab w:leader="none" w:pos="18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hanging="4"/>
        <w:spacing w:after="0" w:line="253" w:lineRule="auto"/>
        <w:tabs>
          <w:tab w:leader="none" w:pos="24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or will cause its Transfer Agent to, promptly (but in no event later than two (2) Trading Days after the Exercise Date, provided the Company has received the Exercise Price related to such exercise by such date), upon the request of the Holder,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through its Deposit Withdrawal Agent Commission system, or if the Transfer Agent is not participating in the Fast Automated Securities Transfer Program (the “</w:t>
      </w:r>
      <w:r>
        <w:rPr>
          <w:rFonts w:ascii="Times New Roman" w:cs="Times New Roman" w:eastAsia="Times New Roman" w:hAnsi="Times New Roman"/>
          <w:sz w:val="18"/>
          <w:szCs w:val="18"/>
          <w:i w:val="1"/>
          <w:iCs w:val="1"/>
          <w:color w:val="auto"/>
        </w:rPr>
        <w:t>FAST Program</w:t>
      </w:r>
      <w:r>
        <w:rPr>
          <w:rFonts w:ascii="Times New Roman" w:cs="Times New Roman" w:eastAsia="Times New Roman" w:hAnsi="Times New Roman"/>
          <w:sz w:val="18"/>
          <w:szCs w:val="18"/>
          <w:color w:val="auto"/>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DTC (or its nominee) or any natural person or legal entity (each, a “Person”)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In addition, solely for purposes of Regulation SHO, the Holder will be deemed to be the holder of record of Warrant Shares upon delivery of the Exercise Notice relating thereto.</w:t>
      </w:r>
    </w:p>
    <w:p>
      <w:pPr>
        <w:spacing w:after="0" w:line="189" w:lineRule="exact"/>
        <w:rPr>
          <w:rFonts w:ascii="Times New Roman" w:cs="Times New Roman" w:eastAsia="Times New Roman" w:hAnsi="Times New Roman"/>
          <w:sz w:val="18"/>
          <w:szCs w:val="18"/>
          <w:color w:val="auto"/>
        </w:rPr>
      </w:pPr>
    </w:p>
    <w:p>
      <w:pPr>
        <w:ind w:left="4" w:hanging="4"/>
        <w:spacing w:after="0" w:line="269" w:lineRule="auto"/>
        <w:tabs>
          <w:tab w:leader="none" w:pos="25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by the close of the second (2nd) Trading Day after the Exercise Date, the Company fails to deliver to the Holder a certificate representing the required number of Warrant Shares in the manner required pursuant to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or fails to or cause the Transfer Agent to credit the Holder’s balance account with DTC for such number of Warrant Shares to which the Holder is entitled, and if after such second (2nd)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i w:val="1"/>
          <w:iCs w:val="1"/>
          <w:color w:val="auto"/>
        </w:rPr>
        <w:t>Buy-In</w:t>
      </w:r>
      <w:r>
        <w:rPr>
          <w:rFonts w:ascii="Times New Roman" w:cs="Times New Roman" w:eastAsia="Times New Roman" w:hAnsi="Times New Roman"/>
          <w:sz w:val="17"/>
          <w:szCs w:val="17"/>
          <w:color w:val="auto"/>
        </w:rPr>
        <w:t>”), then the Company shall, within three</w:t>
      </w:r>
    </w:p>
    <w:p>
      <w:pPr>
        <w:spacing w:after="0" w:line="2" w:lineRule="exact"/>
        <w:rPr>
          <w:rFonts w:ascii="Times New Roman" w:cs="Times New Roman" w:eastAsia="Times New Roman" w:hAnsi="Times New Roman"/>
          <w:sz w:val="17"/>
          <w:szCs w:val="17"/>
          <w:color w:val="auto"/>
        </w:rPr>
      </w:pPr>
    </w:p>
    <w:p>
      <w:pPr>
        <w:ind w:left="4" w:right="8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Trading Days after the Holder’s request and in the Holder’s sole discretion, either (i) pay in cash to the Holder an amount equal to the Holder’s total purchase price (including brokerage commissions, if any) for the shares of Common Stock so purchased, at which point the Company’s obligation to deliver such certificate (and to issue such Warrant Shares) or to cause the Holder’s DTC account to be credited for such Warrant Shares shall terminate or (ii)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w:t>
      </w:r>
    </w:p>
    <w:p>
      <w:pPr>
        <w:spacing w:after="0" w:line="175" w:lineRule="exact"/>
        <w:rPr>
          <w:rFonts w:ascii="Times New Roman" w:cs="Times New Roman" w:eastAsia="Times New Roman" w:hAnsi="Times New Roman"/>
          <w:sz w:val="17"/>
          <w:szCs w:val="17"/>
          <w:color w:val="auto"/>
        </w:rPr>
      </w:pPr>
    </w:p>
    <w:p>
      <w:pPr>
        <w:ind w:left="4" w:hanging="4"/>
        <w:spacing w:after="0" w:line="254" w:lineRule="auto"/>
        <w:tabs>
          <w:tab w:leader="none" w:pos="24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Section 5(b), the Company’s obligations to or to cause the Transfer Agent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188" w:lineRule="exact"/>
        <w:rPr>
          <w:sz w:val="20"/>
          <w:szCs w:val="20"/>
          <w:color w:val="auto"/>
        </w:rPr>
      </w:pPr>
    </w:p>
    <w:p>
      <w:pPr>
        <w:jc w:val="both"/>
        <w:ind w:left="4" w:right="60" w:hanging="4"/>
        <w:spacing w:after="0" w:line="266" w:lineRule="auto"/>
        <w:tabs>
          <w:tab w:leader="none" w:pos="18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w:t>
      </w:r>
    </w:p>
    <w:p>
      <w:pPr>
        <w:sectPr>
          <w:pgSz w:w="11900" w:h="16838" w:orient="portrait"/>
          <w:cols w:equalWidth="0" w:num="1">
            <w:col w:w="10984"/>
          </w:cols>
          <w:pgMar w:left="436" w:top="266" w:right="479" w:bottom="1440" w:gutter="0" w:footer="0" w:header="0"/>
        </w:sectPr>
      </w:pPr>
    </w:p>
    <w:bookmarkStart w:id="63" w:name="page64"/>
    <w:bookmarkEnd w:id="63"/>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which taxes and expenses shall be paid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sz w:val="20"/>
          <w:szCs w:val="20"/>
          <w:color w:val="auto"/>
        </w:rPr>
      </w:pPr>
    </w:p>
    <w:p>
      <w:pPr>
        <w:ind w:left="4" w:hanging="4"/>
        <w:spacing w:after="0" w:line="255" w:lineRule="auto"/>
        <w:tabs>
          <w:tab w:leader="none" w:pos="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not the posting of any surety or similar bond).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88" w:lineRule="exact"/>
        <w:rPr>
          <w:rFonts w:ascii="Times New Roman" w:cs="Times New Roman" w:eastAsia="Times New Roman" w:hAnsi="Times New Roman"/>
          <w:sz w:val="18"/>
          <w:szCs w:val="18"/>
          <w:color w:val="auto"/>
        </w:rPr>
      </w:pPr>
    </w:p>
    <w:p>
      <w:pPr>
        <w:ind w:left="4" w:right="20" w:hanging="4"/>
        <w:spacing w:after="0" w:line="253" w:lineRule="auto"/>
        <w:tabs>
          <w:tab w:leader="none" w:pos="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Warrant Shares</w:t>
      </w:r>
      <w:r>
        <w:rPr>
          <w:rFonts w:ascii="Times New Roman" w:cs="Times New Roman" w:eastAsia="Times New Roman" w:hAnsi="Times New Roman"/>
          <w:sz w:val="18"/>
          <w:szCs w:val="18"/>
          <w:color w:val="auto"/>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94" w:lineRule="exact"/>
        <w:rPr>
          <w:rFonts w:ascii="Times New Roman" w:cs="Times New Roman" w:eastAsia="Times New Roman" w:hAnsi="Times New Roman"/>
          <w:sz w:val="18"/>
          <w:szCs w:val="18"/>
          <w:color w:val="auto"/>
        </w:rPr>
      </w:pPr>
    </w:p>
    <w:p>
      <w:pPr>
        <w:ind w:left="4" w:right="80" w:hanging="4"/>
        <w:spacing w:after="0" w:line="282" w:lineRule="auto"/>
        <w:tabs>
          <w:tab w:leader="none" w:pos="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xml:space="preserve">. The Exercise Price and number of Warrant Shares issuable upon exercise of this Warrant are subject to 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hanging="4"/>
        <w:spacing w:after="0" w:line="267" w:lineRule="auto"/>
        <w:tabs>
          <w:tab w:leader="none" w:pos="24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on its Common Stock or otherwise makes a distribution on any class of capital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w:t>
      </w:r>
    </w:p>
    <w:p>
      <w:pPr>
        <w:spacing w:after="0" w:line="3"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shall become effective immediately after the effective date of such subdivision or combination.</w:t>
      </w:r>
    </w:p>
    <w:p>
      <w:pPr>
        <w:spacing w:after="0" w:line="206" w:lineRule="exact"/>
        <w:rPr>
          <w:rFonts w:ascii="Times New Roman" w:cs="Times New Roman" w:eastAsia="Times New Roman" w:hAnsi="Times New Roman"/>
          <w:sz w:val="18"/>
          <w:szCs w:val="18"/>
          <w:color w:val="auto"/>
        </w:rPr>
      </w:pPr>
    </w:p>
    <w:p>
      <w:pPr>
        <w:ind w:left="4" w:right="40" w:hanging="4"/>
        <w:spacing w:after="0" w:line="255" w:lineRule="auto"/>
        <w:tabs>
          <w:tab w:leader="none" w:pos="2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w:t>
      </w:r>
    </w:p>
    <w:p>
      <w:pPr>
        <w:sectPr>
          <w:pgSz w:w="11900" w:h="16838" w:orient="portrait"/>
          <w:cols w:equalWidth="0" w:num="1">
            <w:col w:w="11004"/>
          </w:cols>
          <w:pgMar w:left="436" w:top="268" w:right="459" w:bottom="1440" w:gutter="0" w:footer="0" w:header="0"/>
        </w:sectPr>
      </w:pPr>
    </w:p>
    <w:bookmarkStart w:id="64" w:name="page65"/>
    <w:bookmarkEnd w:id="64"/>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3" w:lineRule="exact"/>
        <w:rPr>
          <w:sz w:val="20"/>
          <w:szCs w:val="20"/>
          <w:color w:val="auto"/>
        </w:rPr>
      </w:pPr>
    </w:p>
    <w:p>
      <w:pPr>
        <w:ind w:left="4" w:right="40" w:hanging="4"/>
        <w:spacing w:after="0" w:line="252" w:lineRule="auto"/>
        <w:tabs>
          <w:tab w:leader="none" w:pos="24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directly or indirectly,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w:t>
      </w:r>
    </w:p>
    <w:p>
      <w:pPr>
        <w:spacing w:after="0" w:line="193"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7"/>
          <w:szCs w:val="17"/>
          <w:color w:val="auto"/>
        </w:rPr>
        <w:t>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cash payment right shall not apply. “</w:t>
      </w:r>
      <w:r>
        <w:rPr>
          <w:rFonts w:ascii="Times New Roman" w:cs="Times New Roman" w:eastAsia="Times New Roman" w:hAnsi="Times New Roman"/>
          <w:sz w:val="17"/>
          <w:szCs w:val="17"/>
          <w:i w:val="1"/>
          <w:iCs w:val="1"/>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L.P. (“</w:t>
      </w:r>
      <w:r>
        <w:rPr>
          <w:rFonts w:ascii="Times New Roman" w:cs="Times New Roman" w:eastAsia="Times New Roman" w:hAnsi="Times New Roman"/>
          <w:sz w:val="17"/>
          <w:szCs w:val="17"/>
          <w:i w:val="1"/>
          <w:iCs w:val="1"/>
          <w:color w:val="auto"/>
        </w:rPr>
        <w:t>Bloomberg</w:t>
      </w:r>
      <w:r>
        <w:rPr>
          <w:rFonts w:ascii="Times New Roman" w:cs="Times New Roman" w:eastAsia="Times New Roman" w:hAnsi="Times New Roman"/>
          <w:sz w:val="17"/>
          <w:szCs w:val="17"/>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lesser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w:t>
      </w:r>
    </w:p>
    <w:p>
      <w:pPr>
        <w:spacing w:after="0" w:line="6" w:lineRule="exact"/>
        <w:rPr>
          <w:sz w:val="20"/>
          <w:szCs w:val="20"/>
          <w:color w:val="auto"/>
        </w:rPr>
      </w:pPr>
    </w:p>
    <w:p>
      <w:pPr>
        <w:ind w:left="4" w:right="280" w:hanging="4"/>
        <w:spacing w:after="0" w:line="260" w:lineRule="auto"/>
        <w:tabs>
          <w:tab w:leader="none" w:pos="26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VWAP during the five (5) Trading Days immediately prior to such Fundamental Transaction, (D) a remaining option time equal to the time between the date of the public announcement of the applicable contemplated Fundamental Transaction and the</w:t>
      </w:r>
    </w:p>
    <w:p>
      <w:pPr>
        <w:sectPr>
          <w:pgSz w:w="11900" w:h="16838" w:orient="portrait"/>
          <w:cols w:equalWidth="0" w:num="1">
            <w:col w:w="11024"/>
          </w:cols>
          <w:pgMar w:left="436" w:top="270" w:right="439" w:bottom="1440" w:gutter="0" w:footer="0" w:header="0"/>
        </w:sectPr>
      </w:pPr>
    </w:p>
    <w:bookmarkStart w:id="65" w:name="page66"/>
    <w:bookmarkEnd w:id="65"/>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to the extent the Fundamental Transaction is within the Company’s control, any successor entity in a Fundamental Transaction in which the Company is not the survivor (the “</w:t>
      </w:r>
      <w:r>
        <w:rPr>
          <w:rFonts w:ascii="Times New Roman" w:cs="Times New Roman" w:eastAsia="Times New Roman" w:hAnsi="Times New Roman"/>
          <w:sz w:val="18"/>
          <w:szCs w:val="18"/>
          <w:i w:val="1"/>
          <w:iCs w:val="1"/>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9(c)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spacing w:after="0" w:line="191" w:lineRule="exact"/>
        <w:rPr>
          <w:sz w:val="20"/>
          <w:szCs w:val="20"/>
          <w:color w:val="auto"/>
        </w:rPr>
      </w:pPr>
    </w:p>
    <w:p>
      <w:pPr>
        <w:ind w:left="4" w:right="20" w:hanging="4"/>
        <w:spacing w:after="0" w:line="258" w:lineRule="auto"/>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8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one-hundredth of one cent or the nearest share, as applicable.</w:t>
      </w:r>
    </w:p>
    <w:p>
      <w:pPr>
        <w:spacing w:after="0" w:line="225" w:lineRule="exact"/>
        <w:rPr>
          <w:rFonts w:ascii="Times New Roman" w:cs="Times New Roman" w:eastAsia="Times New Roman" w:hAnsi="Times New Roman"/>
          <w:sz w:val="18"/>
          <w:szCs w:val="18"/>
          <w:color w:val="auto"/>
        </w:rPr>
      </w:pPr>
    </w:p>
    <w:p>
      <w:pPr>
        <w:ind w:left="4" w:right="100" w:hanging="4"/>
        <w:spacing w:after="0" w:line="258" w:lineRule="auto"/>
        <w:tabs>
          <w:tab w:leader="none" w:pos="22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83"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other than a Fundamental Transaction under clause (iii) of Section 9(c), then, except if such notice and the contents thereof shall be deemed to</w:t>
      </w:r>
    </w:p>
    <w:p>
      <w:pPr>
        <w:sectPr>
          <w:pgSz w:w="11900" w:h="16838" w:orient="portrait"/>
          <w:cols w:equalWidth="0" w:num="1">
            <w:col w:w="11004"/>
          </w:cols>
          <w:pgMar w:left="436" w:top="270" w:right="459" w:bottom="1440" w:gutter="0" w:footer="0" w:header="0"/>
        </w:sectPr>
      </w:pPr>
    </w:p>
    <w:bookmarkStart w:id="66" w:name="page67"/>
    <w:bookmarkEnd w:id="66"/>
    <w:p>
      <w:pPr>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constitute material non-public information,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w:t>
      </w:r>
    </w:p>
    <w:p>
      <w:pPr>
        <w:spacing w:after="0" w:line="180" w:lineRule="exact"/>
        <w:rPr>
          <w:sz w:val="20"/>
          <w:szCs w:val="20"/>
          <w:color w:val="auto"/>
        </w:rPr>
      </w:pPr>
    </w:p>
    <w:p>
      <w:pPr>
        <w:jc w:val="both"/>
        <w:ind w:left="4" w:right="140" w:hanging="4"/>
        <w:spacing w:after="0" w:line="266" w:lineRule="auto"/>
        <w:tabs>
          <w:tab w:leader="none" w:pos="25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xml:space="preserve"> Subject to the rules and regulations of the Principal Trading Market, the Company may at any time during the term of this Warrant, reduce the then-current Exercise Price to any amount and for any period of time deemed appropriate by the Board of Directors of the Company.</w:t>
      </w:r>
    </w:p>
    <w:p>
      <w:pPr>
        <w:spacing w:after="0" w:line="176" w:lineRule="exact"/>
        <w:rPr>
          <w:sz w:val="20"/>
          <w:szCs w:val="20"/>
          <w:color w:val="auto"/>
        </w:rPr>
      </w:pPr>
    </w:p>
    <w:p>
      <w:pPr>
        <w:ind w:left="4" w:right="100" w:hanging="4"/>
        <w:spacing w:after="0" w:line="261" w:lineRule="auto"/>
        <w:tabs>
          <w:tab w:leader="none" w:pos="27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if at the time of exercise hereof there is no effective registration statement registering the issuance of the Warrant Shares to the Holder upon exercise of this Warrant, then this Warrant may only be exercised, in whole or in part, at such time by means of a “cashless exercise,” in which event the Company shall issue to the Holder the number of Warrant Shares in an exchange of securities effected pursuant to Section 3(a)(9) of the Securities Act, as determined as follows:</w:t>
      </w:r>
    </w:p>
    <w:p>
      <w:pPr>
        <w:spacing w:after="0" w:line="39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“A” equals the Closing Sale Price per share of Common Stock (as reported by Bloomberg Financial Markets) as of the Trading Day immediately preceding the Exercise Date;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equals the Exercise Price per Warrant Share then in effect on the Exercise Date.</w:t>
      </w:r>
    </w:p>
    <w:p>
      <w:pPr>
        <w:spacing w:after="0" w:line="225"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(provided that the Commission continues to take the position that such treatment is proper at the time of such exercise). 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w:t>
      </w:r>
    </w:p>
    <w:p>
      <w:pPr>
        <w:spacing w:after="0" w:line="187" w:lineRule="exact"/>
        <w:rPr>
          <w:sz w:val="20"/>
          <w:szCs w:val="20"/>
          <w:color w:val="auto"/>
        </w:rPr>
      </w:pPr>
    </w:p>
    <w:p>
      <w:pPr>
        <w:ind w:left="264" w:hanging="264"/>
        <w:spacing w:after="0"/>
        <w:tabs>
          <w:tab w:leader="none" w:pos="26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66" w:lineRule="auto"/>
        <w:tabs>
          <w:tab w:leader="none" w:pos="24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Persons who are members of a Section 13(d) group with such Holder or its Affiliates to exceed 4.99% (or at the election of the Holder prior to the issuance of this Warrant, 9.99%) (the “</w:t>
      </w:r>
      <w:r>
        <w:rPr>
          <w:rFonts w:ascii="Times New Roman" w:cs="Times New Roman" w:eastAsia="Times New Roman" w:hAnsi="Times New Roman"/>
          <w:sz w:val="17"/>
          <w:szCs w:val="17"/>
          <w:i w:val="1"/>
          <w:iCs w:val="1"/>
          <w:color w:val="auto"/>
        </w:rPr>
        <w:t>Maximum Percentage</w:t>
      </w:r>
      <w:r>
        <w:rPr>
          <w:rFonts w:ascii="Times New Roman" w:cs="Times New Roman" w:eastAsia="Times New Roman" w:hAnsi="Times New Roman"/>
          <w:sz w:val="17"/>
          <w:szCs w:val="17"/>
          <w:color w:val="auto"/>
        </w:rPr>
        <w:t>”)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Exchange Act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(y) a more recent public announcement by the Company or (z) any other written notice by the Company or the Transfer Agent setting forth the number of shares of Common Stock outstanding. Upon the written request of the Holder, the Company shall within three</w:t>
      </w:r>
    </w:p>
    <w:p>
      <w:pPr>
        <w:spacing w:after="0" w:line="9" w:lineRule="exact"/>
        <w:rPr>
          <w:rFonts w:ascii="Times New Roman" w:cs="Times New Roman" w:eastAsia="Times New Roman" w:hAnsi="Times New Roman"/>
          <w:sz w:val="17"/>
          <w:szCs w:val="17"/>
          <w:color w:val="auto"/>
        </w:rPr>
      </w:pPr>
    </w:p>
    <w:p>
      <w:pPr>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w:t>
      </w:r>
    </w:p>
    <w:p>
      <w:pPr>
        <w:sectPr>
          <w:pgSz w:w="11900" w:h="16838" w:orient="portrait"/>
          <w:cols w:equalWidth="0" w:num="1">
            <w:col w:w="10984"/>
          </w:cols>
          <w:pgMar w:left="436" w:top="270" w:right="479" w:bottom="1440" w:gutter="0" w:footer="0" w:header="0"/>
        </w:sectPr>
      </w:pPr>
    </w:p>
    <w:bookmarkStart w:id="67" w:name="page68"/>
    <w:bookmarkEnd w:id="67"/>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percentage specified in such notice, but not in excess of 19.99% (or at the election of the Holder prior to the issuance of this Warrant, 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 are members of a Section 13(d) group with such Holder or its Affiliates shall include the shares of Common Stock issuable upon (x) the exercise of this Warrant with respect to which such determination is being made, but shall exclude the number of shares of Common Stock which would be issuable upon exercise of the remaining unexercised and non-cancelled portion of this Warrant by the Holder and</w:t>
      </w:r>
    </w:p>
    <w:p>
      <w:pPr>
        <w:spacing w:after="0" w:line="5" w:lineRule="exact"/>
        <w:rPr>
          <w:sz w:val="20"/>
          <w:szCs w:val="20"/>
          <w:color w:val="auto"/>
        </w:rPr>
      </w:pPr>
    </w:p>
    <w:p>
      <w:pPr>
        <w:ind w:left="4" w:right="20" w:hanging="4"/>
        <w:spacing w:after="0" w:line="253"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w:t>
      </w:r>
    </w:p>
    <w:p>
      <w:pPr>
        <w:spacing w:after="0" w:line="187" w:lineRule="exact"/>
        <w:rPr>
          <w:sz w:val="20"/>
          <w:szCs w:val="20"/>
          <w:color w:val="auto"/>
        </w:rPr>
      </w:pPr>
    </w:p>
    <w:p>
      <w:pPr>
        <w:jc w:val="both"/>
        <w:ind w:left="4" w:right="120" w:hanging="4"/>
        <w:spacing w:after="0" w:line="266" w:lineRule="auto"/>
        <w:tabs>
          <w:tab w:leader="none" w:pos="2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w:t>
      </w:r>
    </w:p>
    <w:p>
      <w:pPr>
        <w:spacing w:after="0" w:line="176" w:lineRule="exact"/>
        <w:rPr>
          <w:sz w:val="20"/>
          <w:szCs w:val="20"/>
          <w:color w:val="auto"/>
        </w:rPr>
      </w:pPr>
    </w:p>
    <w:p>
      <w:pPr>
        <w:jc w:val="both"/>
        <w:ind w:left="4" w:right="260" w:hanging="4"/>
        <w:spacing w:after="0" w:line="266" w:lineRule="auto"/>
        <w:tabs>
          <w:tab w:leader="none" w:pos="27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Any and all notices or other communications or deliveries hereunder (including, without limitation, any Exercise Notice) shall be in writing and shall be deemed given and effective on the earliest of (i) the time of transmission, if such notice or communication is delivered via facsimile or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facsimile or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171 Oyster Point Blvd., Suite 500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Holder, to its address, facsimile number or e-mail address set forth herein or on the books and records of the Company.</w:t>
      </w:r>
    </w:p>
    <w:p>
      <w:pPr>
        <w:spacing w:after="0" w:line="225"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Or, in each of the above instances, to such other address, facsimile number or e-mail address as the recipient party has specified by written notice given to each other party at least five (5) days prior to the effectiveness of such change.</w:t>
      </w:r>
    </w:p>
    <w:p>
      <w:pPr>
        <w:spacing w:after="0" w:line="162" w:lineRule="exact"/>
        <w:rPr>
          <w:sz w:val="20"/>
          <w:szCs w:val="20"/>
          <w:color w:val="auto"/>
        </w:rPr>
      </w:pPr>
    </w:p>
    <w:p>
      <w:pPr>
        <w:ind w:left="264" w:hanging="264"/>
        <w:spacing w:after="0"/>
        <w:tabs>
          <w:tab w:leader="none" w:pos="2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Company shall initially serve as warrant agent under this Warrant. Upon thirty (30) days’ notice to the Holder, the Company</w:t>
      </w:r>
    </w:p>
    <w:p>
      <w:pPr>
        <w:spacing w:after="0" w:line="27"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ectPr>
          <w:pgSz w:w="11900" w:h="16838" w:orient="portrait"/>
          <w:cols w:equalWidth="0" w:num="1">
            <w:col w:w="11004"/>
          </w:cols>
          <w:pgMar w:left="436" w:top="270" w:right="459" w:bottom="1440" w:gutter="0" w:footer="0" w:header="0"/>
        </w:sectPr>
      </w:pPr>
    </w:p>
    <w:bookmarkStart w:id="68" w:name="page69"/>
    <w:bookmarkEnd w:id="68"/>
    <w:p>
      <w:pPr>
        <w:ind w:left="264" w:hanging="264"/>
        <w:spacing w:after="0"/>
        <w:tabs>
          <w:tab w:leader="none" w:pos="26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54" w:lineRule="auto"/>
        <w:tabs>
          <w:tab w:leader="none" w:pos="24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91" w:lineRule="exact"/>
        <w:rPr>
          <w:rFonts w:ascii="Times New Roman" w:cs="Times New Roman" w:eastAsia="Times New Roman" w:hAnsi="Times New Roman"/>
          <w:sz w:val="18"/>
          <w:szCs w:val="18"/>
          <w:color w:val="auto"/>
        </w:rPr>
      </w:pPr>
    </w:p>
    <w:p>
      <w:pPr>
        <w:ind w:left="4" w:right="60" w:hanging="4"/>
        <w:spacing w:after="0" w:line="254" w:lineRule="auto"/>
        <w:tabs>
          <w:tab w:leader="none" w:pos="2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left="4" w:right="560" w:hanging="4"/>
        <w:spacing w:after="0" w:line="266" w:lineRule="auto"/>
        <w:tabs>
          <w:tab w:leader="none" w:pos="26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 w:right="140" w:hanging="4"/>
        <w:spacing w:after="0" w:line="256" w:lineRule="auto"/>
        <w:tabs>
          <w:tab w:leader="none" w:pos="2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7" w:lineRule="exact"/>
        <w:rPr>
          <w:rFonts w:ascii="Times New Roman" w:cs="Times New Roman" w:eastAsia="Times New Roman" w:hAnsi="Times New Roman"/>
          <w:sz w:val="18"/>
          <w:szCs w:val="18"/>
          <w:color w:val="auto"/>
        </w:rPr>
      </w:pPr>
    </w:p>
    <w:p>
      <w:pPr>
        <w:ind w:left="4" w:hanging="4"/>
        <w:spacing w:after="0" w:line="312" w:lineRule="auto"/>
        <w:tabs>
          <w:tab w:leader="none" w:pos="25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Waiver</w:t>
      </w:r>
      <w:r>
        <w:rPr>
          <w:rFonts w:ascii="Times New Roman" w:cs="Times New Roman" w:eastAsia="Times New Roman" w:hAnsi="Times New Roman"/>
          <w:sz w:val="17"/>
          <w:szCs w:val="17"/>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w:t>
      </w:r>
    </w:p>
    <w:p>
      <w:pPr>
        <w:spacing w:after="0" w:line="139"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225" w:lineRule="exact"/>
        <w:rPr>
          <w:rFonts w:ascii="Times New Roman" w:cs="Times New Roman" w:eastAsia="Times New Roman" w:hAnsi="Times New Roman"/>
          <w:sz w:val="18"/>
          <w:szCs w:val="18"/>
          <w:color w:val="auto"/>
        </w:rPr>
      </w:pPr>
    </w:p>
    <w:p>
      <w:pPr>
        <w:ind w:left="4" w:right="120" w:hanging="4"/>
        <w:spacing w:after="0" w:line="254" w:lineRule="auto"/>
        <w:tabs>
          <w:tab w:leader="none" w:pos="22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DELAWARE WITHOUT REGARD TO THE PRINCIPLES OF CONFLICTS OF LAW THEREOF. EACH OF THE COMPANY AND THE HOLDER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w:t>
      </w:r>
    </w:p>
    <w:p>
      <w:pPr>
        <w:sectPr>
          <w:pgSz w:w="11900" w:h="16838" w:orient="portrait"/>
          <w:cols w:equalWidth="0" w:num="1">
            <w:col w:w="11004"/>
          </w:cols>
          <w:pgMar w:left="436" w:top="270" w:right="459" w:bottom="1440" w:gutter="0" w:footer="0" w:header="0"/>
        </w:sectPr>
      </w:pPr>
    </w:p>
    <w:bookmarkStart w:id="69" w:name="page70"/>
    <w:bookmarkEnd w:id="69"/>
    <w:p>
      <w:pPr>
        <w:ind w:left="4" w:right="2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73" w:lineRule="exact"/>
        <w:rPr>
          <w:sz w:val="20"/>
          <w:szCs w:val="20"/>
          <w:color w:val="auto"/>
        </w:rPr>
      </w:pPr>
    </w:p>
    <w:p>
      <w:pPr>
        <w:ind w:left="4" w:right="80" w:hanging="4"/>
        <w:spacing w:after="0" w:line="282" w:lineRule="auto"/>
        <w:tabs>
          <w:tab w:leader="none" w:pos="2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4" w:hanging="4"/>
        <w:spacing w:after="0" w:line="261" w:lineRule="auto"/>
        <w:tabs>
          <w:tab w:leader="none" w:pos="2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004"/>
          </w:cols>
          <w:pgMar w:left="436" w:top="270"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Faraz Ali, M.B.A.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480"/>
          </w:cols>
          <w:pgMar w:left="440" w:top="270" w:right="979" w:bottom="1440" w:gutter="0" w:footer="0" w:header="0"/>
        </w:sectPr>
      </w:pPr>
    </w:p>
    <w:bookmarkStart w:id="71" w:name="page72"/>
    <w:bookmarkEnd w:id="71"/>
    <w:p>
      <w:pPr>
        <w:jc w:val="center"/>
        <w:ind w:right="-6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ind w:left="4" w:right="260" w:hanging="4"/>
        <w:spacing w:after="0" w:line="284"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issued by Tenaya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58"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__________ Warrant Shares (the “</w:t>
      </w:r>
      <w:r>
        <w:rPr>
          <w:rFonts w:ascii="Times New Roman" w:cs="Times New Roman" w:eastAsia="Times New Roman" w:hAnsi="Times New Roman"/>
          <w:sz w:val="18"/>
          <w:szCs w:val="18"/>
          <w:i w:val="1"/>
          <w:iCs w:val="1"/>
          <w:color w:val="auto"/>
        </w:rPr>
        <w:t>Exercised Warrant Shares</w:t>
      </w:r>
      <w:r>
        <w:rPr>
          <w:rFonts w:ascii="Times New Roman" w:cs="Times New Roman" w:eastAsia="Times New Roman" w:hAnsi="Times New Roman"/>
          <w:sz w:val="18"/>
          <w:szCs w:val="18"/>
          <w:color w:val="auto"/>
        </w:rPr>
        <w:t>”) pursuant to the Warrant.</w:t>
      </w:r>
    </w:p>
    <w:p>
      <w:pPr>
        <w:spacing w:after="0" w:line="2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1"/>
          <w:numId w:val="1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in accordance with Section 10 of the Warrant, “Cashless Exercise”</w:t>
      </w:r>
    </w:p>
    <w:p>
      <w:pPr>
        <w:spacing w:after="0" w:line="225" w:lineRule="exact"/>
        <w:rPr>
          <w:rFonts w:ascii="MS PGothic" w:cs="MS PGothic" w:eastAsia="MS PGothic" w:hAnsi="MS PGothic"/>
          <w:sz w:val="18"/>
          <w:szCs w:val="18"/>
          <w:color w:val="auto"/>
        </w:rPr>
      </w:pPr>
    </w:p>
    <w:p>
      <w:pPr>
        <w:ind w:left="4" w:right="660" w:hanging="4"/>
        <w:spacing w:after="0" w:line="282"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__________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4" w:right="80" w:hanging="4"/>
        <w:spacing w:after="0" w:line="282"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the Exercised Warrant Shares determined in accordance with the terms of the Warrant.</w:t>
      </w:r>
    </w:p>
    <w:p>
      <w:pPr>
        <w:spacing w:after="0" w:line="161"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ectPr>
          <w:pgSz w:w="11900" w:h="16838" w:orient="portrait"/>
          <w:cols w:equalWidth="0" w:num="1">
            <w:col w:w="10944"/>
          </w:cols>
          <w:pgMar w:left="436" w:top="270" w:right="5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9728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72"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72"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866.974.7329</w:t>
      </w:r>
    </w:p>
    <w:p>
      <w:pPr>
        <w:spacing w:after="0" w:line="2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San Francisco, CA 84080</w:t>
      </w:r>
    </w:p>
    <w:p>
      <w:pPr>
        <w:spacing w:after="0" w:line="230"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Follow-On Public Offering of Tenaya Therapeutics, Inc.</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120"/>
        <w:spacing w:after="0" w:line="259" w:lineRule="auto"/>
        <w:rPr>
          <w:sz w:val="20"/>
          <w:szCs w:val="20"/>
          <w:color w:val="auto"/>
        </w:rPr>
      </w:pPr>
      <w:r>
        <w:rPr>
          <w:rFonts w:ascii="Times New Roman" w:cs="Times New Roman" w:eastAsia="Times New Roman" w:hAnsi="Times New Roman"/>
          <w:sz w:val="18"/>
          <w:szCs w:val="18"/>
          <w:color w:val="auto"/>
        </w:rPr>
        <w:t>We have acted as counsel to Tenaya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March 21, 2025 of a Registration Statement on Form S-3 (Registration No. 333-286005), under the Securities Act of 1933, as amended, and declared effective on March 31, 2025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prospectus contained within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prospectus supplement to the Registration Statement dated December 11, 2025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Prospectus Supplement relates to the offering of the Company of an aggregate of (i) 50,000,000 units of the Company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each consisting</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one share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one (1) warrant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purchase one share of Common Stock at an exercise price of $1.50 per share, which will expire five (5) years from the date of issuance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The shares issuable upon exercise of the Warrants are herein collectively referred to herein as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The offering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Units is being made pursuant to that certain underwriting agreement, dated December 11, 2025, by and among the Company and Leerink Partners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Piper Sandler &amp; Co., as representatives of the several underwriters named therein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80"/>
        <w:spacing w:after="0" w:line="270" w:lineRule="auto"/>
        <w:rPr>
          <w:sz w:val="20"/>
          <w:szCs w:val="20"/>
          <w:color w:val="auto"/>
        </w:rPr>
      </w:pPr>
      <w:r>
        <w:rPr>
          <w:rFonts w:ascii="Times New Roman" w:cs="Times New Roman" w:eastAsia="Times New Roman" w:hAnsi="Times New Roman"/>
          <w:sz w:val="17"/>
          <w:szCs w:val="17"/>
          <w:color w:val="auto"/>
        </w:rPr>
        <w:t>We have examined copies of the Registration Statement, together with the documents incorporated by reference therein, and the Prospectus. In addition, we have examined originals or copies, certified or otherwise identified to our satisfaction, of such other instruments, documents, certificates and records which we have deemed relevant and necessary for the basis of our opinion hereinafter expressed. In such examination, we have assumed: (i) the authenticity of original documents and the genuineness of all signatures; (ii) the conformity to the originals of all documents submitted to us as copies;</w:t>
      </w:r>
    </w:p>
    <w:p>
      <w:pPr>
        <w:spacing w:after="0" w:line="3" w:lineRule="exact"/>
        <w:rPr>
          <w:sz w:val="20"/>
          <w:szCs w:val="20"/>
          <w:color w:val="auto"/>
        </w:rPr>
      </w:pPr>
    </w:p>
    <w:p>
      <w:pPr>
        <w:ind w:left="4" w:right="40" w:hanging="4"/>
        <w:spacing w:after="0" w:line="253" w:lineRule="auto"/>
        <w:tabs>
          <w:tab w:leader="none" w:pos="31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accuracy and completeness of the information, representations and warranties contained in the records, documents, instruments and certificates we have reviewed; (iv) that the Underwriting Agreement has been duly authorized and validly executed and delivered by the parties thereto (other than the Company); (v) that the Units, theShares, the Warrants, and the Warrant Shares will be issued and sold in compliance with applicable U.S. federal and state securities laws and in the manner stated in the Registration Statement and the Prospectus; and (vi) the legal capacity of all natural persons.</w:t>
      </w:r>
    </w:p>
    <w:p>
      <w:pPr>
        <w:spacing w:after="0" w:line="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AUSTIN   BOSTON   BOULDER   BRUSSELS   CENTURY CITY   HONG KONG   LONDON   LOS ANGELES   NEW YORK   PALO ALTO</w:t>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SALT LAKE CITY   SAN DIEGO   SAN FRANCISCO   SEATTLE   SHANGHAI   WASHINGTON, DC   WILMINGTON, DE</w:t>
      </w:r>
    </w:p>
    <w:p>
      <w:pPr>
        <w:sectPr>
          <w:pgSz w:w="11900" w:h="16838" w:orient="portrait"/>
          <w:cols w:equalWidth="0" w:num="1">
            <w:col w:w="11024"/>
          </w:cols>
          <w:pgMar w:left="436" w:top="117" w:right="439" w:bottom="1440" w:gutter="0" w:footer="0" w:header="0"/>
        </w:sectPr>
      </w:pPr>
    </w:p>
    <w:bookmarkStart w:id="73" w:name="page74"/>
    <w:bookmarkEnd w:id="7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4864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Tenaya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15,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right="140"/>
        <w:spacing w:after="0" w:line="276" w:lineRule="auto"/>
        <w:rPr>
          <w:sz w:val="20"/>
          <w:szCs w:val="20"/>
          <w:color w:val="auto"/>
        </w:rPr>
      </w:pPr>
      <w:r>
        <w:rPr>
          <w:rFonts w:ascii="Times New Roman" w:cs="Times New Roman" w:eastAsia="Times New Roman" w:hAnsi="Times New Roman"/>
          <w:sz w:val="17"/>
          <w:szCs w:val="17"/>
          <w:color w:val="auto"/>
        </w:rPr>
        <w:t>Based on and subject to the foregoing, we are of the opinion that (i) the Shares have been duly authorized and, when issued and delivered by the Company against payment therefor in accordance with the terms of the Underwriting Agreement, will be validly issued, fully paid and non-assessable;</w:t>
      </w:r>
    </w:p>
    <w:p>
      <w:pPr>
        <w:spacing w:after="0" w:line="1" w:lineRule="exact"/>
        <w:rPr>
          <w:sz w:val="20"/>
          <w:szCs w:val="20"/>
          <w:color w:val="auto"/>
        </w:rPr>
      </w:pPr>
    </w:p>
    <w:p>
      <w:pPr>
        <w:ind w:left="4" w:hanging="4"/>
        <w:spacing w:after="0" w:line="253" w:lineRule="auto"/>
        <w:tabs>
          <w:tab w:leader="none" w:pos="26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have been duly authorized and, when executed and delivered by the Company against payment therefor in accordance with the terms of the Underwriting Agreement, will constitute valid and binding obligations of the Company, enforceable against the Company in accordance with their terms; and (iii) the Warrant Shares have been duly authorized and, when issued and delivered by the Company upon exercise of the Warrants in accordance with the terms of the Warrants, will be validly issued, fully paid and nonassessable.</w:t>
      </w:r>
    </w:p>
    <w:p>
      <w:pPr>
        <w:spacing w:after="0" w:line="189"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62"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83"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filed on or about the date hereof for incorporation by reference into the Registration Statement and to the use of our name wherever it appears in the Registration Statement, the Prospectus and in any amendment or supplement thereto. In giving such consent, we do not believe that we are “experts” within the meaning of such term as used in the Securities Act of 1933, as amended, or the rules and regulations of the Commission issued thereunder with respect to any part of the Registration Statement, including this opinion as an exhibit or otherwise.</w:t>
      </w:r>
    </w:p>
    <w:p>
      <w:pPr>
        <w:spacing w:after="0" w:line="21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0984"/>
          </w:cols>
          <w:pgMar w:left="436" w:top="810" w:right="4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Announces Pricing of Public Offering</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 December 11, 2025 – </w:t>
      </w:r>
      <w:r>
        <w:rPr>
          <w:rFonts w:ascii="Times New Roman" w:cs="Times New Roman" w:eastAsia="Times New Roman" w:hAnsi="Times New Roman"/>
          <w:sz w:val="18"/>
          <w:szCs w:val="18"/>
          <w:color w:val="auto"/>
        </w:rPr>
        <w:t>Tenaya Therapeutics, Inc. (Nasdaq: TNYA), a clinical-stage biotechnology company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mission to discover, develop and deliver potentially curative therapies that address the underlying causes of heart disease, today announced the pricing of its underwritten public offering of 50,000,000 total units for gross proceeds of approximately $60 million prior to deducting underwriting discounts and commissions and offering expenses.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Tenaya intends to use the net proceeds from the offering to fund the ongoing and planned development of its clinical and early-stage product candidates, particularly TN-201 and TN-401, and for working capital and other general corporate purposes.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offering is comprised of 50,000,000 units, priced at a public offering price of $1.20 per unit, with each unit consisting of one share of common stock and a warrant to purchase one share of common stock (which equates to 100% warrant coverage) at an exercise price of $1.50 per share, which will be immediately exercisable and will expire five years from the date of issuance. The securities comprising the units are immediately separable and will be issued separately.</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of the securities are to be sold by Tenaya. The offering is expected to close on or about December 15, 2025, subject to satisfaction of customary closing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and Piper Sandler are acting as joint book-running managers for the offering. LifeSci Capital also acted as a bookrunning manager.</w:t>
      </w:r>
    </w:p>
    <w:p>
      <w:pPr>
        <w:spacing w:after="0" w:line="22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securities are being offered by Tenaya pursuant to a Registration Statement on Form S-3, which was previously filed and declared effective by the SEC, and Tenaya has filed a preliminary prospectus supplement and accompanying prospectus relating to and describing the terms of the offering with the SEC. A final prospectus supplement and accompanying prospectus relating to the offering will also be filed with the SEC. These documents can be accessed for free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available, copies of the final prospectus supplement and the accompanying prospectus relating to this offering may also be obtained from: Leerink</w:t>
      </w:r>
    </w:p>
    <w:p>
      <w:pPr>
        <w:spacing w:after="0" w:line="27"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Partners LLC, Attention: Syndicate Department, 53 State Street, 40th Floor, Boston, MA 02109, by telephone at 1 (800) 808-7525, ext. 6105, or by email at syndicate@leerink.com; or Piper Sandler &amp; Co., 350 North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Suite 1000, Minneapolis, MN 55401, Attention: Prospectus Department, by telephone at (800) 747-3924, or by email at prospectus@psc.com.</w:t>
      </w:r>
    </w:p>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nor will there be any sale of these securities in any state or other jurisdiction in which such offer, solicitation, or sale would be unlawful before registration or qualification under the securities laws of that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Tenaya Therapeutics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Tenaya Therapeutics is a clinical-stage biotechnology company committed to a bold mission: to discover, develop and deliver potentially curative therapies that address the underlying drivers of heart disease. Tenaya’s pipeline includes clinical-stage candidates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and TN-401, a gene therapy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Tenaya has employed a suite of integrated internal capabilities, including modality agnostic target validation, capsid engineering and manufacturing, to generate a portfolio of novel medicines based on genetic insights, including TN-301, a clinical-stage small molecule HDAC6 inhibitor for the potential treatment of heart failure and related cardio/muscular disease, and multiple early-stage programs in preclinical development aimed at the treatment of both rare genetic disorders and more prevalent heart conditions.</w:t>
      </w:r>
    </w:p>
    <w:p>
      <w:pPr>
        <w:sectPr>
          <w:pgSz w:w="11900" w:h="16838" w:orient="portrait"/>
          <w:cols w:equalWidth="0" w:num="1">
            <w:col w:w="11020"/>
          </w:cols>
          <w:pgMar w:left="440" w:top="117"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in Section 27A of the Securities Act of 1933, as amended, and Section 21E of the Securities Exchange Act of 1934, as amended. Such statements include, but are not limited to, statements relating to the offering, including the size and terms of the offering, the securities being offered, the timing of the closing of the offering, the expected gross proceeds and the use of proceeds. These forward-looking statements are neither promises nor guarantees and are subject to a variety of risks and uncertainties, including but not limited to: whether or not Tenaya will be able to raise capital through the sale of securities or consummate the offering; the final terms of the offering on the anticipated terms or at all, including the satisfaction of customary closing conditions; the anticipated use of the proceeds of the offering which could change as a result of market conditions or for other reasons; general economic and market conditions as well as geopolitical developments; and other risks. For further information regarding the foregoing and additional risks that could cause actual results to differ from those expressed in these forward-looking statements, as well as risks relating to the business of Tenaya in general, see Tenaya’s recent Quarterly Report on Form 10-Q filed on November 10, 2025, the prospectus supplement related to the proposed public offering we plan to file and subsequent filings with the Securities and Exchange Commission. These forward-looking statements are made as of the date of this press release, and Tenaya assumes no obligation to update or revise any forward-looking statements, whether as a result of new information, future events or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Corral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Tenaya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IR@tenayathera.com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Anne-Marie Fields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 (formerly 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annemarie.fields@precisionaq.com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 Ryan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wendy@tenbridgecommunications.com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1)"/>
      <w:numFmt w:val="lowerRoman"/>
      <w:start w:val="2"/>
    </w:lvl>
  </w:abstractNum>
  <w:abstractNum w:abstractNumId="2">
    <w:nsid w:val="3F6AB60F"/>
    <w:multiLevelType w:val="hybridMultilevel"/>
    <w:lvl w:ilvl="0">
      <w:lvlJc w:val="left"/>
      <w:lvlText w:val=" "/>
      <w:numFmt w:val="bullet"/>
      <w:start w:val="1"/>
    </w:lvl>
  </w:abstractNum>
  <w:abstractNum w:abstractNumId="3">
    <w:nsid w:val="61574095"/>
    <w:multiLevelType w:val="hybridMultilevel"/>
    <w:lvl w:ilvl="0">
      <w:lvlJc w:val="left"/>
      <w:lvlText w:val=" "/>
      <w:numFmt w:val="bullet"/>
      <w:start w:val="1"/>
    </w:lvl>
  </w:abstractNum>
  <w:abstractNum w:abstractNumId="4">
    <w:nsid w:val="7E0C57B1"/>
    <w:multiLevelType w:val="hybridMultilevel"/>
    <w:lvl w:ilvl="0">
      <w:lvlJc w:val="left"/>
      <w:lvlText w:val=" "/>
      <w:numFmt w:val="bullet"/>
      <w:start w:val="1"/>
    </w:lvl>
  </w:abstractNum>
  <w:abstractNum w:abstractNumId="5">
    <w:nsid w:val="77AE35EB"/>
    <w:multiLevelType w:val="hybridMultilevel"/>
    <w:lvl w:ilvl="0">
      <w:lvlJc w:val="left"/>
      <w:lvlText w:val="%1."/>
      <w:numFmt w:val="decimal"/>
      <w:start w:val="1"/>
    </w:lvl>
    <w:lvl w:ilvl="1">
      <w:lvlJc w:val="left"/>
      <w:lvlText w:val="(%2)"/>
      <w:numFmt w:val="lowerLetter"/>
      <w:start w:val="1"/>
    </w:lvl>
  </w:abstractNum>
  <w:abstractNum w:abstractNumId="6">
    <w:nsid w:val="579BE4F1"/>
    <w:multiLevelType w:val="hybridMultilevel"/>
    <w:lvl w:ilvl="0">
      <w:lvlJc w:val="left"/>
      <w:lvlText w:val="(%1)"/>
      <w:numFmt w:val="lowerLetter"/>
      <w:start w:val="2"/>
    </w:lvl>
  </w:abstractNum>
  <w:abstractNum w:abstractNumId="7">
    <w:nsid w:val="310C50B3"/>
    <w:multiLevelType w:val="hybridMultilevel"/>
    <w:lvl w:ilvl="0">
      <w:lvlJc w:val="left"/>
      <w:lvlText w:val="(%1)"/>
      <w:numFmt w:val="lowerLetter"/>
      <w:start w:val="4"/>
    </w:lvl>
  </w:abstractNum>
  <w:abstractNum w:abstractNumId="8">
    <w:nsid w:val="5FF87E05"/>
    <w:multiLevelType w:val="hybridMultilevel"/>
    <w:lvl w:ilvl="0">
      <w:lvlJc w:val="left"/>
      <w:lvlText w:val="(%1)"/>
      <w:numFmt w:val="lowerLetter"/>
      <w:start w:val="11"/>
    </w:lvl>
  </w:abstractNum>
  <w:abstractNum w:abstractNumId="9">
    <w:nsid w:val="2F305DEF"/>
    <w:multiLevelType w:val="hybridMultilevel"/>
    <w:lvl w:ilvl="0">
      <w:lvlJc w:val="left"/>
      <w:lvlText w:val="(%1)"/>
      <w:numFmt w:val="lowerLetter"/>
      <w:start w:val="15"/>
    </w:lvl>
  </w:abstractNum>
  <w:abstractNum w:abstractNumId="10">
    <w:nsid w:val="25A70BF7"/>
    <w:multiLevelType w:val="hybridMultilevel"/>
    <w:lvl w:ilvl="0">
      <w:lvlJc w:val="left"/>
      <w:lvlText w:val="(%1)"/>
      <w:numFmt w:val="lowerLetter"/>
      <w:start w:val="20"/>
    </w:lvl>
    <w:lvl w:ilvl="1">
      <w:lvlJc w:val="left"/>
      <w:lvlText w:val="(%2)"/>
      <w:numFmt w:val="upperLetter"/>
      <w:start w:val="1"/>
    </w:lvl>
  </w:abstractNum>
  <w:abstractNum w:abstractNumId="11">
    <w:nsid w:val="1DBABF00"/>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2">
    <w:nsid w:val="4AD084E9"/>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13">
    <w:nsid w:val="1F48EAA1"/>
    <w:multiLevelType w:val="hybridMultilevel"/>
    <w:lvl w:ilvl="0">
      <w:lvlJc w:val="left"/>
      <w:lvlText w:val="%1"/>
      <w:numFmt w:val="lowerRoman"/>
      <w:start w:val="1"/>
    </w:lvl>
    <w:lvl w:ilvl="1">
      <w:lvlJc w:val="left"/>
      <w:lvlText w:val="(%2)"/>
      <w:numFmt w:val="lowerLetter"/>
      <w:start w:val="23"/>
    </w:lvl>
  </w:abstractNum>
  <w:abstractNum w:abstractNumId="14">
    <w:nsid w:val="1381823A"/>
    <w:multiLevelType w:val="hybridMultilevel"/>
    <w:lvl w:ilvl="0">
      <w:lvlJc w:val="left"/>
      <w:lvlText w:val="(%1)"/>
      <w:numFmt w:val="lowerRoman"/>
      <w:start w:val="6"/>
    </w:lvl>
    <w:lvl w:ilvl="1">
      <w:lvlJc w:val="left"/>
      <w:lvlText w:val="%2"/>
      <w:numFmt w:val="lowerLetter"/>
      <w:start w:val="1"/>
    </w:lvl>
  </w:abstractNum>
  <w:abstractNum w:abstractNumId="15">
    <w:nsid w:val="5DB70AE5"/>
    <w:multiLevelType w:val="hybridMultilevel"/>
    <w:lvl w:ilvl="0">
      <w:lvlJc w:val="left"/>
      <w:lvlText w:val="(%1)"/>
      <w:numFmt w:val="lowerLetter"/>
      <w:start w:val="25"/>
    </w:lvl>
  </w:abstractNum>
  <w:abstractNum w:abstractNumId="16">
    <w:nsid w:val="100F8FCA"/>
    <w:multiLevelType w:val="hybridMultilevel"/>
    <w:lvl w:ilvl="0">
      <w:lvlJc w:val="left"/>
      <w:lvlText w:val="(%1)"/>
      <w:numFmt w:val="lowerLetter"/>
      <w:start w:val="27"/>
    </w:lvl>
  </w:abstractNum>
  <w:abstractNum w:abstractNumId="17">
    <w:nsid w:val="6590700B"/>
    <w:multiLevelType w:val="hybridMultilevel"/>
    <w:lvl w:ilvl="0">
      <w:lvlJc w:val="left"/>
      <w:lvlText w:val="(%1)"/>
      <w:numFmt w:val="lowerLetter"/>
      <w:start w:val="30"/>
    </w:lvl>
  </w:abstractNum>
  <w:abstractNum w:abstractNumId="18">
    <w:nsid w:val="15014ACB"/>
    <w:multiLevelType w:val="hybridMultilevel"/>
    <w:lvl w:ilvl="0">
      <w:lvlJc w:val="left"/>
      <w:lvlText w:val="(%1)"/>
      <w:numFmt w:val="lowerLetter"/>
      <w:start w:val="35"/>
    </w:lvl>
  </w:abstractNum>
  <w:abstractNum w:abstractNumId="19">
    <w:nsid w:val="5F5E7FD0"/>
    <w:multiLevelType w:val="hybridMultilevel"/>
    <w:lvl w:ilvl="0">
      <w:lvlJc w:val="left"/>
      <w:lvlText w:val="(%1)"/>
      <w:numFmt w:val="lowerLetter"/>
      <w:start w:val="39"/>
    </w:lvl>
    <w:lvl w:ilvl="1">
      <w:lvlJc w:val="left"/>
      <w:lvlText w:val="(%2)"/>
      <w:numFmt w:val="lowerRoman"/>
      <w:start w:val="1"/>
    </w:lvl>
  </w:abstractNum>
  <w:abstractNum w:abstractNumId="20">
    <w:nsid w:val="98A3148"/>
    <w:multiLevelType w:val="hybridMultilevel"/>
    <w:lvl w:ilvl="0">
      <w:lvlJc w:val="left"/>
      <w:lvlText w:val="%1"/>
      <w:numFmt w:val="lowerRoman"/>
      <w:start w:val="1"/>
    </w:lvl>
    <w:lvl w:ilvl="1">
      <w:lvlJc w:val="left"/>
      <w:lvlText w:val="(%2)"/>
      <w:numFmt w:val="lowerRoman"/>
      <w:start w:val="7"/>
    </w:lvl>
  </w:abstractNum>
  <w:abstractNum w:abstractNumId="21">
    <w:nsid w:val="799D0247"/>
    <w:multiLevelType w:val="hybridMultilevel"/>
    <w:lvl w:ilvl="0">
      <w:lvlJc w:val="left"/>
      <w:lvlText w:val="(%1)"/>
      <w:numFmt w:val="lowerRoman"/>
      <w:start w:val="1"/>
    </w:lvl>
    <w:lvl w:ilvl="1">
      <w:lvlJc w:val="left"/>
      <w:lvlText w:val="%2"/>
      <w:numFmt w:val="lowerRoman"/>
      <w:start w:val="1"/>
    </w:lvl>
  </w:abstractNum>
  <w:abstractNum w:abstractNumId="22">
    <w:nsid w:val="6B94764"/>
    <w:multiLevelType w:val="hybridMultilevel"/>
    <w:lvl w:ilvl="0">
      <w:lvlJc w:val="left"/>
      <w:lvlText w:val="(%1)"/>
      <w:numFmt w:val="lowerLetter"/>
      <w:start w:val="41"/>
    </w:lvl>
  </w:abstractNum>
  <w:abstractNum w:abstractNumId="23">
    <w:nsid w:val="42C296BD"/>
    <w:multiLevelType w:val="hybridMultilevel"/>
    <w:lvl w:ilvl="0">
      <w:lvlJc w:val="left"/>
      <w:lvlText w:val="(%1)"/>
      <w:numFmt w:val="lowerLetter"/>
      <w:start w:val="43"/>
    </w:lvl>
  </w:abstractNum>
  <w:abstractNum w:abstractNumId="24">
    <w:nsid w:val="168E121F"/>
    <w:multiLevelType w:val="hybridMultilevel"/>
    <w:lvl w:ilvl="0">
      <w:lvlJc w:val="left"/>
      <w:lvlText w:val="%1."/>
      <w:numFmt w:val="decimal"/>
      <w:start w:val="2"/>
    </w:lvl>
  </w:abstractNum>
  <w:abstractNum w:abstractNumId="25">
    <w:nsid w:val="1EBA5D23"/>
    <w:multiLevelType w:val="hybridMultilevel"/>
    <w:lvl w:ilvl="0">
      <w:lvlJc w:val="left"/>
      <w:lvlText w:val="(%1)"/>
      <w:numFmt w:val="lowerLetter"/>
      <w:start w:val="1"/>
    </w:lvl>
  </w:abstractNum>
  <w:abstractNum w:abstractNumId="26">
    <w:nsid w:val="661E3F1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
    <w:nsid w:val="5DC79EA8"/>
    <w:multiLevelType w:val="hybridMultilevel"/>
    <w:lvl w:ilvl="0">
      <w:lvlJc w:val="left"/>
      <w:lvlText w:val="(%1)"/>
      <w:numFmt w:val="lowerLetter"/>
      <w:start w:val="2"/>
    </w:lvl>
  </w:abstractNum>
  <w:abstractNum w:abstractNumId="28">
    <w:nsid w:val="540A471C"/>
    <w:multiLevelType w:val="hybridMultilevel"/>
    <w:lvl w:ilvl="0">
      <w:lvlJc w:val="left"/>
      <w:lvlText w:val="(%1)"/>
      <w:numFmt w:val="lowerLetter"/>
      <w:start w:val="3"/>
    </w:lvl>
  </w:abstractNum>
  <w:abstractNum w:abstractNumId="29">
    <w:nsid w:val="7BD3EE7B"/>
    <w:multiLevelType w:val="hybridMultilevel"/>
    <w:lvl w:ilvl="0">
      <w:lvlJc w:val="left"/>
      <w:lvlText w:val="(%1)"/>
      <w:numFmt w:val="lowerLetter"/>
      <w:start w:val="6"/>
    </w:lvl>
  </w:abstractNum>
  <w:abstractNum w:abstractNumId="30">
    <w:nsid w:val="51D9C564"/>
    <w:multiLevelType w:val="hybridMultilevel"/>
    <w:lvl w:ilvl="0">
      <w:lvlJc w:val="left"/>
      <w:lvlText w:val="%1"/>
      <w:numFmt w:val="decimal"/>
      <w:start w:val="1"/>
    </w:lvl>
    <w:lvl w:ilvl="1">
      <w:lvlJc w:val="left"/>
      <w:lvlText w:val="(%2)"/>
      <w:numFmt w:val="lowerLetter"/>
      <w:start w:val="7"/>
    </w:lvl>
  </w:abstractNum>
  <w:abstractNum w:abstractNumId="31">
    <w:nsid w:val="613EFDC5"/>
    <w:multiLevelType w:val="hybridMultilevel"/>
    <w:lvl w:ilvl="0">
      <w:lvlJc w:val="left"/>
      <w:lvlText w:val="%1."/>
      <w:numFmt w:val="decimal"/>
      <w:start w:val="6"/>
    </w:lvl>
    <w:lvl w:ilvl="1">
      <w:lvlJc w:val="left"/>
      <w:lvlText w:val="(%2)"/>
      <w:numFmt w:val="lowerLetter"/>
      <w:start w:val="1"/>
    </w:lvl>
  </w:abstractNum>
  <w:abstractNum w:abstractNumId="32">
    <w:nsid w:val="BF72B14"/>
    <w:multiLevelType w:val="hybridMultilevel"/>
    <w:lvl w:ilvl="0">
      <w:lvlJc w:val="left"/>
      <w:lvlText w:val="(%1)"/>
      <w:numFmt w:val="lowerLetter"/>
      <w:start w:val="6"/>
    </w:lvl>
  </w:abstractNum>
  <w:abstractNum w:abstractNumId="33">
    <w:nsid w:val="11447B73"/>
    <w:multiLevelType w:val="hybridMultilevel"/>
    <w:lvl w:ilvl="0">
      <w:lvlJc w:val="left"/>
      <w:lvlText w:val="%1"/>
      <w:numFmt w:val="lowerRoman"/>
      <w:start w:val="1"/>
    </w:lvl>
    <w:lvl w:ilvl="1">
      <w:lvlJc w:val="left"/>
      <w:lvlText w:val="(%2)"/>
      <w:numFmt w:val="lowerRoman"/>
      <w:start w:val="1"/>
    </w:lvl>
  </w:abstractNum>
  <w:abstractNum w:abstractNumId="34">
    <w:nsid w:val="42963E5A"/>
    <w:multiLevelType w:val="hybridMultilevel"/>
    <w:lvl w:ilvl="0">
      <w:lvlJc w:val="left"/>
      <w:lvlText w:val="(%1)"/>
      <w:numFmt w:val="lowerRoman"/>
      <w:start w:val="2"/>
    </w:lvl>
    <w:lvl w:ilvl="1">
      <w:lvlJc w:val="left"/>
      <w:lvlText w:val="%2"/>
      <w:numFmt w:val="lowerRoman"/>
      <w:start w:val="1"/>
    </w:lvl>
  </w:abstractNum>
  <w:abstractNum w:abstractNumId="35">
    <w:nsid w:val="A0382C5"/>
    <w:multiLevelType w:val="hybridMultilevel"/>
    <w:lvl w:ilvl="0">
      <w:lvlJc w:val="left"/>
      <w:lvlText w:val="(%1)"/>
      <w:numFmt w:val="lowerRoman"/>
      <w:start w:val="6"/>
    </w:lvl>
    <w:lvl w:ilvl="1">
      <w:lvlJc w:val="left"/>
      <w:lvlText w:val="%2"/>
      <w:numFmt w:val="lowerRoman"/>
      <w:start w:val="1"/>
    </w:lvl>
  </w:abstractNum>
  <w:abstractNum w:abstractNumId="36">
    <w:nsid w:val="8F2B15E"/>
    <w:multiLevelType w:val="hybridMultilevel"/>
    <w:lvl w:ilvl="0">
      <w:lvlJc w:val="left"/>
      <w:lvlText w:val="(%1)"/>
      <w:numFmt w:val="lowerLetter"/>
      <w:start w:val="10"/>
    </w:lvl>
  </w:abstractNum>
  <w:abstractNum w:abstractNumId="37">
    <w:nsid w:val="1A32234B"/>
    <w:multiLevelType w:val="hybridMultilevel"/>
    <w:lvl w:ilvl="0">
      <w:lvlJc w:val="left"/>
      <w:lvlText w:val="%1"/>
      <w:numFmt w:val="upperLetter"/>
      <w:start w:val="1"/>
    </w:lvl>
    <w:lvl w:ilvl="1">
      <w:lvlJc w:val="left"/>
      <w:lvlText w:val="(%2)"/>
      <w:numFmt w:val="lowerRoman"/>
      <w:start w:val="2"/>
    </w:lvl>
  </w:abstractNum>
  <w:abstractNum w:abstractNumId="38">
    <w:nsid w:val="3B0FD379"/>
    <w:multiLevelType w:val="hybridMultilevel"/>
    <w:lvl w:ilvl="0">
      <w:lvlJc w:val="left"/>
      <w:lvlText w:val="(%1)"/>
      <w:numFmt w:val="upperLetter"/>
      <w:start w:val="3"/>
    </w:lvl>
    <w:lvl w:ilvl="1">
      <w:lvlJc w:val="left"/>
      <w:lvlText w:val="%2"/>
      <w:numFmt w:val="lowerRoman"/>
      <w:start w:val="1"/>
    </w:lvl>
  </w:abstractNum>
  <w:abstractNum w:abstractNumId="39">
    <w:nsid w:val="68EB2F63"/>
    <w:multiLevelType w:val="hybridMultilevel"/>
    <w:lvl w:ilvl="0">
      <w:lvlJc w:val="left"/>
      <w:lvlText w:val="(%1)"/>
      <w:numFmt w:val="upperLetter"/>
      <w:start w:val="6"/>
    </w:lvl>
    <w:lvl w:ilvl="1">
      <w:lvlJc w:val="left"/>
      <w:lvlText w:val="%2"/>
      <w:numFmt w:val="lowerRoman"/>
      <w:start w:val="1"/>
    </w:lvl>
  </w:abstractNum>
  <w:abstractNum w:abstractNumId="40">
    <w:nsid w:val="4962813B"/>
    <w:multiLevelType w:val="hybridMultilevel"/>
    <w:lvl w:ilvl="0">
      <w:lvlJc w:val="left"/>
      <w:lvlText w:val="%1."/>
      <w:numFmt w:val="decimal"/>
      <w:start w:val="7"/>
    </w:lvl>
    <w:lvl w:ilvl="1">
      <w:lvlJc w:val="left"/>
      <w:lvlText w:val="(%2)"/>
      <w:numFmt w:val="lowerLetter"/>
      <w:start w:val="1"/>
    </w:lvl>
  </w:abstractNum>
  <w:abstractNum w:abstractNumId="41">
    <w:nsid w:val="60B6DF70"/>
    <w:multiLevelType w:val="hybridMultilevel"/>
    <w:lvl w:ilvl="0">
      <w:lvlJc w:val="left"/>
      <w:lvlText w:val="%1"/>
      <w:numFmt w:val="lowerLetter"/>
      <w:start w:val="1"/>
    </w:lvl>
    <w:lvl w:ilvl="1">
      <w:lvlJc w:val="left"/>
      <w:lvlText w:val="(%2)"/>
      <w:numFmt w:val="lowerLetter"/>
      <w:start w:val="3"/>
    </w:lvl>
  </w:abstractNum>
  <w:abstractNum w:abstractNumId="42">
    <w:nsid w:val="6A5EE64"/>
    <w:multiLevelType w:val="hybridMultilevel"/>
    <w:lvl w:ilvl="0">
      <w:lvlJc w:val="left"/>
      <w:lvlText w:val="(%1)"/>
      <w:numFmt w:val="lowerLetter"/>
      <w:start w:val="35"/>
    </w:lvl>
    <w:lvl w:ilvl="1">
      <w:lvlJc w:val="left"/>
      <w:lvlText w:val="%2"/>
      <w:numFmt w:val="lowerLetter"/>
      <w:start w:val="1"/>
    </w:lvl>
  </w:abstractNum>
  <w:abstractNum w:abstractNumId="43">
    <w:nsid w:val="14330624"/>
    <w:multiLevelType w:val="hybridMultilevel"/>
    <w:lvl w:ilvl="0">
      <w:lvlJc w:val="left"/>
      <w:lvlText w:val="(%1)"/>
      <w:numFmt w:val="lowerLetter"/>
      <w:start w:val="4"/>
    </w:lvl>
  </w:abstractNum>
  <w:abstractNum w:abstractNumId="44">
    <w:nsid w:val="7FFFCA11"/>
    <w:multiLevelType w:val="hybridMultilevel"/>
    <w:lvl w:ilvl="0">
      <w:lvlJc w:val="left"/>
      <w:lvlText w:val="%1"/>
      <w:numFmt w:val="lowerLetter"/>
      <w:start w:val="1"/>
    </w:lvl>
    <w:lvl w:ilvl="1">
      <w:lvlJc w:val="left"/>
      <w:lvlText w:val="(%2)"/>
      <w:numFmt w:val="lowerLetter"/>
      <w:start w:val="5"/>
    </w:lvl>
  </w:abstractNum>
  <w:abstractNum w:abstractNumId="45">
    <w:nsid w:val="1A27709E"/>
    <w:multiLevelType w:val="hybridMultilevel"/>
    <w:lvl w:ilvl="0">
      <w:lvlJc w:val="left"/>
      <w:lvlText w:val="(%1)"/>
      <w:numFmt w:val="lowerLetter"/>
      <w:start w:val="35"/>
    </w:lvl>
    <w:lvl w:ilvl="1">
      <w:lvlJc w:val="left"/>
      <w:lvlText w:val="%2"/>
      <w:numFmt w:val="lowerLetter"/>
      <w:start w:val="1"/>
    </w:lvl>
  </w:abstractNum>
  <w:abstractNum w:abstractNumId="46">
    <w:nsid w:val="71EA1109"/>
    <w:multiLevelType w:val="hybridMultilevel"/>
    <w:lvl w:ilvl="0">
      <w:lvlJc w:val="left"/>
      <w:lvlText w:val="%1."/>
      <w:numFmt w:val="decimal"/>
      <w:start w:val="9"/>
    </w:lvl>
  </w:abstractNum>
  <w:abstractNum w:abstractNumId="47">
    <w:nsid w:val="100F59DC"/>
    <w:multiLevelType w:val="hybridMultilevel"/>
    <w:lvl w:ilvl="0">
      <w:lvlJc w:val="left"/>
      <w:lvlText w:val="%1."/>
      <w:numFmt w:val="decimal"/>
      <w:start w:val="11"/>
    </w:lvl>
    <w:lvl w:ilvl="1">
      <w:lvlJc w:val="left"/>
      <w:lvlText w:val="(%2)"/>
      <w:numFmt w:val="lowerLetter"/>
      <w:start w:val="2"/>
    </w:lvl>
  </w:abstractNum>
  <w:abstractNum w:abstractNumId="48">
    <w:nsid w:val="7FB7E0AA"/>
    <w:multiLevelType w:val="hybridMultilevel"/>
    <w:lvl w:ilvl="0">
      <w:lvlJc w:val="left"/>
      <w:lvlText w:val="(%1)"/>
      <w:numFmt w:val="lowerRoman"/>
      <w:start w:val="3"/>
    </w:lvl>
  </w:abstractNum>
  <w:abstractNum w:abstractNumId="49">
    <w:nsid w:val="6EB5BD4"/>
    <w:multiLevelType w:val="hybridMultilevel"/>
    <w:lvl w:ilvl="0">
      <w:lvlJc w:val="left"/>
      <w:lvlText w:val="%1."/>
      <w:numFmt w:val="decimal"/>
      <w:start w:val="12"/>
    </w:lvl>
    <w:lvl w:ilvl="1">
      <w:lvlJc w:val="left"/>
      <w:lvlText w:val="(%2)"/>
      <w:numFmt w:val="lowerLetter"/>
      <w:start w:val="2"/>
    </w:lvl>
  </w:abstractNum>
  <w:abstractNum w:abstractNumId="50">
    <w:nsid w:val="6F6DD9AC"/>
    <w:multiLevelType w:val="hybridMultilevel"/>
    <w:lvl w:ilvl="0">
      <w:lvlJc w:val="left"/>
      <w:lvlText w:val="%1."/>
      <w:numFmt w:val="decimal"/>
      <w:start w:val="13"/>
    </w:lvl>
  </w:abstractNum>
  <w:abstractNum w:abstractNumId="51">
    <w:nsid w:val="94211F2"/>
    <w:multiLevelType w:val="hybridMultilevel"/>
    <w:lvl w:ilvl="0">
      <w:lvlJc w:val="left"/>
      <w:lvlText w:val="%1."/>
      <w:numFmt w:val="decimal"/>
      <w:start w:val="14"/>
    </w:lvl>
  </w:abstractNum>
  <w:abstractNum w:abstractNumId="52">
    <w:nsid w:val="885E1B"/>
    <w:multiLevelType w:val="hybridMultilevel"/>
    <w:lvl w:ilvl="0">
      <w:lvlJc w:val="left"/>
      <w:lvlText w:val="%1."/>
      <w:numFmt w:val="decimal"/>
      <w:start w:val="1"/>
    </w:lvl>
  </w:abstractNum>
  <w:abstractNum w:abstractNumId="53">
    <w:nsid w:val="76272110"/>
    <w:multiLevelType w:val="hybridMultilevel"/>
    <w:lvl w:ilvl="0">
      <w:lvlJc w:val="left"/>
      <w:lvlText w:val=" "/>
      <w:numFmt w:val="bullet"/>
      <w:start w:val="1"/>
    </w:lvl>
  </w:abstractNum>
  <w:abstractNum w:abstractNumId="54">
    <w:nsid w:val="4C04A8AF"/>
    <w:multiLevelType w:val="hybridMultilevel"/>
    <w:lvl w:ilvl="0">
      <w:lvlJc w:val="left"/>
      <w:lvlText w:val=" "/>
      <w:numFmt w:val="bullet"/>
      <w:start w:val="1"/>
    </w:lvl>
  </w:abstractNum>
  <w:abstractNum w:abstractNumId="55">
    <w:nsid w:val="1716703B"/>
    <w:multiLevelType w:val="hybridMultilevel"/>
    <w:lvl w:ilvl="0">
      <w:lvlJc w:val="left"/>
      <w:lvlText w:val="(%1)"/>
      <w:numFmt w:val="lowerLetter"/>
      <w:start w:val="1"/>
    </w:lvl>
  </w:abstractNum>
  <w:abstractNum w:abstractNumId="56">
    <w:nsid w:val="14E17E33"/>
    <w:multiLevelType w:val="hybridMultilevel"/>
    <w:lvl w:ilvl="0">
      <w:lvlJc w:val="left"/>
      <w:lvlText w:val="(%1)"/>
      <w:numFmt w:val="lowerLetter"/>
      <w:start w:val="3"/>
    </w:lvl>
  </w:abstractNum>
  <w:abstractNum w:abstractNumId="57">
    <w:nsid w:val="3222E7CD"/>
    <w:multiLevelType w:val="hybridMultilevel"/>
    <w:lvl w:ilvl="0">
      <w:lvlJc w:val="left"/>
      <w:lvlText w:val="(%1)"/>
      <w:numFmt w:val="decimal"/>
      <w:start w:val="2"/>
    </w:lvl>
    <w:lvl w:ilvl="1">
      <w:lvlJc w:val="left"/>
      <w:lvlText w:val="(%2)"/>
      <w:numFmt w:val="lowerLetter"/>
      <w:start w:val="7"/>
    </w:lvl>
  </w:abstractNum>
  <w:abstractNum w:abstractNumId="58">
    <w:nsid w:val="74DE0EE3"/>
    <w:multiLevelType w:val="hybridMultilevel"/>
    <w:lvl w:ilvl="0">
      <w:lvlJc w:val="left"/>
      <w:lvlText w:val="(%1)"/>
      <w:numFmt w:val="lowerLetter"/>
      <w:start w:val="9"/>
    </w:lvl>
  </w:abstractNum>
  <w:abstractNum w:abstractNumId="59">
    <w:nsid w:val="68EBC550"/>
    <w:multiLevelType w:val="hybridMultilevel"/>
    <w:lvl w:ilvl="0">
      <w:lvlJc w:val="left"/>
      <w:lvlText w:val="(%1)"/>
      <w:numFmt w:val="lowerRoman"/>
      <w:start w:val="2"/>
    </w:lvl>
  </w:abstractNum>
  <w:abstractNum w:abstractNumId="60">
    <w:nsid w:val="2DF6D648"/>
    <w:multiLevelType w:val="hybridMultilevel"/>
    <w:lvl w:ilvl="0">
      <w:lvlJc w:val="left"/>
      <w:lvlText w:val="(%1)"/>
      <w:numFmt w:val="lowerLetter"/>
      <w:start w:val="1"/>
    </w:lvl>
  </w:abstractNum>
  <w:abstractNum w:abstractNumId="61">
    <w:nsid w:val="46B7D447"/>
    <w:multiLevelType w:val="hybridMultilevel"/>
    <w:lvl w:ilvl="0">
      <w:lvlJc w:val="left"/>
      <w:lvlText w:val="(%1)"/>
      <w:numFmt w:val="lowerLetter"/>
      <w:start w:val="8"/>
    </w:lvl>
  </w:abstractNum>
  <w:abstractNum w:abstractNumId="62">
    <w:nsid w:val="4A2AC315"/>
    <w:multiLevelType w:val="hybridMultilevel"/>
    <w:lvl w:ilvl="0">
      <w:lvlJc w:val="left"/>
      <w:lvlText w:val="%1."/>
      <w:numFmt w:val="decimal"/>
      <w:start w:val="2"/>
    </w:lvl>
  </w:abstractNum>
  <w:abstractNum w:abstractNumId="63">
    <w:nsid w:val="39EE015C"/>
    <w:multiLevelType w:val="hybridMultilevel"/>
    <w:lvl w:ilvl="0">
      <w:lvlJc w:val="left"/>
      <w:lvlText w:val="(%1)"/>
      <w:numFmt w:val="lowerLetter"/>
      <w:start w:val="1"/>
    </w:lvl>
  </w:abstractNum>
  <w:abstractNum w:abstractNumId="64">
    <w:nsid w:val="57FC4FBB"/>
    <w:multiLevelType w:val="hybridMultilevel"/>
    <w:lvl w:ilvl="0">
      <w:lvlJc w:val="left"/>
      <w:lvlText w:val="(%1)"/>
      <w:numFmt w:val="lowerLetter"/>
      <w:start w:val="3"/>
    </w:lvl>
  </w:abstractNum>
  <w:abstractNum w:abstractNumId="65">
    <w:nsid w:val="CC1016F"/>
    <w:multiLevelType w:val="hybridMultilevel"/>
    <w:lvl w:ilvl="0">
      <w:lvlJc w:val="left"/>
      <w:lvlText w:val="%1."/>
      <w:numFmt w:val="decimal"/>
      <w:start w:val="5"/>
    </w:lvl>
  </w:abstractNum>
  <w:abstractNum w:abstractNumId="66">
    <w:nsid w:val="43F18422"/>
    <w:multiLevelType w:val="hybridMultilevel"/>
    <w:lvl w:ilvl="0">
      <w:lvlJc w:val="left"/>
      <w:lvlText w:val="(%1)"/>
      <w:numFmt w:val="lowerLetter"/>
      <w:start w:val="1"/>
    </w:lvl>
  </w:abstractNum>
  <w:abstractNum w:abstractNumId="67">
    <w:nsid w:val="60EF0119"/>
    <w:multiLevelType w:val="hybridMultilevel"/>
    <w:lvl w:ilvl="0">
      <w:lvlJc w:val="left"/>
      <w:lvlText w:val="%1."/>
      <w:numFmt w:val="decimal"/>
      <w:start w:val="6"/>
    </w:lvl>
  </w:abstractNum>
  <w:abstractNum w:abstractNumId="68">
    <w:nsid w:val="26F324BA"/>
    <w:multiLevelType w:val="hybridMultilevel"/>
    <w:lvl w:ilvl="0">
      <w:lvlJc w:val="left"/>
      <w:lvlText w:val="%1."/>
      <w:numFmt w:val="decimal"/>
      <w:start w:val="7"/>
    </w:lvl>
  </w:abstractNum>
  <w:abstractNum w:abstractNumId="69">
    <w:nsid w:val="7F01579B"/>
    <w:multiLevelType w:val="hybridMultilevel"/>
    <w:lvl w:ilvl="0">
      <w:lvlJc w:val="left"/>
      <w:lvlText w:val="(%1)"/>
      <w:numFmt w:val="lowerLetter"/>
      <w:start w:val="1"/>
    </w:lvl>
  </w:abstractNum>
  <w:abstractNum w:abstractNumId="70">
    <w:nsid w:val="49DA307D"/>
    <w:multiLevelType w:val="hybridMultilevel"/>
    <w:lvl w:ilvl="0">
      <w:lvlJc w:val="left"/>
      <w:lvlText w:val="(%1)"/>
      <w:numFmt w:val="lowerLetter"/>
      <w:start w:val="61"/>
    </w:lvl>
  </w:abstractNum>
  <w:abstractNum w:abstractNumId="71">
    <w:nsid w:val="7055A5F5"/>
    <w:multiLevelType w:val="hybridMultilevel"/>
    <w:lvl w:ilvl="0">
      <w:lvlJc w:val="left"/>
      <w:lvlText w:val="(%1)"/>
      <w:numFmt w:val="lowerLetter"/>
      <w:start w:val="2"/>
    </w:lvl>
  </w:abstractNum>
  <w:abstractNum w:abstractNumId="72">
    <w:nsid w:val="5FB8370B"/>
    <w:multiLevelType w:val="hybridMultilevel"/>
    <w:lvl w:ilvl="0">
      <w:lvlJc w:val="left"/>
      <w:lvlText w:val="(%1)"/>
      <w:numFmt w:val="lowerLetter"/>
      <w:start w:val="3"/>
    </w:lvl>
  </w:abstractNum>
  <w:abstractNum w:abstractNumId="73">
    <w:nsid w:val="50801EE1"/>
    <w:multiLevelType w:val="hybridMultilevel"/>
    <w:lvl w:ilvl="0">
      <w:lvlJc w:val="left"/>
      <w:lvlText w:val="(%1)"/>
      <w:numFmt w:val="lowerRoman"/>
      <w:start w:val="2"/>
    </w:lvl>
  </w:abstractNum>
  <w:abstractNum w:abstractNumId="74">
    <w:nsid w:val="488AC1A"/>
    <w:multiLevelType w:val="hybridMultilevel"/>
    <w:lvl w:ilvl="0">
      <w:lvlJc w:val="left"/>
      <w:lvlText w:val="(%1)"/>
      <w:numFmt w:val="lowerLetter"/>
      <w:start w:val="4"/>
    </w:lvl>
  </w:abstractNum>
  <w:abstractNum w:abstractNumId="75">
    <w:nsid w:val="5FB8011C"/>
    <w:multiLevelType w:val="hybridMultilevel"/>
    <w:lvl w:ilvl="0">
      <w:lvlJc w:val="left"/>
      <w:lvlText w:val="(%1)"/>
      <w:numFmt w:val="lowerLetter"/>
      <w:start w:val="8"/>
    </w:lvl>
  </w:abstractNum>
  <w:abstractNum w:abstractNumId="76">
    <w:nsid w:val="6AA78F7F"/>
    <w:multiLevelType w:val="hybridMultilevel"/>
    <w:lvl w:ilvl="0">
      <w:lvlJc w:val="left"/>
      <w:lvlText w:val="%1."/>
      <w:numFmt w:val="decimal"/>
      <w:start w:val="10"/>
    </w:lvl>
  </w:abstractNum>
  <w:abstractNum w:abstractNumId="77">
    <w:nsid w:val="7672BD23"/>
    <w:multiLevelType w:val="hybridMultilevel"/>
    <w:lvl w:ilvl="0">
      <w:lvlJc w:val="left"/>
      <w:lvlText w:val="%1."/>
      <w:numFmt w:val="decimal"/>
      <w:start w:val="11"/>
    </w:lvl>
  </w:abstractNum>
  <w:abstractNum w:abstractNumId="78">
    <w:nsid w:val="6FC75AF8"/>
    <w:multiLevelType w:val="hybridMultilevel"/>
    <w:lvl w:ilvl="0">
      <w:lvlJc w:val="left"/>
      <w:lvlText w:val="(%1)"/>
      <w:numFmt w:val="lowerLetter"/>
      <w:start w:val="1"/>
    </w:lvl>
  </w:abstractNum>
  <w:abstractNum w:abstractNumId="79">
    <w:nsid w:val="6A5F7029"/>
    <w:multiLevelType w:val="hybridMultilevel"/>
    <w:lvl w:ilvl="0">
      <w:lvlJc w:val="left"/>
      <w:lvlText w:val="(%1)"/>
      <w:numFmt w:val="lowerLetter"/>
      <w:start w:val="25"/>
    </w:lvl>
  </w:abstractNum>
  <w:abstractNum w:abstractNumId="80">
    <w:nsid w:val="7D5E18F8"/>
    <w:multiLevelType w:val="hybridMultilevel"/>
    <w:lvl w:ilvl="0">
      <w:lvlJc w:val="left"/>
      <w:lvlText w:val="(%1)"/>
      <w:numFmt w:val="lowerLetter"/>
      <w:start w:val="2"/>
    </w:lvl>
  </w:abstractNum>
  <w:abstractNum w:abstractNumId="81">
    <w:nsid w:val="5F3534A4"/>
    <w:multiLevelType w:val="hybridMultilevel"/>
    <w:lvl w:ilvl="0">
      <w:lvlJc w:val="left"/>
      <w:lvlText w:val="%1."/>
      <w:numFmt w:val="decimal"/>
      <w:start w:val="12"/>
    </w:lvl>
  </w:abstractNum>
  <w:abstractNum w:abstractNumId="82">
    <w:nsid w:val="73A1821B"/>
    <w:multiLevelType w:val="hybridMultilevel"/>
    <w:lvl w:ilvl="0">
      <w:lvlJc w:val="left"/>
      <w:lvlText w:val="%1."/>
      <w:numFmt w:val="decimal"/>
      <w:start w:val="14"/>
    </w:lvl>
  </w:abstractNum>
  <w:abstractNum w:abstractNumId="83">
    <w:nsid w:val="7DE67713"/>
    <w:multiLevelType w:val="hybridMultilevel"/>
    <w:lvl w:ilvl="0">
      <w:lvlJc w:val="left"/>
      <w:lvlText w:val="%1."/>
      <w:numFmt w:val="decimal"/>
      <w:start w:val="15"/>
    </w:lvl>
  </w:abstractNum>
  <w:abstractNum w:abstractNumId="84">
    <w:nsid w:val="555C55B5"/>
    <w:multiLevelType w:val="hybridMultilevel"/>
    <w:lvl w:ilvl="0">
      <w:lvlJc w:val="left"/>
      <w:lvlText w:val="(%1)"/>
      <w:numFmt w:val="lowerLetter"/>
      <w:start w:val="1"/>
    </w:lvl>
  </w:abstractNum>
  <w:abstractNum w:abstractNumId="85">
    <w:nsid w:val="3FA62ACA"/>
    <w:multiLevelType w:val="hybridMultilevel"/>
    <w:lvl w:ilvl="0">
      <w:lvlJc w:val="left"/>
      <w:lvlText w:val="(%1)"/>
      <w:numFmt w:val="lowerRoman"/>
      <w:start w:val="2"/>
    </w:lvl>
  </w:abstractNum>
  <w:abstractNum w:abstractNumId="86">
    <w:nsid w:val="14FCE74E"/>
    <w:multiLevelType w:val="hybridMultilevel"/>
    <w:lvl w:ilvl="0">
      <w:lvlJc w:val="left"/>
      <w:lvlText w:val="(%1)"/>
      <w:numFmt w:val="lowerLetter"/>
      <w:start w:val="3"/>
    </w:lvl>
  </w:abstractNum>
  <w:abstractNum w:abstractNumId="87">
    <w:nsid w:val="6A3DD3E8"/>
    <w:multiLevelType w:val="hybridMultilevel"/>
    <w:lvl w:ilvl="0">
      <w:lvlJc w:val="left"/>
      <w:lvlText w:val="(%1)"/>
      <w:numFmt w:val="lowerLetter"/>
      <w:start w:val="7"/>
    </w:lvl>
  </w:abstractNum>
  <w:abstractNum w:abstractNumId="88">
    <w:nsid w:val="71C91298"/>
    <w:multiLevelType w:val="hybridMultilevel"/>
    <w:lvl w:ilvl="0">
      <w:lvlJc w:val="left"/>
      <w:lvlText w:val="(%1)"/>
      <w:numFmt w:val="decimal"/>
      <w:start w:val="1"/>
    </w:lvl>
    <w:lvl w:ilvl="1">
      <w:lvlJc w:val="left"/>
      <w:lvlText w:val="☐"/>
      <w:numFmt w:val="bullet"/>
      <w:start w:val="1"/>
    </w:lvl>
  </w:abstractNum>
  <w:abstractNum w:abstractNumId="89">
    <w:nsid w:val="9DAF632"/>
    <w:multiLevelType w:val="hybridMultilevel"/>
    <w:lvl w:ilvl="0">
      <w:lvlJc w:val="left"/>
      <w:lvlText w:val="(%1)"/>
      <w:numFmt w:val="lowerLetter"/>
      <w:start w:val="1"/>
    </w:lvl>
  </w:abstractNum>
  <w:abstractNum w:abstractNumId="90">
    <w:nsid w:val="53299938"/>
    <w:multiLevelType w:val="hybridMultilevel"/>
    <w:lvl w:ilvl="0">
      <w:lvlJc w:val="left"/>
      <w:lvlText w:val="(%1)"/>
      <w:numFmt w:val="lowerLetter"/>
      <w:start w:val="8"/>
    </w:lvl>
  </w:abstractNum>
  <w:abstractNum w:abstractNumId="91">
    <w:nsid w:val="1FBFE8E0"/>
    <w:multiLevelType w:val="hybridMultilevel"/>
    <w:lvl w:ilvl="0">
      <w:lvlJc w:val="left"/>
      <w:lvlText w:val="%1."/>
      <w:numFmt w:val="decimal"/>
      <w:start w:val="2"/>
    </w:lvl>
  </w:abstractNum>
  <w:abstractNum w:abstractNumId="92">
    <w:nsid w:val="5092CA79"/>
    <w:multiLevelType w:val="hybridMultilevel"/>
    <w:lvl w:ilvl="0">
      <w:lvlJc w:val="left"/>
      <w:lvlText w:val="(%1)"/>
      <w:numFmt w:val="lowerLetter"/>
      <w:start w:val="1"/>
    </w:lvl>
  </w:abstractNum>
  <w:abstractNum w:abstractNumId="93">
    <w:nsid w:val="1D545C4D"/>
    <w:multiLevelType w:val="hybridMultilevel"/>
    <w:lvl w:ilvl="0">
      <w:lvlJc w:val="left"/>
      <w:lvlText w:val="(%1)"/>
      <w:numFmt w:val="lowerLetter"/>
      <w:start w:val="3"/>
    </w:lvl>
  </w:abstractNum>
  <w:abstractNum w:abstractNumId="94">
    <w:nsid w:val="59ADEA3D"/>
    <w:multiLevelType w:val="hybridMultilevel"/>
    <w:lvl w:ilvl="0">
      <w:lvlJc w:val="left"/>
      <w:lvlText w:val="%1."/>
      <w:numFmt w:val="decimal"/>
      <w:start w:val="5"/>
    </w:lvl>
  </w:abstractNum>
  <w:abstractNum w:abstractNumId="95">
    <w:nsid w:val="288F1A34"/>
    <w:multiLevelType w:val="hybridMultilevel"/>
    <w:lvl w:ilvl="0">
      <w:lvlJc w:val="left"/>
      <w:lvlText w:val="(%1)"/>
      <w:numFmt w:val="lowerLetter"/>
      <w:start w:val="1"/>
    </w:lvl>
  </w:abstractNum>
  <w:abstractNum w:abstractNumId="96">
    <w:nsid w:val="2A155DBC"/>
    <w:multiLevelType w:val="hybridMultilevel"/>
    <w:lvl w:ilvl="0">
      <w:lvlJc w:val="left"/>
      <w:lvlText w:val="%1."/>
      <w:numFmt w:val="decimal"/>
      <w:start w:val="6"/>
    </w:lvl>
  </w:abstractNum>
  <w:abstractNum w:abstractNumId="97">
    <w:nsid w:val="1D9F6E5F"/>
    <w:multiLevelType w:val="hybridMultilevel"/>
    <w:lvl w:ilvl="0">
      <w:lvlJc w:val="left"/>
      <w:lvlText w:val="%1."/>
      <w:numFmt w:val="decimal"/>
      <w:start w:val="7"/>
    </w:lvl>
  </w:abstractNum>
  <w:abstractNum w:abstractNumId="98">
    <w:nsid w:val="97E1B4E"/>
    <w:multiLevelType w:val="hybridMultilevel"/>
    <w:lvl w:ilvl="0">
      <w:lvlJc w:val="left"/>
      <w:lvlText w:val="(%1)"/>
      <w:numFmt w:val="lowerLetter"/>
      <w:start w:val="1"/>
    </w:lvl>
  </w:abstractNum>
  <w:abstractNum w:abstractNumId="99">
    <w:nsid w:val="51088277"/>
    <w:multiLevelType w:val="hybridMultilevel"/>
    <w:lvl w:ilvl="0">
      <w:lvlJc w:val="left"/>
      <w:lvlText w:val="(%1)"/>
      <w:numFmt w:val="lowerLetter"/>
      <w:start w:val="61"/>
    </w:lvl>
  </w:abstractNum>
  <w:abstractNum w:abstractNumId="100">
    <w:nsid w:val="1CA0C5FA"/>
    <w:multiLevelType w:val="hybridMultilevel"/>
    <w:lvl w:ilvl="0">
      <w:lvlJc w:val="left"/>
      <w:lvlText w:val="(%1)"/>
      <w:numFmt w:val="lowerLetter"/>
      <w:start w:val="2"/>
    </w:lvl>
  </w:abstractNum>
  <w:abstractNum w:abstractNumId="101">
    <w:nsid w:val="53584BCB"/>
    <w:multiLevelType w:val="hybridMultilevel"/>
    <w:lvl w:ilvl="0">
      <w:lvlJc w:val="left"/>
      <w:lvlText w:val="(%1)"/>
      <w:numFmt w:val="lowerLetter"/>
      <w:start w:val="3"/>
    </w:lvl>
  </w:abstractNum>
  <w:abstractNum w:abstractNumId="102">
    <w:nsid w:val="415E286C"/>
    <w:multiLevelType w:val="hybridMultilevel"/>
    <w:lvl w:ilvl="0">
      <w:lvlJc w:val="left"/>
      <w:lvlText w:val="(%1)"/>
      <w:numFmt w:val="lowerRoman"/>
      <w:start w:val="2"/>
    </w:lvl>
  </w:abstractNum>
  <w:abstractNum w:abstractNumId="103">
    <w:nsid w:val="7C58FD05"/>
    <w:multiLevelType w:val="hybridMultilevel"/>
    <w:lvl w:ilvl="0">
      <w:lvlJc w:val="left"/>
      <w:lvlText w:val="(%1)"/>
      <w:numFmt w:val="lowerLetter"/>
      <w:start w:val="4"/>
    </w:lvl>
  </w:abstractNum>
  <w:abstractNum w:abstractNumId="104">
    <w:nsid w:val="23D86AAC"/>
    <w:multiLevelType w:val="hybridMultilevel"/>
    <w:lvl w:ilvl="0">
      <w:lvlJc w:val="left"/>
      <w:lvlText w:val="(%1)"/>
      <w:numFmt w:val="lowerLetter"/>
      <w:start w:val="8"/>
    </w:lvl>
  </w:abstractNum>
  <w:abstractNum w:abstractNumId="105">
    <w:nsid w:val="45E6D486"/>
    <w:multiLevelType w:val="hybridMultilevel"/>
    <w:lvl w:ilvl="0">
      <w:lvlJc w:val="left"/>
      <w:lvlText w:val="%1."/>
      <w:numFmt w:val="decimal"/>
      <w:start w:val="10"/>
    </w:lvl>
  </w:abstractNum>
  <w:abstractNum w:abstractNumId="106">
    <w:nsid w:val="5C10FE21"/>
    <w:multiLevelType w:val="hybridMultilevel"/>
    <w:lvl w:ilvl="0">
      <w:lvlJc w:val="left"/>
      <w:lvlText w:val="%1."/>
      <w:numFmt w:val="decimal"/>
      <w:start w:val="11"/>
    </w:lvl>
  </w:abstractNum>
  <w:abstractNum w:abstractNumId="107">
    <w:nsid w:val="E7FFA2B"/>
    <w:multiLevelType w:val="hybridMultilevel"/>
    <w:lvl w:ilvl="0">
      <w:lvlJc w:val="left"/>
      <w:lvlText w:val="(%1)"/>
      <w:numFmt w:val="lowerLetter"/>
      <w:start w:val="1"/>
    </w:lvl>
  </w:abstractNum>
  <w:abstractNum w:abstractNumId="108">
    <w:nsid w:val="3C5991AA"/>
    <w:multiLevelType w:val="hybridMultilevel"/>
    <w:lvl w:ilvl="0">
      <w:lvlJc w:val="left"/>
      <w:lvlText w:val="(%1)"/>
      <w:numFmt w:val="lowerLetter"/>
      <w:start w:val="25"/>
    </w:lvl>
  </w:abstractNum>
  <w:abstractNum w:abstractNumId="109">
    <w:nsid w:val="4BD8591A"/>
    <w:multiLevelType w:val="hybridMultilevel"/>
    <w:lvl w:ilvl="0">
      <w:lvlJc w:val="left"/>
      <w:lvlText w:val="(%1)"/>
      <w:numFmt w:val="lowerLetter"/>
      <w:start w:val="2"/>
    </w:lvl>
  </w:abstractNum>
  <w:abstractNum w:abstractNumId="110">
    <w:nsid w:val="78DF6A55"/>
    <w:multiLevelType w:val="hybridMultilevel"/>
    <w:lvl w:ilvl="0">
      <w:lvlJc w:val="left"/>
      <w:lvlText w:val="%1."/>
      <w:numFmt w:val="decimal"/>
      <w:start w:val="12"/>
    </w:lvl>
  </w:abstractNum>
  <w:abstractNum w:abstractNumId="111">
    <w:nsid w:val="39B7AAA2"/>
    <w:multiLevelType w:val="hybridMultilevel"/>
    <w:lvl w:ilvl="0">
      <w:lvlJc w:val="left"/>
      <w:lvlText w:val="%1."/>
      <w:numFmt w:val="decimal"/>
      <w:start w:val="14"/>
    </w:lvl>
  </w:abstractNum>
  <w:abstractNum w:abstractNumId="112">
    <w:nsid w:val="2B0D8DBE"/>
    <w:multiLevelType w:val="hybridMultilevel"/>
    <w:lvl w:ilvl="0">
      <w:lvlJc w:val="left"/>
      <w:lvlText w:val="%1."/>
      <w:numFmt w:val="decimal"/>
      <w:start w:val="15"/>
    </w:lvl>
  </w:abstractNum>
  <w:abstractNum w:abstractNumId="113">
    <w:nsid w:val="6C80EC70"/>
    <w:multiLevelType w:val="hybridMultilevel"/>
    <w:lvl w:ilvl="0">
      <w:lvlJc w:val="left"/>
      <w:lvlText w:val="(%1)"/>
      <w:numFmt w:val="lowerLetter"/>
      <w:start w:val="1"/>
    </w:lvl>
  </w:abstractNum>
  <w:abstractNum w:abstractNumId="114">
    <w:nsid w:val="379E21B5"/>
    <w:multiLevelType w:val="hybridMultilevel"/>
    <w:lvl w:ilvl="0">
      <w:lvlJc w:val="left"/>
      <w:lvlText w:val="(%1)"/>
      <w:numFmt w:val="lowerRoman"/>
      <w:start w:val="2"/>
    </w:lvl>
  </w:abstractNum>
  <w:abstractNum w:abstractNumId="115">
    <w:nsid w:val="69E373"/>
    <w:multiLevelType w:val="hybridMultilevel"/>
    <w:lvl w:ilvl="0">
      <w:lvlJc w:val="left"/>
      <w:lvlText w:val="(%1)"/>
      <w:numFmt w:val="lowerLetter"/>
      <w:start w:val="3"/>
    </w:lvl>
  </w:abstractNum>
  <w:abstractNum w:abstractNumId="116">
    <w:nsid w:val="2C27173B"/>
    <w:multiLevelType w:val="hybridMultilevel"/>
    <w:lvl w:ilvl="0">
      <w:lvlJc w:val="left"/>
      <w:lvlText w:val="(%1)"/>
      <w:numFmt w:val="lowerLetter"/>
      <w:start w:val="7"/>
    </w:lvl>
  </w:abstractNum>
  <w:abstractNum w:abstractNumId="117">
    <w:nsid w:val="4C9B0904"/>
    <w:multiLevelType w:val="hybridMultilevel"/>
    <w:lvl w:ilvl="0">
      <w:lvlJc w:val="left"/>
      <w:lvlText w:val="(%1)"/>
      <w:numFmt w:val="decimal"/>
      <w:start w:val="1"/>
    </w:lvl>
    <w:lvl w:ilvl="1">
      <w:lvlJc w:val="left"/>
      <w:lvlText w:val="☐"/>
      <w:numFmt w:val="bullet"/>
      <w:start w:val="1"/>
    </w:lvl>
  </w:abstractNum>
  <w:abstractNum w:abstractNumId="118">
    <w:nsid w:val="6AA7B75C"/>
    <w:multiLevelType w:val="hybridMultilevel"/>
    <w:lvl w:ilvl="0">
      <w:lvlJc w:val="left"/>
      <w:lvlText w:val="(%1)"/>
      <w:numFmt w:val="lowerRoman"/>
      <w:start w:val="3"/>
    </w:lvl>
  </w:abstractNum>
  <w:abstractNum w:abstractNumId="119">
    <w:nsid w:val="1DF029D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2025-12-12T15:37:34Z</dcterms:created>
  <dcterms:modified xsi:type="dcterms:W3CDTF">2025-12-12T15:37:34Z</dcterms:modified>
</cp:coreProperties>
</file>