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1"/>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91"/>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(Amendment No.)*</w:t>
      </w:r>
    </w:p>
    <w:p>
      <w:pPr>
        <w:spacing w:after="0" w:line="200" w:lineRule="exact"/>
        <w:rPr>
          <w:sz w:val="24"/>
          <w:szCs w:val="24"/>
          <w:color w:val="auto"/>
        </w:rPr>
      </w:pPr>
    </w:p>
    <w:p>
      <w:pPr>
        <w:spacing w:after="0" w:line="227"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40"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40"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87990A106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40"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Eli Casdin</w:t>
      </w:r>
    </w:p>
    <w:p>
      <w:pPr>
        <w:spacing w:after="0" w:line="23"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Casdin Capital, LLC</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1350 Avenue of the Americas, Suite 2600</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New York, New York</w:t>
      </w:r>
    </w:p>
    <w:p>
      <w:pPr>
        <w:spacing w:after="0" w:line="9"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Telephone Number (212) 897-5438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91"/>
        <w:spacing w:after="0"/>
        <w:rPr>
          <w:sz w:val="20"/>
          <w:szCs w:val="20"/>
          <w:color w:val="auto"/>
        </w:rPr>
      </w:pPr>
      <w:r>
        <w:rPr>
          <w:rFonts w:ascii="Arial" w:cs="Arial" w:eastAsia="Arial" w:hAnsi="Arial"/>
          <w:sz w:val="18"/>
          <w:szCs w:val="18"/>
          <w:color w:val="auto"/>
        </w:rPr>
        <w:t>(Name, Address and Telephone Number of Person Authorized to Receive</w:t>
      </w:r>
    </w:p>
    <w:p>
      <w:pPr>
        <w:spacing w:after="0" w:line="23"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Notices and Communications)</w:t>
      </w:r>
    </w:p>
    <w:p>
      <w:pPr>
        <w:spacing w:after="0" w:line="200" w:lineRule="exact"/>
        <w:rPr>
          <w:sz w:val="24"/>
          <w:szCs w:val="24"/>
          <w:color w:val="auto"/>
        </w:rPr>
      </w:pPr>
    </w:p>
    <w:p>
      <w:pPr>
        <w:spacing w:after="0" w:line="227"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July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291"/>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ind w:left="92" w:right="2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ss.240.13d-1(e), 240.13d-1(f) or 240.13d-1(g), check the following box [ ].</w:t>
      </w:r>
    </w:p>
    <w:p>
      <w:pPr>
        <w:spacing w:after="0" w:line="184" w:lineRule="exact"/>
        <w:rPr>
          <w:sz w:val="24"/>
          <w:szCs w:val="24"/>
          <w:color w:val="auto"/>
        </w:rPr>
      </w:pPr>
    </w:p>
    <w:p>
      <w:pPr>
        <w:ind w:left="492" w:hanging="492"/>
        <w:spacing w:after="0" w:line="277" w:lineRule="auto"/>
        <w:tabs>
          <w:tab w:leader="none" w:pos="141"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0932"/>
          </w:cols>
          <w:pgMar w:left="328" w:top="445" w:right="639" w:bottom="1440" w:gutter="0" w:footer="0" w:header="0"/>
        </w:sectPr>
      </w:pPr>
    </w:p>
    <w:bookmarkStart w:id="1" w:name="page2"/>
    <w:bookmarkEnd w:id="1"/>
    <w:p>
      <w:pPr>
        <w:ind w:left="1700"/>
        <w:spacing w:after="0"/>
        <w:rPr>
          <w:sz w:val="20"/>
          <w:szCs w:val="20"/>
          <w:color w:val="auto"/>
        </w:rPr>
      </w:pPr>
      <w:r>
        <w:rPr>
          <w:rFonts w:ascii="Arial" w:cs="Arial" w:eastAsia="Arial" w:hAnsi="Arial"/>
          <w:sz w:val="18"/>
          <w:szCs w:val="18"/>
          <w:color w:val="auto"/>
        </w:rPr>
        <w:t>87990A106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4" w:lineRule="exact"/>
        <w:rPr>
          <w:sz w:val="20"/>
          <w:szCs w:val="20"/>
          <w:color w:val="auto"/>
        </w:rPr>
      </w:pPr>
    </w:p>
    <w:p>
      <w:pPr>
        <w:ind w:left="900" w:hanging="89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5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Casdin Capital, LLC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2.</w:t>
            </w:r>
          </w:p>
        </w:tc>
        <w:tc>
          <w:tcPr>
            <w:tcW w:w="7480" w:type="dxa"/>
            <w:vAlign w:val="bottom"/>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Pr>
          <w:p>
            <w:pPr>
              <w:ind w:left="2140"/>
              <w:spacing w:after="0"/>
              <w:rPr>
                <w:sz w:val="20"/>
                <w:szCs w:val="20"/>
                <w:color w:val="auto"/>
              </w:rPr>
            </w:pPr>
            <w:r>
              <w:rPr>
                <w:rFonts w:ascii="Arial" w:cs="Arial" w:eastAsia="Arial" w:hAnsi="Arial"/>
                <w:sz w:val="18"/>
                <w:szCs w:val="18"/>
                <w:color w:val="auto"/>
              </w:rPr>
              <w:t>(a)</w:t>
            </w:r>
          </w:p>
        </w:tc>
        <w:tc>
          <w:tcPr>
            <w:tcW w:w="38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520" w:type="dxa"/>
            <w:vAlign w:val="bottom"/>
          </w:tcPr>
          <w:p>
            <w:pPr>
              <w:ind w:left="2140"/>
              <w:spacing w:after="0"/>
              <w:rPr>
                <w:sz w:val="20"/>
                <w:szCs w:val="20"/>
                <w:color w:val="auto"/>
              </w:rPr>
            </w:pPr>
            <w:r>
              <w:rPr>
                <w:rFonts w:ascii="Arial" w:cs="Arial" w:eastAsia="Arial" w:hAnsi="Arial"/>
                <w:sz w:val="18"/>
                <w:szCs w:val="18"/>
                <w:color w:val="auto"/>
              </w:rPr>
              <w:t>(b)</w:t>
            </w:r>
          </w:p>
        </w:tc>
        <w:tc>
          <w:tcPr>
            <w:tcW w:w="380" w:type="dxa"/>
            <w:vAlign w:val="bottom"/>
          </w:tcPr>
          <w:p>
            <w:pPr>
              <w:jc w:val="right"/>
              <w:spacing w:after="0"/>
              <w:rPr>
                <w:sz w:val="20"/>
                <w:szCs w:val="20"/>
                <w:color w:val="auto"/>
              </w:rPr>
            </w:pPr>
            <w:r>
              <w:rPr>
                <w:rFonts w:ascii="Arial" w:cs="Arial" w:eastAsia="Arial" w:hAnsi="Arial"/>
                <w:sz w:val="18"/>
                <w:szCs w:val="18"/>
                <w:color w:val="auto"/>
              </w:rPr>
              <w:t>[_]</w:t>
            </w:r>
          </w:p>
        </w:tc>
      </w:tr>
    </w:tbl>
    <w:p>
      <w:pPr>
        <w:spacing w:after="0" w:line="202" w:lineRule="exact"/>
        <w:rPr>
          <w:sz w:val="20"/>
          <w:szCs w:val="20"/>
          <w:color w:val="auto"/>
        </w:rPr>
      </w:pPr>
    </w:p>
    <w:p>
      <w:pPr>
        <w:ind w:left="900" w:hanging="89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right="8520" w:hanging="895"/>
        <w:spacing w:after="0" w:line="50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AF</w:t>
      </w:r>
    </w:p>
    <w:p>
      <w:pPr>
        <w:spacing w:after="0" w:line="2" w:lineRule="exact"/>
        <w:rPr>
          <w:sz w:val="20"/>
          <w:szCs w:val="20"/>
          <w:color w:val="auto"/>
        </w:rPr>
      </w:pPr>
    </w:p>
    <w:p>
      <w:pPr>
        <w:spacing w:after="0"/>
        <w:tabs>
          <w:tab w:leader="none" w:pos="880" w:val="left"/>
          <w:tab w:leader="none" w:pos="108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BOX IF DISCLOSURE OF LEGAL PROCEEDINGS IS REQUIRED PURSUANT TO ITEMS 2(d) OR 2(e)</w:t>
      </w:r>
      <w:r>
        <w:rPr>
          <w:sz w:val="20"/>
          <w:szCs w:val="20"/>
          <w:color w:val="auto"/>
        </w:rPr>
        <w:tab/>
      </w:r>
      <w:r>
        <w:rPr>
          <w:rFonts w:ascii="Arial" w:cs="Arial" w:eastAsia="Arial" w:hAnsi="Arial"/>
          <w:sz w:val="17"/>
          <w:szCs w:val="17"/>
          <w:color w:val="auto"/>
        </w:rPr>
        <w:t>[_]</w:t>
      </w:r>
    </w:p>
    <w:p>
      <w:pPr>
        <w:spacing w:after="0" w:line="225" w:lineRule="exact"/>
        <w:rPr>
          <w:sz w:val="20"/>
          <w:szCs w:val="20"/>
          <w:color w:val="auto"/>
        </w:rPr>
      </w:pPr>
    </w:p>
    <w:p>
      <w:pPr>
        <w:ind w:left="900" w:right="6460" w:hanging="895"/>
        <w:spacing w:after="0" w:line="52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7" w:lineRule="exact"/>
        <w:rPr>
          <w:sz w:val="20"/>
          <w:szCs w:val="20"/>
          <w:color w:val="auto"/>
        </w:rPr>
      </w:pPr>
    </w:p>
    <w:p>
      <w:pPr>
        <w:ind w:left="900" w:right="828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800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3,586,818</w:t>
      </w:r>
    </w:p>
    <w:p>
      <w:pPr>
        <w:spacing w:after="0" w:line="1" w:lineRule="exact"/>
        <w:rPr>
          <w:rFonts w:ascii="Arial" w:cs="Arial" w:eastAsia="Arial" w:hAnsi="Arial"/>
          <w:sz w:val="18"/>
          <w:szCs w:val="18"/>
          <w:color w:val="auto"/>
        </w:rPr>
      </w:pPr>
    </w:p>
    <w:p>
      <w:pPr>
        <w:ind w:left="900" w:right="788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60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3,586,818</w:t>
      </w:r>
    </w:p>
    <w:p>
      <w:pPr>
        <w:spacing w:after="0" w:line="1" w:lineRule="exact"/>
        <w:rPr>
          <w:rFonts w:ascii="Arial" w:cs="Arial" w:eastAsia="Arial" w:hAnsi="Arial"/>
          <w:sz w:val="18"/>
          <w:szCs w:val="18"/>
          <w:color w:val="auto"/>
        </w:rPr>
      </w:pPr>
    </w:p>
    <w:p>
      <w:pPr>
        <w:ind w:left="900" w:right="3580" w:hanging="895"/>
        <w:spacing w:after="0" w:line="50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3,586,818</w:t>
      </w:r>
    </w:p>
    <w:p>
      <w:pPr>
        <w:spacing w:after="0" w:line="2" w:lineRule="exact"/>
        <w:rPr>
          <w:sz w:val="20"/>
          <w:szCs w:val="20"/>
          <w:color w:val="auto"/>
        </w:rPr>
      </w:pPr>
    </w:p>
    <w:p>
      <w:pPr>
        <w:spacing w:after="0"/>
        <w:tabs>
          <w:tab w:leader="none" w:pos="880" w:val="left"/>
          <w:tab w:leader="none" w:pos="10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BOX IF THE AGGREGATE AMOUNT IN ROW (11) EXCLUDES CERTAIN SHARES</w:t>
      </w:r>
      <w:r>
        <w:rPr>
          <w:sz w:val="20"/>
          <w:szCs w:val="20"/>
          <w:color w:val="auto"/>
        </w:rPr>
        <w:tab/>
      </w:r>
      <w:r>
        <w:rPr>
          <w:rFonts w:ascii="Arial" w:cs="Arial" w:eastAsia="Arial" w:hAnsi="Arial"/>
          <w:sz w:val="18"/>
          <w:szCs w:val="18"/>
          <w:color w:val="auto"/>
        </w:rPr>
        <w:t>[_]</w:t>
      </w:r>
    </w:p>
    <w:p>
      <w:pPr>
        <w:spacing w:after="0" w:line="225" w:lineRule="exact"/>
        <w:rPr>
          <w:sz w:val="20"/>
          <w:szCs w:val="20"/>
          <w:color w:val="auto"/>
        </w:rPr>
      </w:pPr>
    </w:p>
    <w:p>
      <w:pPr>
        <w:ind w:left="900" w:right="4980" w:hanging="895"/>
        <w:spacing w:after="0" w:line="500"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w:t>
      </w:r>
    </w:p>
    <w:p>
      <w:pPr>
        <w:spacing w:after="0" w:line="1" w:lineRule="exact"/>
        <w:rPr>
          <w:rFonts w:ascii="Arial" w:cs="Arial" w:eastAsia="Arial" w:hAnsi="Arial"/>
          <w:sz w:val="18"/>
          <w:szCs w:val="18"/>
          <w:color w:val="auto"/>
        </w:rPr>
      </w:pPr>
    </w:p>
    <w:p>
      <w:pPr>
        <w:ind w:left="900" w:right="7620" w:hanging="895"/>
        <w:spacing w:after="0" w:line="52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40"/>
          </w:cols>
          <w:pgMar w:left="420" w:top="476" w:right="439" w:bottom="1440" w:gutter="0" w:footer="0" w:header="0"/>
        </w:sectPr>
      </w:pPr>
    </w:p>
    <w:bookmarkStart w:id="2" w:name="page3"/>
    <w:bookmarkEnd w:id="2"/>
    <w:p>
      <w:pPr>
        <w:ind w:left="1700"/>
        <w:spacing w:after="0"/>
        <w:rPr>
          <w:sz w:val="20"/>
          <w:szCs w:val="20"/>
          <w:color w:val="auto"/>
        </w:rPr>
      </w:pPr>
      <w:r>
        <w:rPr>
          <w:rFonts w:ascii="Arial" w:cs="Arial" w:eastAsia="Arial" w:hAnsi="Arial"/>
          <w:sz w:val="18"/>
          <w:szCs w:val="18"/>
          <w:color w:val="auto"/>
        </w:rPr>
        <w:t>87990A106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4" w:lineRule="exact"/>
        <w:rPr>
          <w:sz w:val="20"/>
          <w:szCs w:val="20"/>
          <w:color w:val="auto"/>
        </w:rPr>
      </w:pPr>
    </w:p>
    <w:p>
      <w:pPr>
        <w:ind w:left="900" w:hanging="89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5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Casdin Partners Master Fund, L.P.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2.</w:t>
            </w:r>
          </w:p>
        </w:tc>
        <w:tc>
          <w:tcPr>
            <w:tcW w:w="7480" w:type="dxa"/>
            <w:vAlign w:val="bottom"/>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Pr>
          <w:p>
            <w:pPr>
              <w:ind w:left="2140"/>
              <w:spacing w:after="0"/>
              <w:rPr>
                <w:sz w:val="20"/>
                <w:szCs w:val="20"/>
                <w:color w:val="auto"/>
              </w:rPr>
            </w:pPr>
            <w:r>
              <w:rPr>
                <w:rFonts w:ascii="Arial" w:cs="Arial" w:eastAsia="Arial" w:hAnsi="Arial"/>
                <w:sz w:val="18"/>
                <w:szCs w:val="18"/>
                <w:color w:val="auto"/>
              </w:rPr>
              <w:t>(a)</w:t>
            </w:r>
          </w:p>
        </w:tc>
        <w:tc>
          <w:tcPr>
            <w:tcW w:w="38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520" w:type="dxa"/>
            <w:vAlign w:val="bottom"/>
          </w:tcPr>
          <w:p>
            <w:pPr>
              <w:ind w:left="2140"/>
              <w:spacing w:after="0"/>
              <w:rPr>
                <w:sz w:val="20"/>
                <w:szCs w:val="20"/>
                <w:color w:val="auto"/>
              </w:rPr>
            </w:pPr>
            <w:r>
              <w:rPr>
                <w:rFonts w:ascii="Arial" w:cs="Arial" w:eastAsia="Arial" w:hAnsi="Arial"/>
                <w:sz w:val="18"/>
                <w:szCs w:val="18"/>
                <w:color w:val="auto"/>
              </w:rPr>
              <w:t>(b)</w:t>
            </w:r>
          </w:p>
        </w:tc>
        <w:tc>
          <w:tcPr>
            <w:tcW w:w="380" w:type="dxa"/>
            <w:vAlign w:val="bottom"/>
          </w:tcPr>
          <w:p>
            <w:pPr>
              <w:jc w:val="right"/>
              <w:spacing w:after="0"/>
              <w:rPr>
                <w:sz w:val="20"/>
                <w:szCs w:val="20"/>
                <w:color w:val="auto"/>
              </w:rPr>
            </w:pPr>
            <w:r>
              <w:rPr>
                <w:rFonts w:ascii="Arial" w:cs="Arial" w:eastAsia="Arial" w:hAnsi="Arial"/>
                <w:sz w:val="18"/>
                <w:szCs w:val="18"/>
                <w:color w:val="auto"/>
              </w:rPr>
              <w:t>[_]</w:t>
            </w:r>
          </w:p>
        </w:tc>
      </w:tr>
    </w:tbl>
    <w:p>
      <w:pPr>
        <w:spacing w:after="0" w:line="202" w:lineRule="exact"/>
        <w:rPr>
          <w:sz w:val="20"/>
          <w:szCs w:val="20"/>
          <w:color w:val="auto"/>
        </w:rPr>
      </w:pPr>
    </w:p>
    <w:p>
      <w:pPr>
        <w:ind w:left="900" w:hanging="89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right="8520" w:hanging="895"/>
        <w:spacing w:after="0" w:line="500"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WC</w:t>
      </w:r>
    </w:p>
    <w:p>
      <w:pPr>
        <w:spacing w:after="0" w:line="2" w:lineRule="exact"/>
        <w:rPr>
          <w:sz w:val="20"/>
          <w:szCs w:val="20"/>
          <w:color w:val="auto"/>
        </w:rPr>
      </w:pPr>
    </w:p>
    <w:p>
      <w:pPr>
        <w:spacing w:after="0"/>
        <w:tabs>
          <w:tab w:leader="none" w:pos="880" w:val="left"/>
          <w:tab w:leader="none" w:pos="108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BOX IF DISCLOSURE OF LEGAL PROCEEDINGS IS REQUIRED PURSUANT TO ITEMS 2(d) OR 2(e)</w:t>
      </w:r>
      <w:r>
        <w:rPr>
          <w:sz w:val="20"/>
          <w:szCs w:val="20"/>
          <w:color w:val="auto"/>
        </w:rPr>
        <w:tab/>
      </w:r>
      <w:r>
        <w:rPr>
          <w:rFonts w:ascii="Arial" w:cs="Arial" w:eastAsia="Arial" w:hAnsi="Arial"/>
          <w:sz w:val="17"/>
          <w:szCs w:val="17"/>
          <w:color w:val="auto"/>
        </w:rPr>
        <w:t>[_]</w:t>
      </w:r>
    </w:p>
    <w:p>
      <w:pPr>
        <w:spacing w:after="0" w:line="225" w:lineRule="exact"/>
        <w:rPr>
          <w:sz w:val="20"/>
          <w:szCs w:val="20"/>
          <w:color w:val="auto"/>
        </w:rPr>
      </w:pPr>
    </w:p>
    <w:p>
      <w:pPr>
        <w:ind w:left="900" w:right="6460" w:hanging="895"/>
        <w:spacing w:after="0" w:line="52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spacing w:after="0" w:line="387" w:lineRule="exact"/>
        <w:rPr>
          <w:sz w:val="20"/>
          <w:szCs w:val="20"/>
          <w:color w:val="auto"/>
        </w:rPr>
      </w:pPr>
    </w:p>
    <w:p>
      <w:pPr>
        <w:ind w:left="900" w:right="828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800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VOTING POWER 3,224,849</w:t>
      </w:r>
    </w:p>
    <w:p>
      <w:pPr>
        <w:spacing w:after="0" w:line="1" w:lineRule="exact"/>
        <w:rPr>
          <w:rFonts w:ascii="Arial" w:cs="Arial" w:eastAsia="Arial" w:hAnsi="Arial"/>
          <w:sz w:val="18"/>
          <w:szCs w:val="18"/>
          <w:color w:val="auto"/>
        </w:rPr>
      </w:pPr>
    </w:p>
    <w:p>
      <w:pPr>
        <w:ind w:left="900" w:right="788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60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DISPOSITIVE POWER 3,224,849</w:t>
      </w:r>
    </w:p>
    <w:p>
      <w:pPr>
        <w:spacing w:after="0" w:line="1" w:lineRule="exact"/>
        <w:rPr>
          <w:rFonts w:ascii="Arial" w:cs="Arial" w:eastAsia="Arial" w:hAnsi="Arial"/>
          <w:sz w:val="18"/>
          <w:szCs w:val="18"/>
          <w:color w:val="auto"/>
        </w:rPr>
      </w:pPr>
    </w:p>
    <w:p>
      <w:pPr>
        <w:ind w:left="900" w:right="3580" w:hanging="895"/>
        <w:spacing w:after="0" w:line="50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3,224,849</w:t>
      </w:r>
    </w:p>
    <w:p>
      <w:pPr>
        <w:spacing w:after="0" w:line="2" w:lineRule="exact"/>
        <w:rPr>
          <w:sz w:val="20"/>
          <w:szCs w:val="20"/>
          <w:color w:val="auto"/>
        </w:rPr>
      </w:pPr>
    </w:p>
    <w:p>
      <w:pPr>
        <w:spacing w:after="0"/>
        <w:tabs>
          <w:tab w:leader="none" w:pos="880" w:val="left"/>
          <w:tab w:leader="none" w:pos="10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BOX IF THE AGGREGATE AMOUNT IN ROW (11) EXCLUDES CERTAIN SHARES</w:t>
      </w:r>
      <w:r>
        <w:rPr>
          <w:sz w:val="20"/>
          <w:szCs w:val="20"/>
          <w:color w:val="auto"/>
        </w:rPr>
        <w:tab/>
      </w:r>
      <w:r>
        <w:rPr>
          <w:rFonts w:ascii="Arial" w:cs="Arial" w:eastAsia="Arial" w:hAnsi="Arial"/>
          <w:sz w:val="17"/>
          <w:szCs w:val="17"/>
          <w:color w:val="auto"/>
        </w:rPr>
        <w:t>[_]</w:t>
      </w:r>
    </w:p>
    <w:p>
      <w:pPr>
        <w:spacing w:after="0" w:line="225" w:lineRule="exact"/>
        <w:rPr>
          <w:sz w:val="20"/>
          <w:szCs w:val="20"/>
          <w:color w:val="auto"/>
        </w:rPr>
      </w:pPr>
    </w:p>
    <w:p>
      <w:pPr>
        <w:ind w:left="900" w:right="4980" w:hanging="895"/>
        <w:spacing w:after="0" w:line="50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7.8%</w:t>
      </w:r>
    </w:p>
    <w:p>
      <w:pPr>
        <w:spacing w:after="0" w:line="1" w:lineRule="exact"/>
        <w:rPr>
          <w:rFonts w:ascii="Arial" w:cs="Arial" w:eastAsia="Arial" w:hAnsi="Arial"/>
          <w:sz w:val="18"/>
          <w:szCs w:val="18"/>
          <w:color w:val="auto"/>
        </w:rPr>
      </w:pPr>
    </w:p>
    <w:p>
      <w:pPr>
        <w:ind w:left="900" w:right="7620" w:hanging="895"/>
        <w:spacing w:after="0" w:line="52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40"/>
          </w:cols>
          <w:pgMar w:left="420" w:top="476" w:right="439" w:bottom="1440" w:gutter="0" w:footer="0" w:header="0"/>
        </w:sectPr>
      </w:pPr>
    </w:p>
    <w:bookmarkStart w:id="3" w:name="page4"/>
    <w:bookmarkEnd w:id="3"/>
    <w:p>
      <w:pPr>
        <w:ind w:left="1700"/>
        <w:spacing w:after="0"/>
        <w:rPr>
          <w:sz w:val="20"/>
          <w:szCs w:val="20"/>
          <w:color w:val="auto"/>
        </w:rPr>
      </w:pPr>
      <w:r>
        <w:rPr>
          <w:rFonts w:ascii="Arial" w:cs="Arial" w:eastAsia="Arial" w:hAnsi="Arial"/>
          <w:sz w:val="18"/>
          <w:szCs w:val="18"/>
          <w:color w:val="auto"/>
        </w:rPr>
        <w:t>87990A106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4" w:lineRule="exact"/>
        <w:rPr>
          <w:sz w:val="20"/>
          <w:szCs w:val="20"/>
          <w:color w:val="auto"/>
        </w:rPr>
      </w:pPr>
    </w:p>
    <w:p>
      <w:pPr>
        <w:ind w:left="900" w:hanging="89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5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Casdin Partners GP, LLC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2.</w:t>
            </w:r>
          </w:p>
        </w:tc>
        <w:tc>
          <w:tcPr>
            <w:tcW w:w="7480" w:type="dxa"/>
            <w:vAlign w:val="bottom"/>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Pr>
          <w:p>
            <w:pPr>
              <w:ind w:left="2140"/>
              <w:spacing w:after="0"/>
              <w:rPr>
                <w:sz w:val="20"/>
                <w:szCs w:val="20"/>
                <w:color w:val="auto"/>
              </w:rPr>
            </w:pPr>
            <w:r>
              <w:rPr>
                <w:rFonts w:ascii="Arial" w:cs="Arial" w:eastAsia="Arial" w:hAnsi="Arial"/>
                <w:sz w:val="18"/>
                <w:szCs w:val="18"/>
                <w:color w:val="auto"/>
              </w:rPr>
              <w:t>(a)</w:t>
            </w:r>
          </w:p>
        </w:tc>
        <w:tc>
          <w:tcPr>
            <w:tcW w:w="38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520" w:type="dxa"/>
            <w:vAlign w:val="bottom"/>
          </w:tcPr>
          <w:p>
            <w:pPr>
              <w:ind w:left="2140"/>
              <w:spacing w:after="0"/>
              <w:rPr>
                <w:sz w:val="20"/>
                <w:szCs w:val="20"/>
                <w:color w:val="auto"/>
              </w:rPr>
            </w:pPr>
            <w:r>
              <w:rPr>
                <w:rFonts w:ascii="Arial" w:cs="Arial" w:eastAsia="Arial" w:hAnsi="Arial"/>
                <w:sz w:val="18"/>
                <w:szCs w:val="18"/>
                <w:color w:val="auto"/>
              </w:rPr>
              <w:t>(b)</w:t>
            </w:r>
          </w:p>
        </w:tc>
        <w:tc>
          <w:tcPr>
            <w:tcW w:w="380" w:type="dxa"/>
            <w:vAlign w:val="bottom"/>
          </w:tcPr>
          <w:p>
            <w:pPr>
              <w:jc w:val="right"/>
              <w:spacing w:after="0"/>
              <w:rPr>
                <w:sz w:val="20"/>
                <w:szCs w:val="20"/>
                <w:color w:val="auto"/>
              </w:rPr>
            </w:pPr>
            <w:r>
              <w:rPr>
                <w:rFonts w:ascii="Arial" w:cs="Arial" w:eastAsia="Arial" w:hAnsi="Arial"/>
                <w:sz w:val="18"/>
                <w:szCs w:val="18"/>
                <w:color w:val="auto"/>
              </w:rPr>
              <w:t>[_]</w:t>
            </w:r>
          </w:p>
        </w:tc>
      </w:tr>
    </w:tbl>
    <w:p>
      <w:pPr>
        <w:spacing w:after="0" w:line="202" w:lineRule="exact"/>
        <w:rPr>
          <w:sz w:val="20"/>
          <w:szCs w:val="20"/>
          <w:color w:val="auto"/>
        </w:rPr>
      </w:pPr>
    </w:p>
    <w:p>
      <w:pPr>
        <w:ind w:left="900" w:hanging="89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00" w:right="8520" w:hanging="895"/>
        <w:spacing w:after="0" w:line="50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AF</w:t>
      </w:r>
    </w:p>
    <w:p>
      <w:pPr>
        <w:spacing w:after="0" w:line="2" w:lineRule="exact"/>
        <w:rPr>
          <w:sz w:val="20"/>
          <w:szCs w:val="20"/>
          <w:color w:val="auto"/>
        </w:rPr>
      </w:pPr>
    </w:p>
    <w:p>
      <w:pPr>
        <w:spacing w:after="0"/>
        <w:tabs>
          <w:tab w:leader="none" w:pos="880" w:val="left"/>
          <w:tab w:leader="none" w:pos="108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BOX IF DISCLOSURE OF LEGAL PROCEEDINGS IS REQUIRED PURSUANT TO ITEMS 2(d) OR 2(e)</w:t>
      </w:r>
      <w:r>
        <w:rPr>
          <w:sz w:val="20"/>
          <w:szCs w:val="20"/>
          <w:color w:val="auto"/>
        </w:rPr>
        <w:tab/>
      </w:r>
      <w:r>
        <w:rPr>
          <w:rFonts w:ascii="Arial" w:cs="Arial" w:eastAsia="Arial" w:hAnsi="Arial"/>
          <w:sz w:val="17"/>
          <w:szCs w:val="17"/>
          <w:color w:val="auto"/>
        </w:rPr>
        <w:t>[_]</w:t>
      </w:r>
    </w:p>
    <w:p>
      <w:pPr>
        <w:spacing w:after="0" w:line="225" w:lineRule="exact"/>
        <w:rPr>
          <w:sz w:val="20"/>
          <w:szCs w:val="20"/>
          <w:color w:val="auto"/>
        </w:rPr>
      </w:pPr>
    </w:p>
    <w:p>
      <w:pPr>
        <w:ind w:left="900" w:right="6460" w:hanging="895"/>
        <w:spacing w:after="0" w:line="52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7" w:lineRule="exact"/>
        <w:rPr>
          <w:sz w:val="20"/>
          <w:szCs w:val="20"/>
          <w:color w:val="auto"/>
        </w:rPr>
      </w:pPr>
    </w:p>
    <w:p>
      <w:pPr>
        <w:ind w:left="900" w:right="828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800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VOTING POWER 3,224,849</w:t>
      </w:r>
    </w:p>
    <w:p>
      <w:pPr>
        <w:spacing w:after="0" w:line="1" w:lineRule="exact"/>
        <w:rPr>
          <w:rFonts w:ascii="Arial" w:cs="Arial" w:eastAsia="Arial" w:hAnsi="Arial"/>
          <w:sz w:val="18"/>
          <w:szCs w:val="18"/>
          <w:color w:val="auto"/>
        </w:rPr>
      </w:pPr>
    </w:p>
    <w:p>
      <w:pPr>
        <w:ind w:left="900" w:right="788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60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DISPOSITIVE POWER 3,224,849</w:t>
      </w:r>
    </w:p>
    <w:p>
      <w:pPr>
        <w:spacing w:after="0" w:line="1" w:lineRule="exact"/>
        <w:rPr>
          <w:rFonts w:ascii="Arial" w:cs="Arial" w:eastAsia="Arial" w:hAnsi="Arial"/>
          <w:sz w:val="18"/>
          <w:szCs w:val="18"/>
          <w:color w:val="auto"/>
        </w:rPr>
      </w:pPr>
    </w:p>
    <w:p>
      <w:pPr>
        <w:ind w:left="900" w:right="3580" w:hanging="895"/>
        <w:spacing w:after="0" w:line="500"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3,224,849</w:t>
      </w:r>
    </w:p>
    <w:p>
      <w:pPr>
        <w:spacing w:after="0" w:line="2" w:lineRule="exact"/>
        <w:rPr>
          <w:sz w:val="20"/>
          <w:szCs w:val="20"/>
          <w:color w:val="auto"/>
        </w:rPr>
      </w:pPr>
    </w:p>
    <w:p>
      <w:pPr>
        <w:spacing w:after="0"/>
        <w:tabs>
          <w:tab w:leader="none" w:pos="880" w:val="left"/>
          <w:tab w:leader="none" w:pos="108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BOX IF THE AGGREGATE AMOUNT IN ROW (11) EXCLUDES CERTAIN SHARES</w:t>
      </w:r>
      <w:r>
        <w:rPr>
          <w:sz w:val="20"/>
          <w:szCs w:val="20"/>
          <w:color w:val="auto"/>
        </w:rPr>
        <w:tab/>
      </w:r>
      <w:r>
        <w:rPr>
          <w:rFonts w:ascii="Arial" w:cs="Arial" w:eastAsia="Arial" w:hAnsi="Arial"/>
          <w:sz w:val="17"/>
          <w:szCs w:val="17"/>
          <w:color w:val="auto"/>
        </w:rPr>
        <w:t>[_]</w:t>
      </w:r>
    </w:p>
    <w:p>
      <w:pPr>
        <w:spacing w:after="0" w:line="200" w:lineRule="exact"/>
        <w:rPr>
          <w:sz w:val="20"/>
          <w:szCs w:val="20"/>
          <w:color w:val="auto"/>
        </w:rPr>
      </w:pPr>
    </w:p>
    <w:p>
      <w:pPr>
        <w:spacing w:after="0" w:line="241" w:lineRule="exact"/>
        <w:rPr>
          <w:sz w:val="20"/>
          <w:szCs w:val="20"/>
          <w:color w:val="auto"/>
        </w:rPr>
      </w:pPr>
    </w:p>
    <w:p>
      <w:pPr>
        <w:ind w:left="900" w:right="4980" w:hanging="895"/>
        <w:spacing w:after="0" w:line="500"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7.8%</w:t>
      </w:r>
    </w:p>
    <w:p>
      <w:pPr>
        <w:spacing w:after="0" w:line="1" w:lineRule="exact"/>
        <w:rPr>
          <w:rFonts w:ascii="Arial" w:cs="Arial" w:eastAsia="Arial" w:hAnsi="Arial"/>
          <w:sz w:val="18"/>
          <w:szCs w:val="18"/>
          <w:color w:val="auto"/>
        </w:rPr>
      </w:pPr>
    </w:p>
    <w:p>
      <w:pPr>
        <w:ind w:left="900" w:right="7620" w:hanging="895"/>
        <w:spacing w:after="0" w:line="52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134620</wp:posOffset>
            </wp:positionV>
            <wp:extent cx="71323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040"/>
          </w:cols>
          <w:pgMar w:left="420" w:top="476" w:right="439" w:bottom="1440" w:gutter="0" w:footer="0" w:header="0"/>
        </w:sectPr>
      </w:pPr>
    </w:p>
    <w:bookmarkStart w:id="4" w:name="page5"/>
    <w:bookmarkEnd w:id="4"/>
    <w:p>
      <w:pPr>
        <w:ind w:left="1700"/>
        <w:spacing w:after="0"/>
        <w:rPr>
          <w:sz w:val="20"/>
          <w:szCs w:val="20"/>
          <w:color w:val="auto"/>
        </w:rPr>
      </w:pPr>
      <w:r>
        <w:rPr>
          <w:rFonts w:ascii="Arial" w:cs="Arial" w:eastAsia="Arial" w:hAnsi="Arial"/>
          <w:sz w:val="18"/>
          <w:szCs w:val="18"/>
          <w:color w:val="auto"/>
        </w:rPr>
        <w:t>87990A106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5715</wp:posOffset>
            </wp:positionV>
            <wp:extent cx="27171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4" w:lineRule="exact"/>
        <w:rPr>
          <w:sz w:val="20"/>
          <w:szCs w:val="20"/>
          <w:color w:val="auto"/>
        </w:rPr>
      </w:pPr>
    </w:p>
    <w:p>
      <w:pPr>
        <w:ind w:left="900" w:hanging="89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00" w:right="454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Eli Casdin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2.</w:t>
            </w:r>
          </w:p>
        </w:tc>
        <w:tc>
          <w:tcPr>
            <w:tcW w:w="7480" w:type="dxa"/>
            <w:vAlign w:val="bottom"/>
          </w:tcPr>
          <w:p>
            <w:pPr>
              <w:ind w:left="380"/>
              <w:spacing w:after="0"/>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Pr>
          <w:p>
            <w:pPr>
              <w:ind w:left="2140"/>
              <w:spacing w:after="0"/>
              <w:rPr>
                <w:sz w:val="20"/>
                <w:szCs w:val="20"/>
                <w:color w:val="auto"/>
              </w:rPr>
            </w:pPr>
            <w:r>
              <w:rPr>
                <w:rFonts w:ascii="Arial" w:cs="Arial" w:eastAsia="Arial" w:hAnsi="Arial"/>
                <w:sz w:val="18"/>
                <w:szCs w:val="18"/>
                <w:color w:val="auto"/>
              </w:rPr>
              <w:t>(a)</w:t>
            </w:r>
          </w:p>
        </w:tc>
        <w:tc>
          <w:tcPr>
            <w:tcW w:w="38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5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520" w:type="dxa"/>
            <w:vAlign w:val="bottom"/>
          </w:tcPr>
          <w:p>
            <w:pPr>
              <w:ind w:left="2140"/>
              <w:spacing w:after="0"/>
              <w:rPr>
                <w:sz w:val="20"/>
                <w:szCs w:val="20"/>
                <w:color w:val="auto"/>
              </w:rPr>
            </w:pPr>
            <w:r>
              <w:rPr>
                <w:rFonts w:ascii="Arial" w:cs="Arial" w:eastAsia="Arial" w:hAnsi="Arial"/>
                <w:sz w:val="18"/>
                <w:szCs w:val="18"/>
                <w:color w:val="auto"/>
              </w:rPr>
              <w:t>(b)</w:t>
            </w:r>
          </w:p>
        </w:tc>
        <w:tc>
          <w:tcPr>
            <w:tcW w:w="380" w:type="dxa"/>
            <w:vAlign w:val="bottom"/>
          </w:tcPr>
          <w:p>
            <w:pPr>
              <w:jc w:val="right"/>
              <w:spacing w:after="0"/>
              <w:rPr>
                <w:sz w:val="20"/>
                <w:szCs w:val="20"/>
                <w:color w:val="auto"/>
              </w:rPr>
            </w:pPr>
            <w:r>
              <w:rPr>
                <w:rFonts w:ascii="Arial" w:cs="Arial" w:eastAsia="Arial" w:hAnsi="Arial"/>
                <w:sz w:val="18"/>
                <w:szCs w:val="18"/>
                <w:color w:val="auto"/>
              </w:rPr>
              <w:t>[_]</w:t>
            </w:r>
          </w:p>
        </w:tc>
      </w:tr>
    </w:tbl>
    <w:p>
      <w:pPr>
        <w:spacing w:after="0" w:line="200" w:lineRule="exact"/>
        <w:rPr>
          <w:sz w:val="20"/>
          <w:szCs w:val="20"/>
          <w:color w:val="auto"/>
        </w:rPr>
      </w:pPr>
    </w:p>
    <w:p>
      <w:pPr>
        <w:spacing w:after="0" w:line="218" w:lineRule="exact"/>
        <w:rPr>
          <w:sz w:val="20"/>
          <w:szCs w:val="20"/>
          <w:color w:val="auto"/>
        </w:rPr>
      </w:pPr>
    </w:p>
    <w:p>
      <w:pPr>
        <w:ind w:left="900" w:hanging="89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00" w:right="8520" w:hanging="895"/>
        <w:spacing w:after="0" w:line="50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SOURCE OF FUNDS AF</w:t>
      </w:r>
    </w:p>
    <w:p>
      <w:pPr>
        <w:spacing w:after="0" w:line="2" w:lineRule="exact"/>
        <w:rPr>
          <w:sz w:val="20"/>
          <w:szCs w:val="20"/>
          <w:color w:val="auto"/>
        </w:rPr>
      </w:pPr>
    </w:p>
    <w:p>
      <w:pPr>
        <w:spacing w:after="0"/>
        <w:tabs>
          <w:tab w:leader="none" w:pos="880" w:val="left"/>
          <w:tab w:leader="none" w:pos="108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color w:val="auto"/>
        </w:rPr>
        <w:t>CHECK BOX IF DISCLOSURE OF LEGAL PROCEEDINGS IS REQUIRED PURSUANT TO ITEMS 2(d) OR 2(e)</w:t>
      </w:r>
      <w:r>
        <w:rPr>
          <w:sz w:val="20"/>
          <w:szCs w:val="20"/>
          <w:color w:val="auto"/>
        </w:rPr>
        <w:tab/>
      </w:r>
      <w:r>
        <w:rPr>
          <w:rFonts w:ascii="Arial" w:cs="Arial" w:eastAsia="Arial" w:hAnsi="Arial"/>
          <w:sz w:val="17"/>
          <w:szCs w:val="17"/>
          <w:color w:val="auto"/>
        </w:rPr>
        <w:t>[_]</w:t>
      </w:r>
    </w:p>
    <w:p>
      <w:pPr>
        <w:spacing w:after="0" w:line="200" w:lineRule="exact"/>
        <w:rPr>
          <w:sz w:val="20"/>
          <w:szCs w:val="20"/>
          <w:color w:val="auto"/>
        </w:rPr>
      </w:pPr>
    </w:p>
    <w:p>
      <w:pPr>
        <w:spacing w:after="0" w:line="241" w:lineRule="exact"/>
        <w:rPr>
          <w:sz w:val="20"/>
          <w:szCs w:val="20"/>
          <w:color w:val="auto"/>
        </w:rPr>
      </w:pPr>
    </w:p>
    <w:p>
      <w:pPr>
        <w:ind w:left="900" w:right="6460" w:hanging="895"/>
        <w:spacing w:after="0" w:line="52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7" w:lineRule="exact"/>
        <w:rPr>
          <w:sz w:val="20"/>
          <w:szCs w:val="20"/>
          <w:color w:val="auto"/>
        </w:rPr>
      </w:pPr>
    </w:p>
    <w:p>
      <w:pPr>
        <w:ind w:left="900" w:right="828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900" w:right="800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VOTING POWER 3,586,818</w:t>
      </w:r>
    </w:p>
    <w:p>
      <w:pPr>
        <w:spacing w:after="0" w:line="1" w:lineRule="exact"/>
        <w:rPr>
          <w:rFonts w:ascii="Arial" w:cs="Arial" w:eastAsia="Arial" w:hAnsi="Arial"/>
          <w:sz w:val="18"/>
          <w:szCs w:val="18"/>
          <w:color w:val="auto"/>
        </w:rPr>
      </w:pPr>
    </w:p>
    <w:p>
      <w:pPr>
        <w:ind w:left="900" w:right="788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DISPOSITIVE POWER 0</w:t>
      </w:r>
    </w:p>
    <w:p>
      <w:pPr>
        <w:spacing w:after="0" w:line="1" w:lineRule="exact"/>
        <w:rPr>
          <w:rFonts w:ascii="Arial" w:cs="Arial" w:eastAsia="Arial" w:hAnsi="Arial"/>
          <w:sz w:val="18"/>
          <w:szCs w:val="18"/>
          <w:color w:val="auto"/>
        </w:rPr>
      </w:pPr>
    </w:p>
    <w:p>
      <w:pPr>
        <w:ind w:left="900" w:right="7600" w:hanging="895"/>
        <w:spacing w:after="0" w:line="50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DISPOSITIVE POWER 3,586,818</w:t>
      </w:r>
    </w:p>
    <w:p>
      <w:pPr>
        <w:spacing w:after="0" w:line="1" w:lineRule="exact"/>
        <w:rPr>
          <w:rFonts w:ascii="Arial" w:cs="Arial" w:eastAsia="Arial" w:hAnsi="Arial"/>
          <w:sz w:val="18"/>
          <w:szCs w:val="18"/>
          <w:color w:val="auto"/>
        </w:rPr>
      </w:pPr>
    </w:p>
    <w:p>
      <w:pPr>
        <w:ind w:left="900" w:hanging="89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3,586,818</w:t>
            </w:r>
          </w:p>
        </w:tc>
        <w:tc>
          <w:tcPr>
            <w:tcW w:w="1520" w:type="dxa"/>
            <w:vAlign w:val="bottom"/>
          </w:tcPr>
          <w:p>
            <w:pPr>
              <w:spacing w:after="0"/>
              <w:rPr>
                <w:sz w:val="20"/>
                <w:szCs w:val="20"/>
                <w:color w:val="auto"/>
              </w:rPr>
            </w:pPr>
          </w:p>
        </w:tc>
      </w:tr>
      <w:tr>
        <w:trPr>
          <w:trHeight w:val="432"/>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12.</w:t>
            </w:r>
          </w:p>
        </w:tc>
        <w:tc>
          <w:tcPr>
            <w:tcW w:w="8820" w:type="dxa"/>
            <w:vAlign w:val="bottom"/>
          </w:tcPr>
          <w:p>
            <w:pPr>
              <w:ind w:left="3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520" w:type="dxa"/>
            <w:vAlign w:val="bottom"/>
          </w:tcPr>
          <w:p>
            <w:pPr>
              <w:jc w:val="right"/>
              <w:spacing w:after="0"/>
              <w:rPr>
                <w:sz w:val="20"/>
                <w:szCs w:val="20"/>
                <w:color w:val="auto"/>
              </w:rPr>
            </w:pPr>
            <w:r>
              <w:rPr>
                <w:rFonts w:ascii="Arial" w:cs="Arial" w:eastAsia="Arial" w:hAnsi="Arial"/>
                <w:sz w:val="18"/>
                <w:szCs w:val="18"/>
                <w:color w:val="auto"/>
              </w:rPr>
              <w:t>[_]</w:t>
            </w:r>
          </w:p>
        </w:tc>
      </w:tr>
    </w:tbl>
    <w:p>
      <w:pPr>
        <w:spacing w:after="0" w:line="200" w:lineRule="exact"/>
        <w:rPr>
          <w:sz w:val="20"/>
          <w:szCs w:val="20"/>
          <w:color w:val="auto"/>
        </w:rPr>
      </w:pPr>
    </w:p>
    <w:p>
      <w:pPr>
        <w:spacing w:after="0" w:line="218" w:lineRule="exact"/>
        <w:rPr>
          <w:sz w:val="20"/>
          <w:szCs w:val="20"/>
          <w:color w:val="auto"/>
        </w:rPr>
      </w:pPr>
    </w:p>
    <w:p>
      <w:pPr>
        <w:ind w:left="900" w:right="4980" w:hanging="895"/>
        <w:spacing w:after="0" w:line="50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8.7%</w:t>
      </w:r>
    </w:p>
    <w:p>
      <w:pPr>
        <w:spacing w:after="0" w:line="1" w:lineRule="exact"/>
        <w:rPr>
          <w:rFonts w:ascii="Arial" w:cs="Arial" w:eastAsia="Arial" w:hAnsi="Arial"/>
          <w:sz w:val="18"/>
          <w:szCs w:val="18"/>
          <w:color w:val="auto"/>
        </w:rPr>
      </w:pPr>
    </w:p>
    <w:p>
      <w:pPr>
        <w:ind w:left="900" w:right="7620" w:hanging="895"/>
        <w:spacing w:after="0" w:line="52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40"/>
          </w:cols>
          <w:pgMar w:left="420" w:top="476"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CUSIP No.</w:t>
            </w:r>
          </w:p>
        </w:tc>
        <w:tc>
          <w:tcPr>
            <w:tcW w:w="84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87990A106</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Security and Issuer.</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name of the issuer is Tenaya Therapeutics, Inc., a Delaware corporation (the "Issuer"). The address of the Issuer's principal executive</w:t>
      </w:r>
    </w:p>
    <w:p>
      <w:pPr>
        <w:spacing w:after="0" w:line="46" w:lineRule="exact"/>
        <w:rPr>
          <w:sz w:val="20"/>
          <w:szCs w:val="20"/>
          <w:color w:val="auto"/>
        </w:rPr>
      </w:pPr>
    </w:p>
    <w:p>
      <w:pPr>
        <w:ind w:left="1020" w:right="400"/>
        <w:spacing w:after="0" w:line="209" w:lineRule="auto"/>
        <w:rPr>
          <w:sz w:val="20"/>
          <w:szCs w:val="20"/>
          <w:color w:val="auto"/>
        </w:rPr>
      </w:pPr>
      <w:r>
        <w:rPr>
          <w:rFonts w:ascii="Arial" w:cs="Arial" w:eastAsia="Arial" w:hAnsi="Arial"/>
          <w:sz w:val="18"/>
          <w:szCs w:val="18"/>
          <w:color w:val="auto"/>
        </w:rPr>
        <w:t>offices is 171 Oyster Point Boulevard,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South San Francisco, CA 94080. This Schedule 13D relates to the Issuer's Common Stock, $0.0001 par value per share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275590</wp:posOffset>
            </wp:positionV>
            <wp:extent cx="64890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Identity and Background.</w:t>
      </w:r>
    </w:p>
    <w:p>
      <w:pPr>
        <w:spacing w:after="0" w:line="225" w:lineRule="exact"/>
        <w:rPr>
          <w:sz w:val="20"/>
          <w:szCs w:val="20"/>
          <w:color w:val="auto"/>
        </w:rPr>
      </w:pPr>
    </w:p>
    <w:p>
      <w:pPr>
        <w:ind w:left="1820" w:hanging="795"/>
        <w:spacing w:after="0" w:line="311" w:lineRule="auto"/>
        <w:tabs>
          <w:tab w:leader="none" w:pos="1800" w:val="left"/>
        </w:tabs>
        <w:rPr>
          <w:sz w:val="20"/>
          <w:szCs w:val="20"/>
          <w:color w:val="auto"/>
        </w:rPr>
      </w:pPr>
      <w:r>
        <w:rPr>
          <w:rFonts w:ascii="Arial" w:cs="Arial" w:eastAsia="Arial" w:hAnsi="Arial"/>
          <w:sz w:val="18"/>
          <w:szCs w:val="18"/>
          <w:color w:val="auto"/>
        </w:rPr>
        <w:t>(a), (f)</w:t>
      </w:r>
      <w:r>
        <w:rPr>
          <w:sz w:val="20"/>
          <w:szCs w:val="20"/>
          <w:color w:val="auto"/>
        </w:rPr>
        <w:tab/>
      </w:r>
      <w:r>
        <w:rPr>
          <w:rFonts w:ascii="Arial" w:cs="Arial" w:eastAsia="Arial" w:hAnsi="Arial"/>
          <w:sz w:val="16"/>
          <w:szCs w:val="16"/>
          <w:color w:val="auto"/>
        </w:rPr>
        <w:t>This Schedule 13D is being filed jointly by Casdin Capital, LLC, a Delaware limited liability company (“Casdin”), Casdin Partners Master Fund, L.P., a Cayman Islands exempted limited partnership (the “Fund”), Casdin Partners GP, LLC, a Delaware limited liability company (the “GP”) and Eli Casdin, a United States citizen (collectively, the "Reporting Persons").</w:t>
      </w:r>
    </w:p>
    <w:p>
      <w:pPr>
        <w:spacing w:after="0" w:line="149" w:lineRule="exact"/>
        <w:rPr>
          <w:sz w:val="20"/>
          <w:szCs w:val="20"/>
          <w:color w:val="auto"/>
        </w:rPr>
      </w:pPr>
    </w:p>
    <w:p>
      <w:pPr>
        <w:ind w:left="1820" w:right="60" w:hanging="802"/>
        <w:spacing w:after="0" w:line="277" w:lineRule="auto"/>
        <w:tabs>
          <w:tab w:leader="none" w:pos="1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principal business address for each of the Reporting Persons is 1350 Avenue of the Americas, Suite 2600, New York, New York 10019.</w:t>
      </w:r>
    </w:p>
    <w:p>
      <w:pPr>
        <w:spacing w:after="0" w:line="170" w:lineRule="exact"/>
        <w:rPr>
          <w:rFonts w:ascii="Arial" w:cs="Arial" w:eastAsia="Arial" w:hAnsi="Arial"/>
          <w:sz w:val="18"/>
          <w:szCs w:val="18"/>
          <w:color w:val="auto"/>
        </w:rPr>
      </w:pPr>
    </w:p>
    <w:p>
      <w:pPr>
        <w:ind w:left="1820" w:right="20" w:hanging="802"/>
        <w:spacing w:after="0" w:line="259" w:lineRule="auto"/>
        <w:tabs>
          <w:tab w:leader="none" w:pos="1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 Casdin is the managing member of Casdin and the GP. The principal business of Casdin is serving as an investment adviser to its clients. The principal business of the GP is serving as the general partner to certain private funds. Casdin is the investment manager to the Fund and the GP is the general partner of the Fund. The principal business of the Fund is purchasing, holding and selling securities for investment purposes.</w:t>
      </w:r>
    </w:p>
    <w:p>
      <w:pPr>
        <w:spacing w:after="0" w:line="187" w:lineRule="exact"/>
        <w:rPr>
          <w:sz w:val="20"/>
          <w:szCs w:val="20"/>
          <w:color w:val="auto"/>
        </w:rPr>
      </w:pPr>
    </w:p>
    <w:p>
      <w:pPr>
        <w:ind w:left="1820" w:right="60" w:hanging="795"/>
        <w:spacing w:after="0" w:line="275" w:lineRule="auto"/>
        <w:tabs>
          <w:tab w:leader="none" w:pos="1800" w:val="left"/>
        </w:tabs>
        <w:rPr>
          <w:sz w:val="20"/>
          <w:szCs w:val="20"/>
          <w:color w:val="auto"/>
        </w:rPr>
      </w:pPr>
      <w:r>
        <w:rPr>
          <w:rFonts w:ascii="Arial" w:cs="Arial" w:eastAsia="Arial" w:hAnsi="Arial"/>
          <w:sz w:val="18"/>
          <w:szCs w:val="18"/>
          <w:color w:val="auto"/>
        </w:rPr>
        <w:t>(d), (e)</w:t>
      </w:r>
      <w:r>
        <w:rPr>
          <w:sz w:val="20"/>
          <w:szCs w:val="20"/>
          <w:color w:val="auto"/>
        </w:rPr>
        <w:tab/>
      </w:r>
      <w:r>
        <w:rPr>
          <w:rFonts w:ascii="Arial" w:cs="Arial" w:eastAsia="Arial" w:hAnsi="Arial"/>
          <w:sz w:val="17"/>
          <w:szCs w:val="17"/>
          <w:color w:val="auto"/>
        </w:rPr>
        <w:t>During the last five years, none of the Reporting Persons has been (a) convicted in a criminal proceeding (excluding traffic violations or similar misdemeanors) or (b)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The Reporting Persons disclaim membership in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257810</wp:posOffset>
            </wp:positionV>
            <wp:extent cx="64890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Source and Amount of Funds or Other Consideration.</w:t>
      </w:r>
    </w:p>
    <w:p>
      <w:pPr>
        <w:spacing w:after="0" w:line="225" w:lineRule="exact"/>
        <w:rPr>
          <w:sz w:val="20"/>
          <w:szCs w:val="20"/>
          <w:color w:val="auto"/>
        </w:rPr>
      </w:pPr>
    </w:p>
    <w:p>
      <w:pPr>
        <w:ind w:left="1020" w:right="180"/>
        <w:spacing w:after="0" w:line="311" w:lineRule="auto"/>
        <w:rPr>
          <w:sz w:val="20"/>
          <w:szCs w:val="20"/>
          <w:color w:val="auto"/>
        </w:rPr>
      </w:pPr>
      <w:r>
        <w:rPr>
          <w:rFonts w:ascii="Arial" w:cs="Arial" w:eastAsia="Arial" w:hAnsi="Arial"/>
          <w:sz w:val="16"/>
          <w:szCs w:val="16"/>
          <w:color w:val="auto"/>
        </w:rPr>
        <w:t>The funds for the purchase of the Shares came from the working capital of private investment funds managed by Casdin, including the Fund, over which the Reporting Persons, through their roles described above in Item 2(c), exercise investment discretion. No borrowed funds were used to purchase the Shares, other than borrowed funds used for working capital purposes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240665</wp:posOffset>
            </wp:positionV>
            <wp:extent cx="64890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541020</wp:posOffset>
            </wp:positionV>
            <wp:extent cx="71323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020"/>
          </w:cols>
          <w:pgMar w:left="420" w:top="692" w:right="459" w:bottom="1440" w:gutter="0" w:footer="0" w:header="0"/>
        </w:sectPr>
      </w:pPr>
    </w:p>
    <w:bookmarkStart w:id="6" w:name="page7"/>
    <w:bookmarkEnd w:id="6"/>
    <w:p>
      <w:pPr>
        <w:spacing w:after="0"/>
        <w:tabs>
          <w:tab w:leader="none" w:pos="10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Purpose of Transaction.</w:t>
      </w:r>
    </w:p>
    <w:p>
      <w:pPr>
        <w:spacing w:after="0" w:line="225" w:lineRule="exact"/>
        <w:rPr>
          <w:sz w:val="20"/>
          <w:szCs w:val="20"/>
          <w:color w:val="auto"/>
        </w:rPr>
      </w:pPr>
    </w:p>
    <w:p>
      <w:pPr>
        <w:ind w:left="1020"/>
        <w:spacing w:after="0" w:line="291" w:lineRule="auto"/>
        <w:rPr>
          <w:sz w:val="20"/>
          <w:szCs w:val="20"/>
          <w:color w:val="auto"/>
        </w:rPr>
      </w:pPr>
      <w:r>
        <w:rPr>
          <w:rFonts w:ascii="Arial" w:cs="Arial" w:eastAsia="Arial" w:hAnsi="Arial"/>
          <w:sz w:val="16"/>
          <w:szCs w:val="16"/>
          <w:color w:val="auto"/>
        </w:rPr>
        <w:t>The Reporting Persons have acquired their Shares of the Issuer for investment. The Reporting Persons have no plans or proposals as of the date of this filing which, other than as expressly set forth below, would relate to or would result in: (a) any extraordinary corporate transaction involving the Issuer; (b) any change in the present Board of Directors or management of the Issuer; (c) any material change in the present capitalization or dividend policy of the Issuer; (d) any material change in the operating policies or corporate structure of the Issuer; (e) any change in the Issuer's charter or by-laws; (f) the Shares of the Issuer ceasing to be listed from a national securities exchange or to ceasing to be authorized to be quoted in an inter-dealer quotation system of a registered national securities association; or (g) causing the Issuer becoming eligible for termination of registration pursuant to Section 12(g)(4) of the Securities Exchange Act of 1934.</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Eli Casdin, the managing member of Casdin and the GP, is a director of the Issuer.</w:t>
      </w:r>
    </w:p>
    <w:p>
      <w:pPr>
        <w:spacing w:after="0" w:line="225" w:lineRule="exact"/>
        <w:rPr>
          <w:sz w:val="20"/>
          <w:szCs w:val="20"/>
          <w:color w:val="auto"/>
        </w:rPr>
      </w:pPr>
    </w:p>
    <w:p>
      <w:pPr>
        <w:ind w:left="1020" w:right="160"/>
        <w:spacing w:after="0" w:line="277" w:lineRule="auto"/>
        <w:rPr>
          <w:sz w:val="20"/>
          <w:szCs w:val="20"/>
          <w:color w:val="auto"/>
        </w:rPr>
      </w:pPr>
      <w:r>
        <w:rPr>
          <w:rFonts w:ascii="Arial" w:cs="Arial" w:eastAsia="Arial" w:hAnsi="Arial"/>
          <w:sz w:val="18"/>
          <w:szCs w:val="18"/>
          <w:color w:val="auto"/>
        </w:rPr>
        <w:t>The Reporting Persons, however, reserve the right, at a later date, to effect one or more of such changes and may dispose of or enter into other transactions in the shares they may be deemed to beneficially own.</w:t>
      </w:r>
    </w:p>
    <w:p>
      <w:pPr>
        <w:spacing w:after="0" w:line="170" w:lineRule="exact"/>
        <w:rPr>
          <w:sz w:val="20"/>
          <w:szCs w:val="20"/>
          <w:color w:val="auto"/>
        </w:rPr>
      </w:pPr>
    </w:p>
    <w:p>
      <w:pPr>
        <w:ind w:left="1020" w:right="300"/>
        <w:spacing w:after="0" w:line="342" w:lineRule="auto"/>
        <w:rPr>
          <w:sz w:val="20"/>
          <w:szCs w:val="20"/>
          <w:color w:val="auto"/>
        </w:rPr>
      </w:pPr>
      <w:r>
        <w:rPr>
          <w:rFonts w:ascii="Arial" w:cs="Arial" w:eastAsia="Arial" w:hAnsi="Arial"/>
          <w:sz w:val="16"/>
          <w:szCs w:val="16"/>
          <w:color w:val="auto"/>
        </w:rPr>
        <w:t>The Reporting Persons have been and may continue to be in contact with members of the Issuer's management, the Issuer's Board of Directors, other significant shareholders and others regarding alternatives that the Issuer could employ to maximize shareholder value.</w:t>
      </w:r>
    </w:p>
    <w:p>
      <w:pPr>
        <w:spacing w:after="0" w:line="124" w:lineRule="exact"/>
        <w:rPr>
          <w:sz w:val="20"/>
          <w:szCs w:val="20"/>
          <w:color w:val="auto"/>
        </w:rPr>
      </w:pPr>
    </w:p>
    <w:p>
      <w:pPr>
        <w:ind w:left="1020" w:right="80"/>
        <w:spacing w:after="0" w:line="342" w:lineRule="auto"/>
        <w:rPr>
          <w:sz w:val="20"/>
          <w:szCs w:val="20"/>
          <w:color w:val="auto"/>
        </w:rPr>
      </w:pPr>
      <w:r>
        <w:rPr>
          <w:rFonts w:ascii="Arial" w:cs="Arial" w:eastAsia="Arial" w:hAnsi="Arial"/>
          <w:sz w:val="16"/>
          <w:szCs w:val="16"/>
          <w:color w:val="auto"/>
        </w:rPr>
        <w:t>The Reporting Persons further reserve the right to act in concert with any other shareholders of the Issuer, or other persons, for a common purpose should it determine to do so, and/or to recommend courses of action to management and the shareholders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224790</wp:posOffset>
            </wp:positionV>
            <wp:extent cx="64890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Interest in Securities of the Issuer.</w:t>
      </w:r>
    </w:p>
    <w:p>
      <w:pPr>
        <w:spacing w:after="0" w:line="225" w:lineRule="exact"/>
        <w:rPr>
          <w:sz w:val="20"/>
          <w:szCs w:val="20"/>
          <w:color w:val="auto"/>
        </w:rPr>
      </w:pPr>
    </w:p>
    <w:p>
      <w:pPr>
        <w:ind w:left="1920" w:right="300" w:hanging="902"/>
        <w:spacing w:after="0" w:line="277"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(e)As of the date hereof, Casdin and Eli Casdin may be deemed to be the beneficial owners of 3,586,818 Shares, constituting 8.7% of the Shares, based upon 41,124,727* Shares outstanding.</w:t>
      </w:r>
    </w:p>
    <w:p>
      <w:pPr>
        <w:spacing w:after="0" w:line="170" w:lineRule="exact"/>
        <w:rPr>
          <w:sz w:val="20"/>
          <w:szCs w:val="20"/>
          <w:color w:val="auto"/>
        </w:rPr>
      </w:pPr>
    </w:p>
    <w:p>
      <w:pPr>
        <w:jc w:val="both"/>
        <w:ind w:left="1920" w:right="160"/>
        <w:spacing w:after="0" w:line="263" w:lineRule="auto"/>
        <w:rPr>
          <w:sz w:val="20"/>
          <w:szCs w:val="20"/>
          <w:color w:val="auto"/>
        </w:rPr>
      </w:pPr>
      <w:r>
        <w:rPr>
          <w:rFonts w:ascii="Arial" w:cs="Arial" w:eastAsia="Arial" w:hAnsi="Arial"/>
          <w:sz w:val="18"/>
          <w:szCs w:val="18"/>
          <w:color w:val="auto"/>
        </w:rPr>
        <w:t>Casdin and Eli Casdin have the sole power to vote or direct the vote of 0 Shares; have the shared power to vote or direct the vote of 3,586,818 Shares; have the sole power to dispose or direct the disposition of 0 Shares; and have the shared power to dispose or direct the disposition of 3,586,818 Shares.</w:t>
      </w:r>
    </w:p>
    <w:p>
      <w:pPr>
        <w:spacing w:after="0" w:line="184" w:lineRule="exact"/>
        <w:rPr>
          <w:sz w:val="20"/>
          <w:szCs w:val="20"/>
          <w:color w:val="auto"/>
        </w:rPr>
      </w:pPr>
    </w:p>
    <w:p>
      <w:pPr>
        <w:ind w:left="1920"/>
        <w:spacing w:after="0" w:line="277" w:lineRule="auto"/>
        <w:rPr>
          <w:sz w:val="20"/>
          <w:szCs w:val="20"/>
          <w:color w:val="auto"/>
        </w:rPr>
      </w:pPr>
      <w:r>
        <w:rPr>
          <w:rFonts w:ascii="Arial" w:cs="Arial" w:eastAsia="Arial" w:hAnsi="Arial"/>
          <w:sz w:val="18"/>
          <w:szCs w:val="18"/>
          <w:color w:val="auto"/>
        </w:rPr>
        <w:t>As of the date hereof, the Fund and the GP may be deemed to be the beneficial owners of 3,224,849 Shares, constituting 7.8% of the Shares, based upon 41,124,727* Shares outstanding.</w:t>
      </w:r>
    </w:p>
    <w:p>
      <w:pPr>
        <w:spacing w:after="0" w:line="170" w:lineRule="exact"/>
        <w:rPr>
          <w:sz w:val="20"/>
          <w:szCs w:val="20"/>
          <w:color w:val="auto"/>
        </w:rPr>
      </w:pPr>
    </w:p>
    <w:p>
      <w:pPr>
        <w:jc w:val="both"/>
        <w:ind w:left="1920" w:right="180"/>
        <w:spacing w:after="0" w:line="263" w:lineRule="auto"/>
        <w:rPr>
          <w:sz w:val="20"/>
          <w:szCs w:val="20"/>
          <w:color w:val="auto"/>
        </w:rPr>
      </w:pPr>
      <w:r>
        <w:rPr>
          <w:rFonts w:ascii="Arial" w:cs="Arial" w:eastAsia="Arial" w:hAnsi="Arial"/>
          <w:sz w:val="18"/>
          <w:szCs w:val="18"/>
          <w:color w:val="auto"/>
        </w:rPr>
        <w:t>The Fund and the GP have the sole power to vote or direct the vote of 0 Shares; have the shared power to vote or direct the vote of 3,224,849 Shares; have the sole power to dispose or direct the disposition of 0 Shares; and have the shared power to dispose or direct the disposition of 3,224,849 Shares.</w:t>
      </w:r>
    </w:p>
    <w:p>
      <w:pPr>
        <w:spacing w:after="0" w:line="184" w:lineRule="exact"/>
        <w:rPr>
          <w:sz w:val="20"/>
          <w:szCs w:val="20"/>
          <w:color w:val="auto"/>
        </w:rPr>
      </w:pPr>
    </w:p>
    <w:p>
      <w:pPr>
        <w:ind w:left="1920" w:right="660"/>
        <w:spacing w:after="0" w:line="277" w:lineRule="auto"/>
        <w:rPr>
          <w:sz w:val="20"/>
          <w:szCs w:val="20"/>
          <w:color w:val="auto"/>
        </w:rPr>
      </w:pPr>
      <w:r>
        <w:rPr>
          <w:rFonts w:ascii="Arial" w:cs="Arial" w:eastAsia="Arial" w:hAnsi="Arial"/>
          <w:sz w:val="18"/>
          <w:szCs w:val="18"/>
          <w:color w:val="auto"/>
        </w:rPr>
        <w:t>The transactions by the Reporting Persons in the Shares during the past sixty days are set forth in Exhibit B. All such transactions were carried out in open market transactions.</w:t>
      </w:r>
    </w:p>
    <w:p>
      <w:pPr>
        <w:spacing w:after="0" w:line="170"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All of the Shares are beneficially owned by the Fund and another private investment fund managed by Casdin.</w:t>
      </w:r>
    </w:p>
    <w:p>
      <w:pPr>
        <w:spacing w:after="0" w:line="225" w:lineRule="exact"/>
        <w:rPr>
          <w:sz w:val="20"/>
          <w:szCs w:val="20"/>
          <w:color w:val="auto"/>
        </w:rPr>
      </w:pPr>
    </w:p>
    <w:p>
      <w:pPr>
        <w:ind w:left="1920" w:right="160"/>
        <w:spacing w:after="0" w:line="277" w:lineRule="auto"/>
        <w:rPr>
          <w:sz w:val="20"/>
          <w:szCs w:val="20"/>
          <w:color w:val="auto"/>
        </w:rPr>
      </w:pPr>
      <w:r>
        <w:rPr>
          <w:rFonts w:ascii="Arial" w:cs="Arial" w:eastAsia="Arial" w:hAnsi="Arial"/>
          <w:sz w:val="18"/>
          <w:szCs w:val="18"/>
          <w:color w:val="auto"/>
        </w:rPr>
        <w:t>*This outstanding Shares figure reflects the number of outstanding Shares as reported in the Form 424B4 filed by the Issuer on July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1158875</wp:posOffset>
            </wp:positionH>
            <wp:positionV relativeFrom="paragraph">
              <wp:posOffset>-19050</wp:posOffset>
            </wp:positionV>
            <wp:extent cx="5915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15025" cy="8890"/>
                    </a:xfrm>
                    <a:prstGeom prst="rect">
                      <a:avLst/>
                    </a:prstGeom>
                    <a:noFill/>
                  </pic:spPr>
                </pic:pic>
              </a:graphicData>
            </a:graphic>
          </wp:anchor>
        </w:drawing>
      </w:r>
    </w:p>
    <w:p>
      <w:pPr>
        <w:spacing w:after="0" w:line="15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Contracts, Arrangements, Understandings or Relationships with Respect to Securities of the Issuer.</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151765</wp:posOffset>
            </wp:positionV>
            <wp:extent cx="6489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Material to be Filed as Exhibits.</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Exhibit A: Joint Filing Agreement</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Exhibit B: Schedule of Transactions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142875</wp:posOffset>
            </wp:positionV>
            <wp:extent cx="6489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443230</wp:posOffset>
            </wp:positionV>
            <wp:extent cx="71323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000"/>
          </w:cols>
          <w:pgMar w:left="420" w:top="476" w:right="4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August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3488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jc w:val="center"/>
        <w:ind w:left="486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Casdin Capital, LLC*</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Casdin Partners Master Fund, L.P.</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Casdin Partners GP, LLC, its general partner</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Casdin Partners GP, LLC*</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Eli Casdin</w:t>
      </w:r>
    </w:p>
    <w:p>
      <w:pPr>
        <w:spacing w:after="0" w:line="200" w:lineRule="exact"/>
        <w:rPr>
          <w:sz w:val="20"/>
          <w:szCs w:val="20"/>
          <w:color w:val="auto"/>
        </w:rPr>
      </w:pPr>
    </w:p>
    <w:p>
      <w:pPr>
        <w:spacing w:after="0" w:line="240" w:lineRule="exact"/>
        <w:rPr>
          <w:sz w:val="20"/>
          <w:szCs w:val="20"/>
          <w:color w:val="auto"/>
        </w:rPr>
      </w:pPr>
    </w:p>
    <w:p>
      <w:pPr>
        <w:jc w:val="both"/>
        <w:ind w:firstLine="8"/>
        <w:spacing w:after="0" w:line="263" w:lineRule="auto"/>
        <w:tabs>
          <w:tab w:leader="none" w:pos="1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reporting person disclaims beneficial ownership of these reported securities except to the extent of its pecuniary interest therein, and this report shall not be deemed an admission that any such person is the beneficial owner of these securities for purposes of Section 16 of the U.S. Securities Exchange Act of 1934, as amended, or for any other purpose.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agree that this Schedule 13D, dated August 9, 2021, relating to the Common Stock, $0.0001 par value per share, of Tenaya Therapeutics, Inc. shall be filed on behalf of the undersigned.</w:t>
      </w:r>
    </w:p>
    <w:p>
      <w:pPr>
        <w:spacing w:after="0" w:line="170"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August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3488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jc w:val="center"/>
        <w:ind w:left="484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Casdin Capital, LLC</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Casdin Partners Master Fund, L.P.</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Casdin Partners GP, LLC, its general partner</w:t>
      </w:r>
    </w:p>
    <w:p>
      <w:pPr>
        <w:spacing w:after="0" w:line="211"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Casdin Partners GP, LLC</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4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tbl>
      <w:tblPr>
        <w:tblLayout w:type="fixed"/>
        <w:tblInd w:w="10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color w:val="auto"/>
                <w:w w:val="95"/>
              </w:rPr>
              <w:t>Exhibit B</w:t>
            </w:r>
          </w:p>
        </w:tc>
      </w:tr>
      <w:tr>
        <w:trPr>
          <w:trHeight w:val="648"/>
        </w:trPr>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60" w:type="dxa"/>
            <w:vAlign w:val="bottom"/>
          </w:tcPr>
          <w:p>
            <w:pPr>
              <w:ind w:left="1060"/>
              <w:spacing w:after="0"/>
              <w:rPr>
                <w:sz w:val="20"/>
                <w:szCs w:val="20"/>
                <w:color w:val="auto"/>
              </w:rPr>
            </w:pPr>
            <w:r>
              <w:rPr>
                <w:rFonts w:ascii="Arial" w:cs="Arial" w:eastAsia="Arial" w:hAnsi="Arial"/>
                <w:sz w:val="18"/>
                <w:szCs w:val="18"/>
                <w:b w:val="1"/>
                <w:bCs w:val="1"/>
                <w:color w:val="auto"/>
                <w:w w:val="87"/>
              </w:rPr>
              <w:t>Schedule of Transactions in Shares</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91"/>
        </w:trPr>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auto"/>
                <w:w w:val="87"/>
              </w:rPr>
              <w:t>Number of Shares</w:t>
            </w:r>
          </w:p>
        </w:tc>
        <w:tc>
          <w:tcPr>
            <w:tcW w:w="26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Number of Shares</w:t>
            </w:r>
          </w:p>
        </w:tc>
        <w:tc>
          <w:tcPr>
            <w:tcW w:w="2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color w:val="auto"/>
              </w:rPr>
              <w:t>Price Per</w:t>
            </w:r>
          </w:p>
        </w:tc>
      </w:tr>
      <w:tr>
        <w:trPr>
          <w:trHeight w:val="196"/>
        </w:trPr>
        <w:tc>
          <w:tcPr>
            <w:tcW w:w="2160" w:type="dxa"/>
            <w:vAlign w:val="bottom"/>
            <w:gridSpan w:val="2"/>
          </w:tcPr>
          <w:p>
            <w:pPr>
              <w:spacing w:after="0" w:line="196" w:lineRule="exact"/>
              <w:rPr>
                <w:sz w:val="20"/>
                <w:szCs w:val="20"/>
                <w:color w:val="auto"/>
              </w:rPr>
            </w:pPr>
            <w:r>
              <w:rPr>
                <w:rFonts w:ascii="Arial" w:cs="Arial" w:eastAsia="Arial" w:hAnsi="Arial"/>
                <w:sz w:val="18"/>
                <w:szCs w:val="18"/>
                <w:color w:val="auto"/>
              </w:rPr>
              <w:t>Date of Transaction</w:t>
            </w:r>
          </w:p>
        </w:tc>
        <w:tc>
          <w:tcPr>
            <w:tcW w:w="4720" w:type="dxa"/>
            <w:vAlign w:val="bottom"/>
            <w:gridSpan w:val="2"/>
          </w:tcPr>
          <w:p>
            <w:pPr>
              <w:spacing w:after="0" w:line="196" w:lineRule="exact"/>
              <w:rPr>
                <w:sz w:val="20"/>
                <w:szCs w:val="20"/>
                <w:color w:val="auto"/>
              </w:rPr>
            </w:pPr>
            <w:r>
              <w:rPr>
                <w:rFonts w:ascii="Arial" w:cs="Arial" w:eastAsia="Arial" w:hAnsi="Arial"/>
                <w:sz w:val="18"/>
                <w:szCs w:val="18"/>
                <w:color w:val="auto"/>
              </w:rPr>
              <w:t>Title of Class</w:t>
            </w:r>
          </w:p>
        </w:tc>
        <w:tc>
          <w:tcPr>
            <w:tcW w:w="13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Acquired</w:t>
            </w:r>
          </w:p>
        </w:tc>
        <w:tc>
          <w:tcPr>
            <w:tcW w:w="260" w:type="dxa"/>
            <w:vAlign w:val="bottom"/>
          </w:tcPr>
          <w:p>
            <w:pPr>
              <w:spacing w:after="0"/>
              <w:rPr>
                <w:sz w:val="17"/>
                <w:szCs w:val="17"/>
                <w:color w:val="auto"/>
              </w:rPr>
            </w:pPr>
          </w:p>
        </w:tc>
        <w:tc>
          <w:tcPr>
            <w:tcW w:w="132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Disposed</w:t>
            </w:r>
          </w:p>
        </w:tc>
        <w:tc>
          <w:tcPr>
            <w:tcW w:w="240" w:type="dxa"/>
            <w:vAlign w:val="bottom"/>
          </w:tcPr>
          <w:p>
            <w:pPr>
              <w:spacing w:after="0"/>
              <w:rPr>
                <w:sz w:val="17"/>
                <w:szCs w:val="17"/>
                <w:color w:val="auto"/>
              </w:rPr>
            </w:pPr>
          </w:p>
        </w:tc>
        <w:tc>
          <w:tcPr>
            <w:tcW w:w="66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color w:val="auto"/>
              </w:rPr>
              <w:t>Share</w:t>
            </w:r>
          </w:p>
        </w:tc>
        <w:tc>
          <w:tcPr>
            <w:tcW w:w="480" w:type="dxa"/>
            <w:vAlign w:val="bottom"/>
          </w:tcPr>
          <w:p>
            <w:pPr>
              <w:spacing w:after="0"/>
              <w:rPr>
                <w:sz w:val="17"/>
                <w:szCs w:val="17"/>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654"/>
        </w:trPr>
        <w:tc>
          <w:tcPr>
            <w:tcW w:w="1420" w:type="dxa"/>
            <w:vAlign w:val="bottom"/>
          </w:tcPr>
          <w:p>
            <w:pPr>
              <w:spacing w:after="0"/>
              <w:rPr>
                <w:sz w:val="20"/>
                <w:szCs w:val="20"/>
                <w:color w:val="auto"/>
              </w:rPr>
            </w:pPr>
            <w:r>
              <w:rPr>
                <w:rFonts w:ascii="Arial" w:cs="Arial" w:eastAsia="Arial" w:hAnsi="Arial"/>
                <w:sz w:val="18"/>
                <w:szCs w:val="18"/>
                <w:color w:val="auto"/>
              </w:rPr>
              <w:t>8/03/2021</w:t>
            </w:r>
          </w:p>
        </w:tc>
        <w:tc>
          <w:tcPr>
            <w:tcW w:w="74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Series B Preferred Stock</w:t>
            </w:r>
          </w:p>
        </w:tc>
        <w:tc>
          <w:tcPr>
            <w:tcW w:w="1300" w:type="dxa"/>
            <w:vAlign w:val="bottom"/>
            <w:gridSpan w:val="2"/>
          </w:tcPr>
          <w:p>
            <w:pPr>
              <w:spacing w:after="0"/>
              <w:rPr>
                <w:sz w:val="20"/>
                <w:szCs w:val="20"/>
                <w:color w:val="auto"/>
              </w:rPr>
            </w:pPr>
            <w:r>
              <w:rPr>
                <w:rFonts w:ascii="Arial" w:cs="Arial" w:eastAsia="Arial" w:hAnsi="Arial"/>
                <w:sz w:val="18"/>
                <w:szCs w:val="18"/>
                <w:color w:val="auto"/>
              </w:rPr>
              <w:t>2,012,880*</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8/03/2021</w:t>
            </w:r>
          </w:p>
        </w:tc>
        <w:tc>
          <w:tcPr>
            <w:tcW w:w="74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1300" w:type="dxa"/>
            <w:vAlign w:val="bottom"/>
            <w:gridSpan w:val="2"/>
          </w:tcPr>
          <w:p>
            <w:pPr>
              <w:spacing w:after="0"/>
              <w:rPr>
                <w:sz w:val="20"/>
                <w:szCs w:val="20"/>
                <w:color w:val="auto"/>
              </w:rPr>
            </w:pPr>
            <w:r>
              <w:rPr>
                <w:rFonts w:ascii="Arial" w:cs="Arial" w:eastAsia="Arial" w:hAnsi="Arial"/>
                <w:sz w:val="18"/>
                <w:szCs w:val="18"/>
                <w:color w:val="auto"/>
              </w:rPr>
              <w:t>361,969*</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8/03/2021</w:t>
            </w:r>
          </w:p>
        </w:tc>
        <w:tc>
          <w:tcPr>
            <w:tcW w:w="74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1300" w:type="dxa"/>
            <w:vAlign w:val="bottom"/>
            <w:gridSpan w:val="2"/>
          </w:tcPr>
          <w:p>
            <w:pPr>
              <w:spacing w:after="0"/>
              <w:rPr>
                <w:sz w:val="20"/>
                <w:szCs w:val="20"/>
                <w:color w:val="auto"/>
              </w:rPr>
            </w:pPr>
            <w:r>
              <w:rPr>
                <w:rFonts w:ascii="Arial" w:cs="Arial" w:eastAsia="Arial" w:hAnsi="Arial"/>
                <w:sz w:val="18"/>
                <w:szCs w:val="18"/>
                <w:color w:val="auto"/>
              </w:rPr>
              <w:t>361,969*</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8/03/2021</w:t>
            </w:r>
          </w:p>
        </w:tc>
        <w:tc>
          <w:tcPr>
            <w:tcW w:w="74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Common Stock, $0.0001 par value</w:t>
            </w:r>
          </w:p>
        </w:tc>
        <w:tc>
          <w:tcPr>
            <w:tcW w:w="660" w:type="dxa"/>
            <w:vAlign w:val="bottom"/>
          </w:tcPr>
          <w:p>
            <w:pPr>
              <w:spacing w:after="0"/>
              <w:rPr>
                <w:sz w:val="20"/>
                <w:szCs w:val="20"/>
                <w:color w:val="auto"/>
              </w:rPr>
            </w:pPr>
            <w:r>
              <w:rPr>
                <w:rFonts w:ascii="Arial" w:cs="Arial" w:eastAsia="Arial" w:hAnsi="Arial"/>
                <w:sz w:val="18"/>
                <w:szCs w:val="18"/>
                <w:color w:val="auto"/>
                <w:w w:val="98"/>
              </w:rPr>
              <w:t>850,000</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gridSpan w:val="3"/>
          </w:tcPr>
          <w:p>
            <w:pPr>
              <w:ind w:left="240"/>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share of Series B Preferred Stock and Series C Preferred Stock automatically converted into one share of Common Stock immediately prior to the completion of the Issuer's initial public offering and had no expiration date.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Form 3s filed by the Reporting Persons on July 29, 2021 and the Form 4s filed by the Reporting Persons on August 3, 2021 are incorporated herein by reference.</w:t>
      </w:r>
    </w:p>
    <w:sectPr>
      <w:pgSz w:w="11900" w:h="16838" w:orient="portrait"/>
      <w:cols w:equalWidth="0" w:num="1">
        <w:col w:w="11240"/>
      </w:cols>
      <w:pgMar w:left="320" w:top="4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3"/>
    </w:lvl>
  </w:abstractNum>
  <w:abstractNum w:abstractNumId="3">
    <w:nsid w:val="DED7263"/>
    <w:multiLevelType w:val="hybridMultilevel"/>
    <w:lvl w:ilvl="0">
      <w:lvlJc w:val="left"/>
      <w:lvlText w:val="%1."/>
      <w:numFmt w:val="decimal"/>
      <w:start w:val="6"/>
    </w:lvl>
  </w:abstractNum>
  <w:abstractNum w:abstractNumId="4">
    <w:nsid w:val="7FDCC233"/>
    <w:multiLevelType w:val="hybridMultilevel"/>
    <w:lvl w:ilvl="0">
      <w:lvlJc w:val="left"/>
      <w:lvlText w:val="%1."/>
      <w:numFmt w:val="decimal"/>
      <w:start w:val="7"/>
    </w:lvl>
  </w:abstractNum>
  <w:abstractNum w:abstractNumId="5">
    <w:nsid w:val="1BEFD79F"/>
    <w:multiLevelType w:val="hybridMultilevel"/>
    <w:lvl w:ilvl="0">
      <w:lvlJc w:val="left"/>
      <w:lvlText w:val="%1."/>
      <w:numFmt w:val="decimal"/>
      <w:start w:val="13"/>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3"/>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13"/>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1."/>
      <w:numFmt w:val="decimal"/>
      <w:start w:val="6"/>
    </w:lvl>
  </w:abstractNum>
  <w:abstractNum w:abstractNumId="14">
    <w:nsid w:val="257130A3"/>
    <w:multiLevelType w:val="hybridMultilevel"/>
    <w:lvl w:ilvl="0">
      <w:lvlJc w:val="left"/>
      <w:lvlText w:val="%1."/>
      <w:numFmt w:val="decimal"/>
      <w:start w:val="7"/>
    </w:lvl>
  </w:abstractNum>
  <w:abstractNum w:abstractNumId="15">
    <w:nsid w:val="62BBD95A"/>
    <w:multiLevelType w:val="hybridMultilevel"/>
    <w:lvl w:ilvl="0">
      <w:lvlJc w:val="left"/>
      <w:lvlText w:val="%1."/>
      <w:numFmt w:val="decimal"/>
      <w:start w:val="13"/>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3"/>
    </w:lvl>
  </w:abstractNum>
  <w:abstractNum w:abstractNumId="18">
    <w:nsid w:val="333AB105"/>
    <w:multiLevelType w:val="hybridMultilevel"/>
    <w:lvl w:ilvl="0">
      <w:lvlJc w:val="left"/>
      <w:lvlText w:val="%1."/>
      <w:numFmt w:val="decimal"/>
      <w:start w:val="6"/>
    </w:lvl>
  </w:abstractNum>
  <w:abstractNum w:abstractNumId="19">
    <w:nsid w:val="721DA317"/>
    <w:multiLevelType w:val="hybridMultilevel"/>
    <w:lvl w:ilvl="0">
      <w:lvlJc w:val="left"/>
      <w:lvlText w:val="%1."/>
      <w:numFmt w:val="decimal"/>
      <w:start w:val="7"/>
    </w:lvl>
  </w:abstractNum>
  <w:abstractNum w:abstractNumId="20">
    <w:nsid w:val="2443A858"/>
    <w:multiLevelType w:val="hybridMultilevel"/>
    <w:lvl w:ilvl="0">
      <w:lvlJc w:val="left"/>
      <w:lvlText w:val="%1."/>
      <w:numFmt w:val="decimal"/>
      <w:start w:val="13"/>
    </w:lvl>
  </w:abstractNum>
  <w:abstractNum w:abstractNumId="21">
    <w:nsid w:val="2D1D5AE9"/>
    <w:multiLevelType w:val="hybridMultilevel"/>
    <w:lvl w:ilvl="0">
      <w:lvlJc w:val="left"/>
      <w:lvlText w:val="(%1)"/>
      <w:numFmt w:val="lowerLetter"/>
      <w:start w:val="2"/>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2021-08-09T13:09:04Z</dcterms:created>
  <dcterms:modified xsi:type="dcterms:W3CDTF">2021-08-09T13:09:04Z</dcterms:modified>
</cp:coreProperties>
</file>