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43"/>
        <w:spacing w:after="0"/>
        <w:rPr>
          <w:sz w:val="20"/>
          <w:szCs w:val="20"/>
          <w:color w:val="auto"/>
        </w:rPr>
      </w:pPr>
      <w:r>
        <w:rPr>
          <w:rFonts w:ascii="Times New Roman" w:cs="Times New Roman" w:eastAsia="Times New Roman" w:hAnsi="Times New Roman"/>
          <w:sz w:val="40"/>
          <w:szCs w:val="40"/>
          <w:b w:val="1"/>
          <w:bCs w:val="1"/>
          <w:color w:val="auto"/>
        </w:rPr>
        <w:t>TENAYA THERAPEUTICS, INC.</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Common Stock, $0.0001 par value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87990A106</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James Evangelista</w:t>
      </w:r>
    </w:p>
    <w:p>
      <w:pPr>
        <w:spacing w:after="0" w:line="3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The Column Group</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1 Letterman Drive,</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Building D, Suite DM-900</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San Francisco, CA 94129</w:t>
      </w:r>
    </w:p>
    <w:p>
      <w:pPr>
        <w:spacing w:after="0" w:line="9"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(415) 865-2050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4"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February 8, 2023</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304800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left="4"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9" w:lineRule="exact"/>
        <w:rPr>
          <w:sz w:val="24"/>
          <w:szCs w:val="24"/>
          <w:color w:val="auto"/>
        </w:rPr>
      </w:pPr>
    </w:p>
    <w:p>
      <w:pPr>
        <w:ind w:left="4" w:right="2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60960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1" w:lineRule="exact"/>
        <w:rPr>
          <w:sz w:val="24"/>
          <w:szCs w:val="24"/>
          <w:color w:val="auto"/>
        </w:rPr>
      </w:pPr>
    </w:p>
    <w:p>
      <w:pPr>
        <w:ind w:left="424" w:hanging="424"/>
        <w:spacing w:after="0" w:line="282" w:lineRule="auto"/>
        <w:tabs>
          <w:tab w:leader="none" w:pos="42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as amended (“</w:t>
      </w:r>
      <w:r>
        <w:rPr>
          <w:rFonts w:ascii="Times New Roman" w:cs="Times New Roman" w:eastAsia="Times New Roman" w:hAnsi="Times New Roman"/>
          <w:sz w:val="18"/>
          <w:szCs w:val="18"/>
          <w:u w:val="single" w:color="auto"/>
          <w:color w:val="auto"/>
        </w:rPr>
        <w:t>Securities Exchange Act</w:t>
      </w:r>
      <w:r>
        <w:rPr>
          <w:rFonts w:ascii="Times New Roman" w:cs="Times New Roman" w:eastAsia="Times New Roman" w:hAnsi="Times New Roman"/>
          <w:sz w:val="18"/>
          <w:szCs w:val="18"/>
          <w:color w:val="auto"/>
        </w:rPr>
        <w:t>”) or otherwise subject to the liabilities of that section of the Securities Exchange Act but shall be subject to all other provisions of the Securities Exchange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140335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183515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87990A106</w:t>
      </w:r>
    </w:p>
    <w:p>
      <w:pPr>
        <w:spacing w:after="0" w:line="266" w:lineRule="exact"/>
        <w:rPr>
          <w:sz w:val="20"/>
          <w:szCs w:val="20"/>
          <w:color w:val="auto"/>
        </w:rPr>
      </w:pPr>
    </w:p>
    <w:p>
      <w:pPr>
        <w:jc w:val="both"/>
        <w:ind w:left="644" w:right="8320" w:hanging="397"/>
        <w:spacing w:after="0" w:line="406" w:lineRule="auto"/>
        <w:tabs>
          <w:tab w:leader="none" w:pos="64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 The Column Group III, LP</w:t>
      </w:r>
    </w:p>
    <w:p>
      <w:pPr>
        <w:spacing w:after="0" w:line="1"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7"/>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4,414,720 (1)</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hanging="516"/>
        <w:spacing w:after="0"/>
        <w:tabs>
          <w:tab w:leader="none" w:pos="174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32" w:lineRule="exact"/>
        <w:rPr>
          <w:rFonts w:ascii="Times New Roman" w:cs="Times New Roman" w:eastAsia="Times New Roman" w:hAnsi="Times New Roman"/>
          <w:sz w:val="18"/>
          <w:szCs w:val="18"/>
          <w:color w:val="auto"/>
        </w:rPr>
      </w:pPr>
    </w:p>
    <w:p>
      <w:pPr>
        <w:ind w:left="1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4,414,720 (1)</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4,414,720 (1)</w:t>
      </w:r>
    </w:p>
    <w:p>
      <w:pPr>
        <w:spacing w:after="0" w:line="36"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 (2)</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hanging="424"/>
        <w:spacing w:after="0" w:line="254"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shares are held of record by TCG III LP (as defined in Item 2(a) below). TCG III GP LP (as defined in Item 2(a) below) is the general partner of TCG III LP and may be deemed to have voting, investment and dispositive power with respect to these securities. Peter Svennilson, David Goeddel, a member of the Issuer’s board of directors, and Tim Kutzkey are the managing partners of TCG III GP LP and may each be deemed to share voting, investment and dispositive power with respect to these securities. All shares are held of record by TCG LP (as defined in Item 2(a) below).</w:t>
      </w:r>
    </w:p>
    <w:p>
      <w:pPr>
        <w:spacing w:after="0" w:line="3" w:lineRule="exact"/>
        <w:rPr>
          <w:rFonts w:ascii="Times New Roman" w:cs="Times New Roman" w:eastAsia="Times New Roman" w:hAnsi="Times New Roman"/>
          <w:sz w:val="18"/>
          <w:szCs w:val="18"/>
          <w:color w:val="auto"/>
        </w:rPr>
      </w:pPr>
    </w:p>
    <w:p>
      <w:pPr>
        <w:ind w:left="424" w:right="80" w:hanging="424"/>
        <w:spacing w:after="0" w:line="253"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63,987,996 shares of Common Stock outstanding after the conclusion of the Follow-on Offering (as defined in Item 3 below and assuming the underwriters do not exercise in full the option to purchase additional shares) and as reported in the Prospectus Supplement filed by the Issuer pursuant to Rule 424(b)(5) with the Commission (as defined in the Introductory Note below) on November 17, 2022 (the “Prospectus Supplement”).</w:t>
      </w:r>
    </w:p>
    <w:p>
      <w:pPr>
        <w:sectPr>
          <w:pgSz w:w="11900" w:h="16838" w:orient="portrait"/>
          <w:cols w:equalWidth="0" w:num="1">
            <w:col w:w="10904"/>
          </w:cols>
          <w:pgMar w:left="436" w:top="270" w:right="559" w:bottom="1440" w:gutter="0" w:footer="0" w:header="0"/>
        </w:sectPr>
      </w:pPr>
    </w:p>
    <w:bookmarkStart w:id="2" w:name="page3"/>
    <w:bookmarkEnd w:id="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87990A106</w:t>
      </w:r>
    </w:p>
    <w:p>
      <w:pPr>
        <w:spacing w:after="0" w:line="266" w:lineRule="exact"/>
        <w:rPr>
          <w:sz w:val="20"/>
          <w:szCs w:val="20"/>
          <w:color w:val="auto"/>
        </w:rPr>
      </w:pPr>
    </w:p>
    <w:p>
      <w:pPr>
        <w:ind w:left="644" w:right="8120" w:hanging="397"/>
        <w:spacing w:after="0" w:line="406" w:lineRule="auto"/>
        <w:tabs>
          <w:tab w:leader="none" w:pos="64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 The Column Group III-A, LP</w:t>
      </w:r>
    </w:p>
    <w:p>
      <w:pPr>
        <w:spacing w:after="0" w:line="1"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4,985,570 (1)</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hanging="516"/>
        <w:spacing w:after="0"/>
        <w:tabs>
          <w:tab w:leader="none" w:pos="174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32" w:lineRule="exact"/>
        <w:rPr>
          <w:rFonts w:ascii="Times New Roman" w:cs="Times New Roman" w:eastAsia="Times New Roman" w:hAnsi="Times New Roman"/>
          <w:sz w:val="18"/>
          <w:szCs w:val="18"/>
          <w:color w:val="auto"/>
        </w:rPr>
      </w:pPr>
    </w:p>
    <w:p>
      <w:pPr>
        <w:ind w:left="1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4,985,570 (1)</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4,985,570 (1)</w:t>
      </w:r>
    </w:p>
    <w:p>
      <w:pPr>
        <w:spacing w:after="0" w:line="36"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7.8% (2)</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right="40" w:hanging="424"/>
        <w:spacing w:after="0" w:line="255"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shares are held of record by TCG III-A LP (as defined in Item 2(a) below). TCG III GP LP is the general partner of TCG III-A LP and may be deemed to have voting, investment and dispositive power with respect to these securities. Peter Svennilson, David Goeddel, a member of the Issuer’s board of directors, and Tim Kutzkey are the managing partners of TCG III GP LP and may each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right="320" w:hanging="424"/>
        <w:spacing w:after="0" w:line="260" w:lineRule="auto"/>
        <w:tabs>
          <w:tab w:leader="none" w:pos="42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63,987,996 shares of Common Stock outstanding after the conclusion of the Follow-on Offering (assuming the underwriters do not exercise in full the option to purchase additional shares) and as reported in the Prospectus Supplement.</w:t>
      </w:r>
    </w:p>
    <w:p>
      <w:pPr>
        <w:sectPr>
          <w:pgSz w:w="11900" w:h="16838" w:orient="portrait"/>
          <w:cols w:equalWidth="0" w:num="1">
            <w:col w:w="10904"/>
          </w:cols>
          <w:pgMar w:left="436" w:top="270" w:right="559" w:bottom="1440" w:gutter="0" w:footer="0" w:header="0"/>
        </w:sectPr>
      </w:pPr>
    </w:p>
    <w:bookmarkStart w:id="3" w:name="page4"/>
    <w:bookmarkEnd w:id="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87990A106</w:t>
      </w:r>
    </w:p>
    <w:p>
      <w:pPr>
        <w:spacing w:after="0" w:line="266" w:lineRule="exact"/>
        <w:rPr>
          <w:sz w:val="20"/>
          <w:szCs w:val="20"/>
          <w:color w:val="auto"/>
        </w:rPr>
      </w:pPr>
    </w:p>
    <w:p>
      <w:pPr>
        <w:ind w:left="644" w:right="8060" w:hanging="397"/>
        <w:spacing w:after="0" w:line="430" w:lineRule="auto"/>
        <w:tabs>
          <w:tab w:leader="none" w:pos="647"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The Column Group III GP, LP</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7"/>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9,400,290 (1)</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hanging="516"/>
        <w:spacing w:after="0"/>
        <w:tabs>
          <w:tab w:leader="none" w:pos="1744"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32" w:lineRule="exact"/>
        <w:rPr>
          <w:rFonts w:ascii="Times New Roman" w:cs="Times New Roman" w:eastAsia="Times New Roman" w:hAnsi="Times New Roman"/>
          <w:sz w:val="18"/>
          <w:szCs w:val="18"/>
          <w:color w:val="auto"/>
        </w:rPr>
      </w:pPr>
    </w:p>
    <w:p>
      <w:pPr>
        <w:ind w:left="1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9,400,290 (1)</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9,400,290 (1)</w:t>
      </w:r>
    </w:p>
    <w:p>
      <w:pPr>
        <w:spacing w:after="0" w:line="36"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 (2)</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jc w:val="both"/>
        <w:ind w:left="424" w:right="200" w:hanging="424"/>
        <w:spacing w:after="0" w:line="255"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4,414,720 shares held of record by TCG III LP and (ii) 4,985,570 shares held of record by TCG III-A LP. TCG III GP LP is the general partner of each of TCG III LP and TCG III-A LP and may be deemed to have voting, investment and dispositive power with respect to these securities. Peter Svennilson, David Goeddel, a member of the Issuer’s board of directors, and Tim Kutzkey are the managing partners of TCG III GP LP and may each be deemed to share voting, investment and dispositive power with respect to these securities.</w:t>
      </w:r>
    </w:p>
    <w:p>
      <w:pPr>
        <w:spacing w:after="0" w:line="2" w:lineRule="exact"/>
        <w:rPr>
          <w:rFonts w:ascii="Times New Roman" w:cs="Times New Roman" w:eastAsia="Times New Roman" w:hAnsi="Times New Roman"/>
          <w:sz w:val="18"/>
          <w:szCs w:val="18"/>
          <w:color w:val="auto"/>
        </w:rPr>
      </w:pPr>
    </w:p>
    <w:p>
      <w:pPr>
        <w:ind w:left="424" w:right="320" w:hanging="424"/>
        <w:spacing w:after="0" w:line="260" w:lineRule="auto"/>
        <w:tabs>
          <w:tab w:leader="none" w:pos="4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63,987,996 shares of Common Stock outstanding after the conclusion of the Follow-on Offering (assuming the underwriters do not exercise in full the option to purchase additional shares) and as reported in the Prospectus Supplement.</w:t>
      </w:r>
    </w:p>
    <w:p>
      <w:pPr>
        <w:sectPr>
          <w:pgSz w:w="11900" w:h="16838" w:orient="portrait"/>
          <w:cols w:equalWidth="0" w:num="1">
            <w:col w:w="10904"/>
          </w:cols>
          <w:pgMar w:left="436" w:top="270" w:right="559" w:bottom="1440" w:gutter="0" w:footer="0" w:header="0"/>
        </w:sectPr>
      </w:pPr>
    </w:p>
    <w:bookmarkStart w:id="4" w:name="page5"/>
    <w:bookmarkEnd w:id="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87990A106</w:t>
      </w:r>
    </w:p>
    <w:p>
      <w:pPr>
        <w:spacing w:after="0" w:line="266" w:lineRule="exact"/>
        <w:rPr>
          <w:sz w:val="20"/>
          <w:szCs w:val="20"/>
          <w:color w:val="auto"/>
        </w:rPr>
      </w:pPr>
    </w:p>
    <w:p>
      <w:pPr>
        <w:ind w:left="664" w:hanging="417"/>
        <w:spacing w:after="0"/>
        <w:tabs>
          <w:tab w:leader="none" w:pos="6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Column Group Opportunity III, LP</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WC</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11,370,274 (1)</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hanging="516"/>
        <w:spacing w:after="0"/>
        <w:tabs>
          <w:tab w:leader="none" w:pos="1744"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32" w:lineRule="exact"/>
        <w:rPr>
          <w:rFonts w:ascii="Times New Roman" w:cs="Times New Roman" w:eastAsia="Times New Roman" w:hAnsi="Times New Roman"/>
          <w:sz w:val="18"/>
          <w:szCs w:val="18"/>
          <w:color w:val="auto"/>
        </w:rPr>
      </w:pPr>
    </w:p>
    <w:p>
      <w:pPr>
        <w:ind w:left="1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11,370,274 (1)</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11,370,274 (1)</w:t>
      </w:r>
    </w:p>
    <w:p>
      <w:pPr>
        <w:spacing w:after="0" w:line="36"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 (2)</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shares are held of record by TCG Opportunity III LP (as defined in Item 2(a) below). TCG Opportunity III GP LP (as defined in Item</w:t>
      </w:r>
    </w:p>
    <w:p>
      <w:pPr>
        <w:spacing w:after="0" w:line="27" w:lineRule="exact"/>
        <w:rPr>
          <w:rFonts w:ascii="Times New Roman" w:cs="Times New Roman" w:eastAsia="Times New Roman" w:hAnsi="Times New Roman"/>
          <w:sz w:val="18"/>
          <w:szCs w:val="18"/>
          <w:color w:val="auto"/>
        </w:rPr>
      </w:pPr>
    </w:p>
    <w:p>
      <w:pPr>
        <w:ind w:left="424"/>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2(a) below) is the general partner of TCG Opportunity III LP and may be deemed to have voting, investment and dispositive power with respect to these securities. TCG Opportunity III GP LLC (as defined in Item 2(a) below) is the general partner of TCG Opportunity III GP LP and the ultimate general partner of TCG Opportunity III LP and may be deemed to have voting, investment and dispositive power with respect to these securities. Peter Svennilson, David Goeddel, a member of the Issuer’s board of directors, and Tim Kutzkey are the managing members of TCG Opportunity III GP LLC and may each be deemed to share voting, investment and dispositive power with respect to these securities.</w:t>
      </w:r>
    </w:p>
    <w:p>
      <w:pPr>
        <w:spacing w:after="0" w:line="1" w:lineRule="exact"/>
        <w:rPr>
          <w:rFonts w:ascii="Times New Roman" w:cs="Times New Roman" w:eastAsia="Times New Roman" w:hAnsi="Times New Roman"/>
          <w:sz w:val="18"/>
          <w:szCs w:val="18"/>
          <w:color w:val="auto"/>
        </w:rPr>
      </w:pPr>
    </w:p>
    <w:p>
      <w:pPr>
        <w:ind w:left="424" w:right="400" w:hanging="424"/>
        <w:spacing w:after="0" w:line="260" w:lineRule="auto"/>
        <w:tabs>
          <w:tab w:leader="none" w:pos="42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63,987,996 shares of Common Stock outstanding after the conclusion of the Follow-on Offering (assuming the underwriters do not exercise in full the option to purchase additional shares) and as reported in the Prospectus Supplement.</w:t>
      </w:r>
    </w:p>
    <w:p>
      <w:pPr>
        <w:sectPr>
          <w:pgSz w:w="11900" w:h="16838" w:orient="portrait"/>
          <w:cols w:equalWidth="0" w:num="1">
            <w:col w:w="10984"/>
          </w:cols>
          <w:pgMar w:left="436" w:top="270" w:right="479" w:bottom="1440" w:gutter="0" w:footer="0" w:header="0"/>
        </w:sectPr>
      </w:pPr>
    </w:p>
    <w:bookmarkStart w:id="5" w:name="page6"/>
    <w:bookmarkEnd w:id="5"/>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87990A106</w:t>
      </w:r>
    </w:p>
    <w:p>
      <w:pPr>
        <w:spacing w:after="0" w:line="266" w:lineRule="exact"/>
        <w:rPr>
          <w:sz w:val="20"/>
          <w:szCs w:val="20"/>
          <w:color w:val="auto"/>
        </w:rPr>
      </w:pPr>
    </w:p>
    <w:p>
      <w:pPr>
        <w:ind w:left="664" w:hanging="417"/>
        <w:spacing w:after="0"/>
        <w:tabs>
          <w:tab w:leader="none" w:pos="6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Column Group Opportunity III GP, LP</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11,370,274 (1)</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hanging="516"/>
        <w:spacing w:after="0"/>
        <w:tabs>
          <w:tab w:leader="none" w:pos="1744"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32" w:lineRule="exact"/>
        <w:rPr>
          <w:rFonts w:ascii="Times New Roman" w:cs="Times New Roman" w:eastAsia="Times New Roman" w:hAnsi="Times New Roman"/>
          <w:sz w:val="18"/>
          <w:szCs w:val="18"/>
          <w:color w:val="auto"/>
        </w:rPr>
      </w:pPr>
    </w:p>
    <w:p>
      <w:pPr>
        <w:ind w:left="1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11,370,274 (1)</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11,370,274 (1)</w:t>
      </w:r>
    </w:p>
    <w:p>
      <w:pPr>
        <w:spacing w:after="0" w:line="36"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 (2)</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shares are held of record by TCG Opportunity III LP. TCG Opportunity III GP LP is the general partner of TCG Opportunity III LP and may be deemed to have voting, investment and dispositive power with respect to these securities. TCG Opportunity III GP LLC is the general partner of TCG Opportunity III GP LP and the ultimate general partner of TCG Opportunity III LP and may be deemed to have voting, investment and dispositive power with respect to these securities. Peter Svennilson, David Goeddel, a member of the Issuer’s board of directors, and Tim Kutzkey are the managing members of TCG Opportunity III GP LLC and may each be deemed to share voting, investment and dispositive power with respect to these securities.</w:t>
      </w:r>
    </w:p>
    <w:p>
      <w:pPr>
        <w:spacing w:after="0" w:line="5" w:lineRule="exact"/>
        <w:rPr>
          <w:rFonts w:ascii="Times New Roman" w:cs="Times New Roman" w:eastAsia="Times New Roman" w:hAnsi="Times New Roman"/>
          <w:sz w:val="18"/>
          <w:szCs w:val="18"/>
          <w:color w:val="auto"/>
        </w:rPr>
      </w:pPr>
    </w:p>
    <w:p>
      <w:pPr>
        <w:ind w:left="424" w:right="400" w:hanging="424"/>
        <w:spacing w:after="0" w:line="260" w:lineRule="auto"/>
        <w:tabs>
          <w:tab w:leader="none" w:pos="42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63,987,996 shares of Common Stock outstanding after the conclusion of the Follow-on Offering (assuming the underwriters do not exercise in full the option to purchase additional shares) and as reported in the Prospectus Supplement.</w:t>
      </w:r>
    </w:p>
    <w:p>
      <w:pPr>
        <w:sectPr>
          <w:pgSz w:w="11900" w:h="16838" w:orient="portrait"/>
          <w:cols w:equalWidth="0" w:num="1">
            <w:col w:w="10984"/>
          </w:cols>
          <w:pgMar w:left="436" w:top="270" w:right="47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87990A106</w:t>
      </w:r>
    </w:p>
    <w:p>
      <w:pPr>
        <w:spacing w:after="0" w:line="266" w:lineRule="exact"/>
        <w:rPr>
          <w:sz w:val="20"/>
          <w:szCs w:val="20"/>
          <w:color w:val="auto"/>
        </w:rPr>
      </w:pPr>
    </w:p>
    <w:p>
      <w:pPr>
        <w:ind w:left="644" w:right="8140" w:hanging="397"/>
        <w:spacing w:after="0" w:line="430" w:lineRule="auto"/>
        <w:tabs>
          <w:tab w:leader="none" w:pos="647"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TCG Opportunity III GP, LLC</w:t>
      </w:r>
    </w:p>
    <w:p>
      <w:pPr>
        <w:spacing w:after="0" w:line="1" w:lineRule="exact"/>
        <w:rPr>
          <w:rFonts w:ascii="Times New Roman" w:cs="Times New Roman" w:eastAsia="Times New Roman" w:hAnsi="Times New Roman"/>
          <w:sz w:val="17"/>
          <w:szCs w:val="17"/>
          <w:color w:val="auto"/>
        </w:rPr>
      </w:pPr>
    </w:p>
    <w:p>
      <w:pPr>
        <w:ind w:left="664" w:hanging="417"/>
        <w:spacing w:after="0"/>
        <w:tabs>
          <w:tab w:leader="none" w:pos="66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-573405</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 w:lineRule="exact"/>
        <w:rPr>
          <w:sz w:val="20"/>
          <w:szCs w:val="20"/>
          <w:color w:val="auto"/>
        </w:rPr>
      </w:pPr>
    </w:p>
    <w:p>
      <w:pPr>
        <w:ind w:left="664"/>
        <w:spacing w:after="0" w:line="207" w:lineRule="exact"/>
        <w:tabs>
          <w:tab w:leader="none" w:pos="1444"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64" w:hanging="417"/>
        <w:spacing w:after="0"/>
        <w:tabs>
          <w:tab w:leader="none" w:pos="6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rFonts w:ascii="Times New Roman" w:cs="Times New Roman" w:eastAsia="Times New Roman" w:hAnsi="Times New Roman"/>
          <w:sz w:val="18"/>
          <w:szCs w:val="18"/>
          <w:color w:val="auto"/>
        </w:rPr>
      </w:pPr>
    </w:p>
    <w:p>
      <w:pPr>
        <w:ind w:left="6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w:t>
      </w:r>
    </w:p>
    <w:p>
      <w:pPr>
        <w:spacing w:after="0" w:line="36"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417"/>
        <w:spacing w:after="0"/>
        <w:tabs>
          <w:tab w:leader="none" w:pos="66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1" w:lineRule="exact"/>
        <w:rPr>
          <w:sz w:val="20"/>
          <w:szCs w:val="20"/>
          <w:color w:val="auto"/>
        </w:rPr>
      </w:pPr>
    </w:p>
    <w:p>
      <w:pPr>
        <w:ind w:left="664"/>
        <w:spacing w:after="0"/>
        <w:rPr>
          <w:sz w:val="20"/>
          <w:szCs w:val="20"/>
          <w:color w:val="auto"/>
        </w:rPr>
      </w:pPr>
      <w:r>
        <w:rPr>
          <w:rFonts w:ascii="Times New Roman" w:cs="Times New Roman" w:eastAsia="Times New Roman" w:hAnsi="Times New Roman"/>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4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w:t>
            </w: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05"/>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480" w:type="dxa"/>
            <w:vAlign w:val="bottom"/>
          </w:tcPr>
          <w:p>
            <w:pPr>
              <w:spacing w:after="0"/>
              <w:rPr>
                <w:sz w:val="24"/>
                <w:szCs w:val="24"/>
                <w:color w:val="auto"/>
              </w:rPr>
            </w:pPr>
          </w:p>
        </w:tc>
        <w:tc>
          <w:tcPr>
            <w:tcW w:w="93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480" w:type="dxa"/>
            <w:vAlign w:val="bottom"/>
            <w:tcBorders>
              <w:bottom w:val="single" w:sz="8" w:color="auto"/>
            </w:tcBorders>
          </w:tcPr>
          <w:p>
            <w:pPr>
              <w:spacing w:after="0"/>
              <w:rPr>
                <w:sz w:val="5"/>
                <w:szCs w:val="5"/>
                <w:color w:val="auto"/>
              </w:rPr>
            </w:pPr>
          </w:p>
        </w:tc>
        <w:tc>
          <w:tcPr>
            <w:tcW w:w="93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920" w:type="dxa"/>
            <w:vAlign w:val="bottom"/>
            <w:vMerge w:val="continue"/>
          </w:tcPr>
          <w:p>
            <w:pPr>
              <w:spacing w:after="0"/>
              <w:rPr>
                <w:sz w:val="10"/>
                <w:szCs w:val="10"/>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8.</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04"/>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80" w:type="dxa"/>
            <w:vAlign w:val="bottom"/>
            <w:vMerge w:val="continue"/>
          </w:tcPr>
          <w:p>
            <w:pPr>
              <w:spacing w:after="0"/>
              <w:rPr>
                <w:sz w:val="9"/>
                <w:szCs w:val="9"/>
                <w:color w:val="auto"/>
              </w:rPr>
            </w:pPr>
          </w:p>
        </w:tc>
        <w:tc>
          <w:tcPr>
            <w:tcW w:w="93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92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9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11,370,274 (1)</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w:t>
            </w:r>
          </w:p>
        </w:tc>
        <w:tc>
          <w:tcPr>
            <w:tcW w:w="480" w:type="dxa"/>
            <w:vAlign w:val="bottom"/>
            <w:tcBorders>
              <w:bottom w:val="single" w:sz="8" w:color="auto"/>
            </w:tcBorders>
          </w:tcPr>
          <w:p>
            <w:pPr>
              <w:spacing w:after="0"/>
              <w:rPr>
                <w:sz w:val="10"/>
                <w:szCs w:val="10"/>
                <w:color w:val="auto"/>
              </w:rPr>
            </w:pPr>
          </w:p>
        </w:tc>
        <w:tc>
          <w:tcPr>
            <w:tcW w:w="93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920" w:type="dxa"/>
            <w:vAlign w:val="bottom"/>
            <w:vMerge w:val="continue"/>
          </w:tcPr>
          <w:p>
            <w:pPr>
              <w:spacing w:after="0"/>
              <w:rPr>
                <w:sz w:val="6"/>
                <w:szCs w:val="6"/>
                <w:color w:val="auto"/>
              </w:rPr>
            </w:pPr>
          </w:p>
        </w:tc>
        <w:tc>
          <w:tcPr>
            <w:tcW w:w="4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9.</w:t>
            </w: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158"/>
        </w:trPr>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480" w:type="dxa"/>
            <w:vAlign w:val="bottom"/>
            <w:vMerge w:val="continue"/>
          </w:tcPr>
          <w:p>
            <w:pPr>
              <w:spacing w:after="0"/>
              <w:rPr>
                <w:sz w:val="13"/>
                <w:szCs w:val="13"/>
                <w:color w:val="auto"/>
              </w:rPr>
            </w:pPr>
          </w:p>
        </w:tc>
        <w:tc>
          <w:tcPr>
            <w:tcW w:w="9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92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9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480" w:type="dxa"/>
            <w:vAlign w:val="bottom"/>
          </w:tcPr>
          <w:p>
            <w:pPr>
              <w:spacing w:after="0"/>
              <w:rPr>
                <w:sz w:val="18"/>
                <w:szCs w:val="18"/>
                <w:color w:val="auto"/>
              </w:rPr>
            </w:pPr>
          </w:p>
        </w:tc>
        <w:tc>
          <w:tcPr>
            <w:tcW w:w="930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67"/>
        </w:trPr>
        <w:tc>
          <w:tcPr>
            <w:tcW w:w="920" w:type="dxa"/>
            <w:vAlign w:val="bottom"/>
            <w:vMerge w:val="restart"/>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With</w:t>
            </w:r>
          </w:p>
        </w:tc>
        <w:tc>
          <w:tcPr>
            <w:tcW w:w="480" w:type="dxa"/>
            <w:vAlign w:val="bottom"/>
          </w:tcPr>
          <w:p>
            <w:pPr>
              <w:spacing w:after="0"/>
              <w:rPr>
                <w:sz w:val="14"/>
                <w:szCs w:val="14"/>
                <w:color w:val="auto"/>
              </w:rPr>
            </w:pPr>
          </w:p>
        </w:tc>
        <w:tc>
          <w:tcPr>
            <w:tcW w:w="9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
        </w:trPr>
        <w:tc>
          <w:tcPr>
            <w:tcW w:w="92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9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1744" w:hanging="516"/>
        <w:spacing w:after="0"/>
        <w:tabs>
          <w:tab w:leader="none" w:pos="1744"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32" w:lineRule="exact"/>
        <w:rPr>
          <w:rFonts w:ascii="Times New Roman" w:cs="Times New Roman" w:eastAsia="Times New Roman" w:hAnsi="Times New Roman"/>
          <w:sz w:val="18"/>
          <w:szCs w:val="18"/>
          <w:color w:val="auto"/>
        </w:rPr>
      </w:pPr>
    </w:p>
    <w:p>
      <w:pPr>
        <w:ind w:left="17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11,370,274 (1)</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11,370,274 (1)</w:t>
      </w:r>
    </w:p>
    <w:p>
      <w:pPr>
        <w:spacing w:after="0" w:line="36"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64"/>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64" w:hanging="507"/>
        <w:spacing w:after="0"/>
        <w:tabs>
          <w:tab w:leader="none" w:pos="66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40"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 (2)</w:t>
      </w:r>
    </w:p>
    <w:p>
      <w:pPr>
        <w:spacing w:after="0" w:line="36" w:lineRule="exact"/>
        <w:rPr>
          <w:rFonts w:ascii="Times New Roman" w:cs="Times New Roman" w:eastAsia="Times New Roman" w:hAnsi="Times New Roman"/>
          <w:sz w:val="18"/>
          <w:szCs w:val="18"/>
          <w:color w:val="auto"/>
        </w:rPr>
      </w:pPr>
    </w:p>
    <w:p>
      <w:pPr>
        <w:ind w:left="644" w:hanging="487"/>
        <w:spacing w:after="0"/>
        <w:tabs>
          <w:tab w:leader="none" w:pos="6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52" w:lineRule="exact"/>
        <w:rPr>
          <w:rFonts w:ascii="Times New Roman" w:cs="Times New Roman" w:eastAsia="Times New Roman" w:hAnsi="Times New Roman"/>
          <w:sz w:val="18"/>
          <w:szCs w:val="18"/>
          <w:color w:val="auto"/>
        </w:rPr>
      </w:pPr>
    </w:p>
    <w:p>
      <w:pPr>
        <w:ind w:left="6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279" w:lineRule="exact"/>
        <w:rPr>
          <w:rFonts w:ascii="Times New Roman" w:cs="Times New Roman" w:eastAsia="Times New Roman" w:hAnsi="Times New Roman"/>
          <w:sz w:val="18"/>
          <w:szCs w:val="18"/>
          <w:color w:val="auto"/>
        </w:rPr>
      </w:pPr>
    </w:p>
    <w:p>
      <w:pPr>
        <w:ind w:left="424" w:hanging="424"/>
        <w:spacing w:after="0" w:line="253"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shares are held of record by TCG Opportunity III LP. TCG Opportunity III GP LP is the general partner of TCG Opportunity III LP and may be deemed to have voting, investment and dispositive power with respect to these securities. TCG Opportunity III GP LLC is the general partner of TCG Opportunity III GP LP and the ultimate general partner of TCG Opportunity III LP and may be deemed to have voting, investment and dispositive power with respect to these securities. Peter Svennilson, David Goeddel, a member of the Issuer’s board of directors, and Tim Kutzkey are the managing members of TCG Opportunity III GP LLC and may each be deemed to share voting, investment and dispositive power with respect to these securities.</w:t>
      </w:r>
    </w:p>
    <w:p>
      <w:pPr>
        <w:spacing w:after="0" w:line="5" w:lineRule="exact"/>
        <w:rPr>
          <w:rFonts w:ascii="Times New Roman" w:cs="Times New Roman" w:eastAsia="Times New Roman" w:hAnsi="Times New Roman"/>
          <w:sz w:val="18"/>
          <w:szCs w:val="18"/>
          <w:color w:val="auto"/>
        </w:rPr>
      </w:pPr>
    </w:p>
    <w:p>
      <w:pPr>
        <w:ind w:left="424" w:right="400" w:hanging="424"/>
        <w:spacing w:after="0" w:line="260" w:lineRule="auto"/>
        <w:tabs>
          <w:tab w:leader="none" w:pos="42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63,987,996 shares of Common Stock outstanding after the conclusion of the Follow-on Offering (assuming the underwriters do not exercise in full the option to purchase additional shares) and as reported in the Prospectus Supplement.</w:t>
      </w:r>
    </w:p>
    <w:p>
      <w:pPr>
        <w:sectPr>
          <w:pgSz w:w="11900" w:h="16838" w:orient="portrait"/>
          <w:cols w:equalWidth="0" w:num="1">
            <w:col w:w="10984"/>
          </w:cols>
          <w:pgMar w:left="436" w:top="270" w:right="4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13D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joint statement on Schedule 13D/A (this “Statement”) is filed with respect to the Common Stock, par value $0.0001 per share (“Common Stock”), of Tenaya Therapeutics, Inc., a Delaware corporation (the “Issuer”). This Amendment No. 1. (this “Amendment”) supplements and amends the Schedule 13D relating to the Common Stock of the Issuer that was filed with the Commission on December 1, 2022 (the “Original Schedule 13D”), previously reported on a Schedule 13G filed with the Commission on February 11, 2022 (the “Schedule 13G”). The Schedule 13G was filed pursuant to Rule 13d-1(d) of the Securities Exchange Act. This Amendment is being filed to update the aggregate percentage of the Common Stock owned by the Reporting Persons due to purchases of shares of Common Stock since the date of the filing of the Original Schedule 13D. Only those items that are reported are hereby amended; all other items reported in the Original Schedule 13D remain unchanged. Capitalized terms contained herein but not otherwise defined shall have the meanings ascribed to such terms in the Original Schedule 13D. Information given in response to each item shall be deemed incorporated by reference in all other items as applicable.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of the Schedule 13D is hereby amended by adding the following as the last paragraphs thereof:</w:t>
      </w:r>
    </w:p>
    <w:p>
      <w:pPr>
        <w:spacing w:after="0" w:line="11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January 17, 2023, TCG Opportunity III LP purchased 49,463 shares of Common Stock for a weighted-average purchase price of $2.4947 per share and an aggregate purchase price of $123,395.35.</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January 18, 2023, TCG Opportunity III LP purchased 135,688 shares of Common Stock for a weighted-average purchase price of $2.5163 per share and an aggregate purchase price of $341,431.71.</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January 19, 2023, TCG Opportunity III LP purchased 69,739 shares of Common Stock for a weighted-average purchase price of $2.4979 per share and an aggregate purchase price of $174,201.05.</w:t>
      </w:r>
    </w:p>
    <w:p>
      <w:pPr>
        <w:spacing w:after="0" w:line="1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On February 8, 2023, TCG Opportunity III LP purchased 1,500,000 shares of Common Stock for a purchase price of $2.60 per share and an aggregate purchase price of $3,900,000.00.</w:t>
      </w:r>
    </w:p>
    <w:p>
      <w:pPr>
        <w:sectPr>
          <w:pgSz w:w="11900" w:h="16838" w:orient="portrait"/>
          <w:cols w:equalWidth="0" w:num="1">
            <w:col w:w="11020"/>
          </w:cols>
          <w:pgMar w:left="440" w:top="266" w:right="4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21, 2023.</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COLUMN GROUP III, LP</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THE COLUMN GROUP III GP, LP</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Column Group III GP, LP</w:t>
            </w:r>
          </w:p>
        </w:tc>
        <w:tc>
          <w:tcPr>
            <w:tcW w:w="12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James Evangelista, Attorney in Fact</w:t>
            </w: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James Evangelista, Attorney in Fact</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James Evangelista</w:t>
            </w:r>
          </w:p>
        </w:tc>
        <w:tc>
          <w:tcPr>
            <w:tcW w:w="1240" w:type="dxa"/>
            <w:vAlign w:val="bottom"/>
          </w:tcPr>
          <w:p>
            <w:pPr>
              <w:ind w:left="7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Attorney in Fact</w:t>
            </w: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Attorney in Fact</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COLUMN GROUP III-A, LP</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THE COLUMN GROUP OPPORTUNITY III, LP</w:t>
            </w:r>
          </w:p>
        </w:tc>
      </w:tr>
      <w:tr>
        <w:trPr>
          <w:trHeight w:val="41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Column Group III GP, LP</w:t>
            </w: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Column Group Opportunity III GP, LP</w:t>
            </w:r>
          </w:p>
        </w:tc>
      </w:tr>
      <w:tr>
        <w:trPr>
          <w:trHeight w:val="234"/>
        </w:trPr>
        <w:tc>
          <w:tcPr>
            <w:tcW w:w="5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TCG Opportunity III GP, LLC</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James Evangelista, Attorney in Fact</w:t>
            </w: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James Evangelista, Attorney in Fact</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James Evangelista</w:t>
            </w:r>
          </w:p>
        </w:tc>
        <w:tc>
          <w:tcPr>
            <w:tcW w:w="1240" w:type="dxa"/>
            <w:vAlign w:val="bottom"/>
          </w:tcPr>
          <w:p>
            <w:pPr>
              <w:ind w:left="7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2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Attorney in Fact</w:t>
            </w: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Attorney in Fact</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THE COLUMN GROUP OPPORTUNITY III</w:t>
            </w:r>
          </w:p>
        </w:tc>
        <w:tc>
          <w:tcPr>
            <w:tcW w:w="5860" w:type="dxa"/>
            <w:vAlign w:val="bottom"/>
            <w:gridSpan w:val="2"/>
          </w:tcPr>
          <w:p>
            <w:pPr>
              <w:ind w:left="700"/>
              <w:spacing w:after="0"/>
              <w:rPr>
                <w:sz w:val="20"/>
                <w:szCs w:val="20"/>
                <w:color w:val="auto"/>
              </w:rPr>
            </w:pPr>
            <w:r>
              <w:rPr>
                <w:rFonts w:ascii="Times New Roman" w:cs="Times New Roman" w:eastAsia="Times New Roman" w:hAnsi="Times New Roman"/>
                <w:sz w:val="18"/>
                <w:szCs w:val="18"/>
                <w:b w:val="1"/>
                <w:bCs w:val="1"/>
                <w:color w:val="auto"/>
              </w:rPr>
              <w:t>TCG OPPORTUNITY III GP, LLC</w:t>
            </w:r>
          </w:p>
        </w:tc>
      </w:tr>
      <w:tr>
        <w:trPr>
          <w:trHeight w:val="238"/>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GP, LP</w:t>
            </w:r>
          </w:p>
        </w:tc>
        <w:tc>
          <w:tcPr>
            <w:tcW w:w="45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446"/>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TCG Opportunity III GP, LLC</w:t>
            </w:r>
          </w:p>
        </w:tc>
        <w:tc>
          <w:tcPr>
            <w:tcW w:w="1240" w:type="dxa"/>
            <w:vAlign w:val="bottom"/>
          </w:tcPr>
          <w:p>
            <w:pPr>
              <w:spacing w:after="0"/>
              <w:rPr>
                <w:sz w:val="24"/>
                <w:szCs w:val="24"/>
                <w:color w:val="auto"/>
              </w:rPr>
            </w:pPr>
          </w:p>
        </w:tc>
        <w:tc>
          <w:tcPr>
            <w:tcW w:w="4620" w:type="dxa"/>
            <w:vAlign w:val="bottom"/>
          </w:tcPr>
          <w:p>
            <w:pPr>
              <w:spacing w:after="0"/>
              <w:rPr>
                <w:sz w:val="24"/>
                <w:szCs w:val="24"/>
                <w:color w:val="auto"/>
              </w:rPr>
            </w:pPr>
          </w:p>
        </w:tc>
      </w:tr>
      <w:tr>
        <w:trPr>
          <w:trHeight w:val="432"/>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James Evangelista, Attorney in Fact</w:t>
            </w: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By:</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 James Evangelista, Attorney in Fact</w:t>
            </w:r>
          </w:p>
        </w:tc>
      </w:tr>
      <w:tr>
        <w:trPr>
          <w:trHeight w:val="191"/>
        </w:trPr>
        <w:tc>
          <w:tcPr>
            <w:tcW w:w="5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60" w:type="dxa"/>
            <w:vAlign w:val="bottom"/>
            <w:tcBorders>
              <w:top w:val="single" w:sz="8" w:color="auto"/>
            </w:tcBorders>
          </w:tcPr>
          <w:p>
            <w:pPr>
              <w:spacing w:after="0"/>
              <w:rPr>
                <w:sz w:val="16"/>
                <w:szCs w:val="16"/>
                <w:color w:val="auto"/>
              </w:rPr>
            </w:pPr>
          </w:p>
        </w:tc>
        <w:tc>
          <w:tcPr>
            <w:tcW w:w="4560" w:type="dxa"/>
            <w:vAlign w:val="bottom"/>
            <w:tcBorders>
              <w:top w:val="single" w:sz="8" w:color="auto"/>
            </w:tcBorders>
          </w:tcPr>
          <w:p>
            <w:pPr>
              <w:ind w:left="40"/>
              <w:spacing w:after="0" w:line="191" w:lineRule="exact"/>
              <w:rPr>
                <w:sz w:val="20"/>
                <w:szCs w:val="20"/>
                <w:color w:val="auto"/>
              </w:rPr>
            </w:pPr>
            <w:r>
              <w:rPr>
                <w:rFonts w:ascii="Times New Roman" w:cs="Times New Roman" w:eastAsia="Times New Roman" w:hAnsi="Times New Roman"/>
                <w:sz w:val="18"/>
                <w:szCs w:val="18"/>
                <w:color w:val="auto"/>
              </w:rPr>
              <w:t>James Evangelista</w:t>
            </w:r>
          </w:p>
        </w:tc>
        <w:tc>
          <w:tcPr>
            <w:tcW w:w="1240" w:type="dxa"/>
            <w:vAlign w:val="bottom"/>
          </w:tcPr>
          <w:p>
            <w:pPr>
              <w:ind w:left="70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62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James Evangelista</w:t>
            </w:r>
          </w:p>
        </w:tc>
      </w:tr>
      <w:tr>
        <w:trPr>
          <w:trHeight w:val="234"/>
        </w:trPr>
        <w:tc>
          <w:tcPr>
            <w:tcW w:w="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Attorney in Fact</w:t>
            </w:r>
          </w:p>
        </w:tc>
        <w:tc>
          <w:tcPr>
            <w:tcW w:w="12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Attorney in Fact</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1."/>
      <w:numFmt w:val="decimal"/>
      <w:start w:val="1"/>
    </w:lvl>
  </w:abstractNum>
  <w:abstractNum w:abstractNumId="2">
    <w:nsid w:val="25E45D32"/>
    <w:multiLevelType w:val="hybridMultilevel"/>
    <w:lvl w:ilvl="0">
      <w:lvlJc w:val="left"/>
      <w:lvlText w:val="%1."/>
      <w:numFmt w:val="decimal"/>
      <w:start w:val="3"/>
    </w:lvl>
  </w:abstractNum>
  <w:abstractNum w:abstractNumId="3">
    <w:nsid w:val="519B500D"/>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431BD7B7"/>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3F2DBA3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3"/>
    </w:lvl>
  </w:abstractNum>
  <w:abstractNum w:abstractNumId="8">
    <w:nsid w:val="62BBD95A"/>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9">
    <w:nsid w:val="436C6125"/>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0">
    <w:nsid w:val="628C895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3"/>
    </w:lvl>
  </w:abstractNum>
  <w:abstractNum w:abstractNumId="13">
    <w:nsid w:val="2443A858"/>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4">
    <w:nsid w:val="2D1D5AE9"/>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5">
    <w:nsid w:val="6763845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3"/>
    </w:lvl>
  </w:abstractNum>
  <w:abstractNum w:abstractNumId="18">
    <w:nsid w:val="79838CB2"/>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19">
    <w:nsid w:val="4353D0CD"/>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0">
    <w:nsid w:val="B03E0C6"/>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3"/>
    </w:lvl>
  </w:abstractNum>
  <w:abstractNum w:abstractNumId="23">
    <w:nsid w:val="71F32454"/>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4">
    <w:nsid w:val="2CA88611"/>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25">
    <w:nsid w:val="836C40E"/>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3"/>
    </w:lvl>
  </w:abstractNum>
  <w:abstractNum w:abstractNumId="28">
    <w:nsid w:val="8138641"/>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29">
    <w:nsid w:val="1E7FF521"/>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30">
    <w:nsid w:val="7C3DBD3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2023-02-21T17:40:28Z</dcterms:created>
  <dcterms:modified xsi:type="dcterms:W3CDTF">2023-02-21T17:40:28Z</dcterms:modified>
</cp:coreProperties>
</file>