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May 13, 2024</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1307" w:right="499" w:bottom="1440" w:gutter="0" w:footer="0" w:header="0"/>
        </w:sectPr>
      </w:pPr>
    </w:p>
    <w:p>
      <w:pPr>
        <w:spacing w:after="0" w:line="20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81-3789973</w:t>
      </w:r>
    </w:p>
    <w:p>
      <w:pPr>
        <w:spacing w:after="0" w:line="12" w:lineRule="exact"/>
        <w:rPr>
          <w:sz w:val="24"/>
          <w:szCs w:val="24"/>
          <w:color w:val="auto"/>
        </w:rPr>
      </w:pPr>
    </w:p>
    <w:p>
      <w:pPr>
        <w:sectPr>
          <w:pgSz w:w="11900" w:h="16838" w:orient="portrait"/>
          <w:cols w:equalWidth="0" w:num="3">
            <w:col w:w="4760" w:space="720"/>
            <w:col w:w="2580" w:space="720"/>
            <w:col w:w="2300"/>
          </w:cols>
          <w:pgMar w:left="320" w:top="1307" w:right="49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20" w:space="720"/>
            <w:col w:w="2500" w:space="720"/>
            <w:col w:w="2420"/>
          </w:cols>
          <w:pgMar w:left="320" w:top="1307" w:right="499" w:bottom="1440" w:gutter="0" w:footer="0" w:header="0"/>
          <w:type w:val="continuous"/>
        </w:sectPr>
      </w:pP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8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0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080"/>
          </w:cols>
          <w:pgMar w:left="320" w:top="1307" w:right="499" w:bottom="1440" w:gutter="0" w:footer="0" w:header="0"/>
          <w:type w:val="continuous"/>
        </w:sectPr>
      </w:pPr>
    </w:p>
    <w:p>
      <w:pPr>
        <w:spacing w:after="0" w:line="84"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580" w:firstLine="17"/>
        <w:spacing w:after="0" w:line="379" w:lineRule="auto"/>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50"/>
        </w:trPr>
        <w:tc>
          <w:tcPr>
            <w:tcW w:w="4180" w:type="dxa"/>
            <w:vAlign w:val="bottom"/>
            <w:vMerge w:val="restart"/>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60" w:type="dxa"/>
            <w:vAlign w:val="bottom"/>
          </w:tcPr>
          <w:p>
            <w:pPr>
              <w:jc w:val="center"/>
              <w:ind w:right="42"/>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480" w:type="dxa"/>
            <w:vAlign w:val="bottom"/>
          </w:tcPr>
          <w:p>
            <w:pPr>
              <w:jc w:val="center"/>
              <w:ind w:left="762"/>
              <w:spacing w:after="0" w:line="150" w:lineRule="exact"/>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51"/>
        </w:trPr>
        <w:tc>
          <w:tcPr>
            <w:tcW w:w="4180" w:type="dxa"/>
            <w:vAlign w:val="bottom"/>
            <w:vMerge w:val="continue"/>
          </w:tcPr>
          <w:p>
            <w:pPr>
              <w:spacing w:after="0"/>
              <w:rPr>
                <w:sz w:val="13"/>
                <w:szCs w:val="13"/>
                <w:color w:val="auto"/>
              </w:rPr>
            </w:pPr>
          </w:p>
        </w:tc>
        <w:tc>
          <w:tcPr>
            <w:tcW w:w="2260" w:type="dxa"/>
            <w:vAlign w:val="bottom"/>
          </w:tcPr>
          <w:p>
            <w:pPr>
              <w:jc w:val="center"/>
              <w:ind w:right="42"/>
              <w:spacing w:after="0" w:line="151" w:lineRule="exact"/>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tcPr>
          <w:p>
            <w:pPr>
              <w:jc w:val="center"/>
              <w:ind w:left="762"/>
              <w:spacing w:after="0" w:line="151"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4180" w:type="dxa"/>
            <w:vAlign w:val="bottom"/>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7"/>
              </w:rPr>
              <w:t>TNYA</w:t>
            </w:r>
          </w:p>
        </w:tc>
        <w:tc>
          <w:tcPr>
            <w:tcW w:w="3480" w:type="dxa"/>
            <w:vAlign w:val="bottom"/>
          </w:tcPr>
          <w:p>
            <w:pPr>
              <w:jc w:val="center"/>
              <w:ind w:left="782"/>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7"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May 14, 2024, Tenaya Therapeutics, Inc. (“Tenaya”) issued a press release announcing Tenaya’s financial results for the quarter ended March 31, 2024 (“the Earnings Press Release”). The full text of the Earnings Press Release is attached hereto as Exhibit 99.1 and is incorporated herein by reference.</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2.05 Costs Associated with Exit or Disposal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14, 2024, Tenaya announced cost containment measures, including a committed plan to reduce its workforce (the “Workforce Reduction”).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containment measures align with Tenaya’s focus on generating data from its clinical-stage gene therapy programs.</w:t>
      </w:r>
    </w:p>
    <w:p>
      <w:pPr>
        <w:spacing w:after="0" w:line="99"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Employees impacted by the Workforce Reduction were notified on May 13, 2024, and represent approximately 22% of the workforce. In connection with the Workforce Reduction, Tenaya estimates that it will incur approximately $1.3 million to $1.5 million, of aggregate charges, primarily related to employee cash severance and continuing health benefits, which costs are expected to be substantially recognized during the second quarter of 2024.</w:t>
      </w:r>
    </w:p>
    <w:p>
      <w:pPr>
        <w:spacing w:after="0" w:line="50"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foregoing estimates that Tenaya expects to incur in connection with the Workforce Reduction are contingent upon various assumptions and actual results may differ. Tenaya may also incur additional costs not currently contemplated due to events related to or resulting from the Workforce Reduction.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copy of the press release announcing the cost containment measures is attached as Exhibit 99.1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This Current Report on Form 8-K contains forward-looking statements, including statements regarding the continued development of Tenaya’s clinical-stage gene therapy programs and the implementation of the Workforce Reduction, including expected charges relating thereto and the objectives and anticipated timing thereof. Actual results may differ from those set forth in or implied by this Current Report on Form 8-K due to the risks and uncertainties associated with Tenaya’s ability to conduct clinical trials of TN-201 and TN-401 sufficient to achieve a positive completion; risks related to the potential failure of TN-201 and TN-401 to demonstrate safety and efficacy in clinical trials; </w:t>
      </w:r>
      <w:r>
        <w:rPr>
          <w:rFonts w:ascii="Times New Roman" w:cs="Times New Roman" w:eastAsia="Times New Roman" w:hAnsi="Times New Roman"/>
          <w:sz w:val="18"/>
          <w:szCs w:val="18"/>
          <w:color w:val="333333"/>
        </w:rPr>
        <w:t>Tenaya’s ability to raise any additional funding it will need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to continue to pursue its business and product development plans; </w:t>
      </w:r>
      <w:r>
        <w:rPr>
          <w:rFonts w:ascii="Times New Roman" w:cs="Times New Roman" w:eastAsia="Times New Roman" w:hAnsi="Times New Roman"/>
          <w:sz w:val="18"/>
          <w:szCs w:val="18"/>
          <w:color w:val="000000"/>
        </w:rPr>
        <w:t>the uncertain timing and level of expenses associated with the development of TN-201</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and TN-401; risks related to Tenaya’s ability to implement the Workforce Reduction and its impact on Tenaya’s business; the level of charges resulting from the Workforce Reduction; market competition; changes in economic and business conditions, and other factors described in Tenaya’s other filings with the Securities Exchange Commission. You are cautioned not to place undue reliance on these forward-looking statements. Any forward-looking statements contained in this Current Report on Form 8-K speak only as of the date hereof, and Tenaya specifically disclaims any obligation to update any forward-looking statement,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rPr>
              <w:t>Exhibit</w:t>
            </w:r>
          </w:p>
        </w:tc>
        <w:tc>
          <w:tcPr>
            <w:tcW w:w="10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8"/>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w w:val="96"/>
              </w:rPr>
              <w:t>No.</w:t>
            </w:r>
          </w:p>
        </w:tc>
        <w:tc>
          <w:tcPr>
            <w:tcW w:w="10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4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Tenaya Therapeutics, Inc., dated May 14, 2024</w:t>
            </w:r>
          </w:p>
        </w:tc>
        <w:tc>
          <w:tcPr>
            <w:tcW w:w="20" w:type="dxa"/>
            <w:vAlign w:val="bottom"/>
            <w:tcBorders>
              <w:bottom w:val="single" w:sz="8" w:color="0000EE"/>
            </w:tcBorders>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370"/>
        </w:trPr>
        <w:tc>
          <w:tcPr>
            <w:tcW w:w="11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40" w:lineRule="exact"/>
        <w:rPr>
          <w:sz w:val="20"/>
          <w:szCs w:val="20"/>
          <w:color w:val="auto"/>
        </w:rPr>
      </w:pPr>
    </w:p>
    <w:p>
      <w:pPr>
        <w:ind w:left="560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34290</wp:posOffset>
            </wp:positionV>
            <wp:extent cx="3257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19685</wp:posOffset>
            </wp:positionV>
            <wp:extent cx="2357120" cy="1234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Tenaya Therapeutics Reports First Quarter 2024 Financial Results and Provides Business Update</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Initial Data from Ongoing MyPEAK</w:t>
      </w:r>
      <w:r>
        <w:rPr>
          <w:rFonts w:ascii="Times New Roman" w:cs="Times New Roman" w:eastAsia="Times New Roman" w:hAnsi="Times New Roman"/>
          <w:sz w:val="26"/>
          <w:szCs w:val="26"/>
          <w:i w:val="1"/>
          <w:iCs w:val="1"/>
          <w:color w:val="auto"/>
          <w:vertAlign w:val="superscript"/>
        </w:rPr>
        <w:t>TM</w:t>
      </w:r>
      <w:r>
        <w:rPr>
          <w:rFonts w:ascii="Times New Roman" w:cs="Times New Roman" w:eastAsia="Times New Roman" w:hAnsi="Times New Roman"/>
          <w:sz w:val="20"/>
          <w:szCs w:val="20"/>
          <w:i w:val="1"/>
          <w:iCs w:val="1"/>
          <w:color w:val="auto"/>
        </w:rPr>
        <w:t>-1 Phase 1b of TN-201 Expected in Second Half of 2024</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Clinical Sites Activated for RIDGE</w:t>
      </w:r>
      <w:r>
        <w:rPr>
          <w:rFonts w:ascii="Times New Roman" w:cs="Times New Roman" w:eastAsia="Times New Roman" w:hAnsi="Times New Roman"/>
          <w:sz w:val="26"/>
          <w:szCs w:val="26"/>
          <w:i w:val="1"/>
          <w:iCs w:val="1"/>
          <w:color w:val="auto"/>
          <w:vertAlign w:val="superscript"/>
        </w:rPr>
        <w:t>TM</w:t>
      </w:r>
      <w:r>
        <w:rPr>
          <w:rFonts w:ascii="Times New Roman" w:cs="Times New Roman" w:eastAsia="Times New Roman" w:hAnsi="Times New Roman"/>
          <w:sz w:val="20"/>
          <w:szCs w:val="20"/>
          <w:i w:val="1"/>
          <w:iCs w:val="1"/>
          <w:color w:val="auto"/>
        </w:rPr>
        <w:t>-1 Phase 1b Clinical Trial of TN-401</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Announced Cost Containment Measures in Alignment with Focus on Generating Data from</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Clinical-Stage Gene Therapy Programs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Raised $47 Million Net Proceeds in First Quarter Financing; Current Cash</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Runway into Second Half of 2025</w:t>
      </w:r>
    </w:p>
    <w:p>
      <w:pPr>
        <w:spacing w:after="0" w:line="19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May 14, 2024 </w:t>
      </w:r>
      <w:r>
        <w:rPr>
          <w:rFonts w:ascii="Times New Roman" w:cs="Times New Roman" w:eastAsia="Times New Roman" w:hAnsi="Times New Roman"/>
          <w:sz w:val="18"/>
          <w:szCs w:val="18"/>
          <w:color w:val="auto"/>
        </w:rPr>
        <w:t>-- Tenaya Therapeutics, Inc. (NASDAQ: TNYA), a clinical-stage biotechnology company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mission to discover, develop and deliver potentially curative therapies that address the underlying causes of heart disease, today reported financial results for the first quarter ended March 31, 2024, and provided a corporate update.</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year is off to a strong start for Tenaya,” said Faraz Ali, Chief Executive Officer of Tenaya. “We remain laser focused on dosing patients and generating clinical data for our TN-201 and TN-401 programs to reach value-creative milestones and on managing our overall resources to ensure we maintain sufficient runway to achieve those milestones.”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Program Updates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TN-201 – Gene Therapy for MYBPC3-Associated Hypertrophic Cardiomyopathy (HCM)</w:t>
      </w:r>
    </w:p>
    <w:p>
      <w:pPr>
        <w:spacing w:after="0" w:line="99" w:lineRule="exact"/>
        <w:rPr>
          <w:sz w:val="20"/>
          <w:szCs w:val="20"/>
          <w:color w:val="auto"/>
        </w:rPr>
      </w:pPr>
    </w:p>
    <w:p>
      <w:pPr>
        <w:ind w:left="1020" w:right="8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continues in the MyPEAK-1 Phase 1b clinical trial of TN-201, a multi-center, open-label, dose-escalation trial designed to assess safety, tolerability and clinical efficacy of a one-time intravenous infusion of TN-201. Tenaya anticipates sharing initial safety, biopsy and biomarker data from the first cohort of patients in the MyPEAK-1 trial in the second half of 2024.</w:t>
      </w:r>
    </w:p>
    <w:p>
      <w:pPr>
        <w:spacing w:after="0" w:line="67" w:lineRule="exact"/>
        <w:rPr>
          <w:rFonts w:ascii="Times New Roman" w:cs="Times New Roman" w:eastAsia="Times New Roman" w:hAnsi="Times New Roman"/>
          <w:sz w:val="18"/>
          <w:szCs w:val="18"/>
          <w:color w:val="auto"/>
        </w:rPr>
      </w:pPr>
    </w:p>
    <w:p>
      <w:pPr>
        <w:ind w:left="1020" w:right="30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Tenaya has completed enrollment in its non-interventional study evaluating seroprevalence to adeno-associated virus serotype 9 (AAV9) antibodies among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More than 100 patients have been enrolled across 12 HCM centers in the U.S. Interim data from the study indicated that a majority of patients (&gt;70%) would be eligible to enroll in the MyPEAK-1 clinical trial of TN-201.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TN-401 – Gene Therapy for PKP2-Associated Arrhythmogenic Right Ventricular Cardiomyopathy (ARVC)</w:t>
      </w:r>
    </w:p>
    <w:p>
      <w:pPr>
        <w:spacing w:after="0" w:line="119" w:lineRule="exact"/>
        <w:rPr>
          <w:sz w:val="20"/>
          <w:szCs w:val="20"/>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Tenaya has activated its first two clinical sites for the RIDGE-1 Phase 1b clinical trial of TN-401 and plans to begin dosing adult patients in the second half of 2024. RIDGE-1 is a multicenter, open-label, dose-escalation trial designed to assess safety, tolerability and clinical efficacy of a one-time intravenous infusion of TN-401 for the treatment of ARVC caused by mutations to the </w:t>
      </w:r>
      <w:r>
        <w:rPr>
          <w:rFonts w:ascii="Times New Roman" w:cs="Times New Roman" w:eastAsia="Times New Roman" w:hAnsi="Times New Roman"/>
          <w:sz w:val="18"/>
          <w:szCs w:val="18"/>
          <w:i w:val="1"/>
          <w:iCs w:val="1"/>
          <w:color w:val="auto"/>
        </w:rPr>
        <w:t>Plakophilin-2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Tenaya is currently enrolling adult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patients in a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non-interventional seroprevalence and natural history study (RIDGE™) at 18 clinical sites in the U.S. and Europe.</w:t>
      </w:r>
    </w:p>
    <w:p>
      <w:pPr>
        <w:spacing w:after="0" w:line="115" w:lineRule="exact"/>
        <w:rPr>
          <w:sz w:val="20"/>
          <w:szCs w:val="20"/>
          <w:color w:val="auto"/>
        </w:rPr>
      </w:pPr>
    </w:p>
    <w:p>
      <w:pPr>
        <w:ind w:left="1020" w:right="44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March, the results of Tenaya’s preclinical studies of TN-401 gene therapy in a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-deficient mouse model were published in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Communications Medicine</w:t>
      </w:r>
      <w:r>
        <w:rPr>
          <w:rFonts w:ascii="Times New Roman" w:cs="Times New Roman" w:eastAsia="Times New Roman" w:hAnsi="Times New Roman"/>
          <w:sz w:val="18"/>
          <w:szCs w:val="18"/>
          <w:color w:val="auto"/>
        </w:rPr>
        <w:t>. The paper, titled “</w:t>
      </w:r>
      <w:r>
        <w:rPr>
          <w:rFonts w:ascii="Times New Roman" w:cs="Times New Roman" w:eastAsia="Times New Roman" w:hAnsi="Times New Roman"/>
          <w:sz w:val="18"/>
          <w:szCs w:val="18"/>
          <w:i w:val="1"/>
          <w:iCs w:val="1"/>
          <w:color w:val="auto"/>
        </w:rPr>
        <w:t xml:space="preserve">AAV9:PKP2 improves heart function and survival in a Pkp2-deficient mouse model of arrhythmogenic right ventricular cardiomyopathy,” </w:t>
      </w:r>
      <w:r>
        <w:rPr>
          <w:rFonts w:ascii="Times New Roman" w:cs="Times New Roman" w:eastAsia="Times New Roman" w:hAnsi="Times New Roman"/>
          <w:sz w:val="18"/>
          <w:szCs w:val="18"/>
          <w:color w:val="auto"/>
        </w:rPr>
        <w:t>described TN-401 efficacy in both prevention mode before disease onset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mode after disease onset.</w:t>
      </w:r>
    </w:p>
    <w:p>
      <w:pPr>
        <w:spacing w:after="0" w:line="73" w:lineRule="exact"/>
        <w:rPr>
          <w:rFonts w:ascii="Times New Roman" w:cs="Times New Roman" w:eastAsia="Times New Roman" w:hAnsi="Times New Roman"/>
          <w:sz w:val="18"/>
          <w:szCs w:val="18"/>
          <w:color w:val="auto"/>
        </w:rPr>
      </w:pPr>
    </w:p>
    <w:p>
      <w:pPr>
        <w:ind w:left="1540" w:right="4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oTN-401 restored PKP2 protein levels leading to dose-dependent improvements in right ventricular dilation and ejection fraction, reductions in arrhythmia frequency and severity, prevention of adverse fibrotic remodeling, and improved survival.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TN-301 – Small Molecule HDAC6 Inhibitor for Heart Failure with Preserved Ejection Fraction (HFpEF)</w:t>
      </w:r>
    </w:p>
    <w:p>
      <w:pPr>
        <w:spacing w:after="0" w:line="119" w:lineRule="exact"/>
        <w:rPr>
          <w:sz w:val="20"/>
          <w:szCs w:val="20"/>
          <w:color w:val="auto"/>
        </w:rPr>
      </w:pPr>
    </w:p>
    <w:p>
      <w:pPr>
        <w:ind w:left="1020" w:right="26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February, preclinical research related to Tenaya’s small molecule inhibitors of histone deacetylase 6 (HDAC6), including TN-301, were published in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The article, titled “</w:t>
      </w:r>
      <w:r>
        <w:rPr>
          <w:rFonts w:ascii="Times New Roman" w:cs="Times New Roman" w:eastAsia="Times New Roman" w:hAnsi="Times New Roman"/>
          <w:sz w:val="18"/>
          <w:szCs w:val="18"/>
          <w:i w:val="1"/>
          <w:iCs w:val="1"/>
          <w:color w:val="auto"/>
        </w:rPr>
        <w:t>Targeting HDAC6 to Treat Heart Failure with Preserved Ejection Fraction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Mice</w:t>
      </w:r>
      <w:r>
        <w:rPr>
          <w:rFonts w:ascii="Times New Roman" w:cs="Times New Roman" w:eastAsia="Times New Roman" w:hAnsi="Times New Roman"/>
          <w:sz w:val="18"/>
          <w:szCs w:val="18"/>
          <w:color w:val="auto"/>
        </w:rPr>
        <w:t>,” details the potential of inhibiting HDAC6 for the treatment of HFpEF, a form of heart failure that effects more than three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people in the U.S. alone.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Manufacturing</w:t>
      </w:r>
    </w:p>
    <w:p>
      <w:pPr>
        <w:spacing w:after="0" w:line="119" w:lineRule="exact"/>
        <w:rPr>
          <w:sz w:val="20"/>
          <w:szCs w:val="20"/>
          <w:color w:val="auto"/>
        </w:rPr>
      </w:pPr>
    </w:p>
    <w:p>
      <w:pPr>
        <w:ind w:left="1020" w:right="1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Tenaya’s Research team presented multiple posters at the American Society for Gene and Cell Therapy (ASGCT) meeting in May detailing continued innovations related to its core capabilities, including AAV-based drug design and capsid engineering.</w:t>
      </w:r>
    </w:p>
    <w:p>
      <w:pPr>
        <w:spacing w:after="0" w:line="53" w:lineRule="exact"/>
        <w:rPr>
          <w:rFonts w:ascii="Times New Roman" w:cs="Times New Roman" w:eastAsia="Times New Roman" w:hAnsi="Times New Roman"/>
          <w:sz w:val="18"/>
          <w:szCs w:val="18"/>
          <w:color w:val="auto"/>
        </w:rPr>
      </w:pPr>
    </w:p>
    <w:p>
      <w:pPr>
        <w:ind w:left="154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oAmong the data presented was a poster detailing progress on Tenaya’s early-stage gene editing efforts targeting the phospholamban (</w:t>
      </w:r>
      <w:r>
        <w:rPr>
          <w:rFonts w:ascii="Times New Roman" w:cs="Times New Roman" w:eastAsia="Times New Roman" w:hAnsi="Times New Roman"/>
          <w:sz w:val="18"/>
          <w:szCs w:val="18"/>
          <w:i w:val="1"/>
          <w:iCs w:val="1"/>
          <w:color w:val="auto"/>
        </w:rPr>
        <w:t>PLN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R14del</w:t>
      </w:r>
      <w:r>
        <w:rPr>
          <w:rFonts w:ascii="Times New Roman" w:cs="Times New Roman" w:eastAsia="Times New Roman" w:hAnsi="Times New Roman"/>
          <w:sz w:val="18"/>
          <w:szCs w:val="18"/>
          <w:color w:val="auto"/>
        </w:rPr>
        <w:t xml:space="preserve"> variation known to cause a rare form of dilated cardiomyopathy. Tenaya researchers demonstrated success in designing a self-inactivating CRISPR Cas9 vector with efficacy in a mouse model of </w:t>
      </w:r>
      <w:r>
        <w:rPr>
          <w:rFonts w:ascii="Times New Roman" w:cs="Times New Roman" w:eastAsia="Times New Roman" w:hAnsi="Times New Roman"/>
          <w:sz w:val="18"/>
          <w:szCs w:val="18"/>
          <w:i w:val="1"/>
          <w:iCs w:val="1"/>
          <w:color w:val="auto"/>
        </w:rPr>
        <w:t>PLNR14del</w:t>
      </w:r>
      <w:r>
        <w:rPr>
          <w:rFonts w:ascii="Times New Roman" w:cs="Times New Roman" w:eastAsia="Times New Roman" w:hAnsi="Times New Roman"/>
          <w:sz w:val="18"/>
          <w:szCs w:val="18"/>
          <w:color w:val="auto"/>
        </w:rPr>
        <w:t xml:space="preserve"> cardiomyopathy. Minimizing Cas9 expression following editing activity may mitigate the long-term risk of excess or off-target edits.</w:t>
      </w:r>
    </w:p>
    <w:p>
      <w:pPr>
        <w:spacing w:after="0" w:line="71" w:lineRule="exact"/>
        <w:rPr>
          <w:rFonts w:ascii="Times New Roman" w:cs="Times New Roman" w:eastAsia="Times New Roman" w:hAnsi="Times New Roman"/>
          <w:sz w:val="18"/>
          <w:szCs w:val="18"/>
          <w:color w:val="auto"/>
        </w:rPr>
      </w:pPr>
    </w:p>
    <w:p>
      <w:pPr>
        <w:ind w:left="1540" w:right="22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oAmong several posters focused on Tenaya’s capsid engineering work, new data from murine and non-human primate studies were presented showing the superiority of the AAV9 serotype in achieving cardiomyocyte transgene expression when compared head-to-head with the AAVrh10 or AAVrh74 serotypes.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Tenaya’s Chemistry, Manufacturing and Controls (CMC) team also presented multiple posters showing continued optimization and improvements in manufacturing yield using both Sf9 and HEK-based processes, enabling greater flexibility in the manufacture of AAV-based genetic medicines.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121" w:lineRule="exact"/>
        <w:rPr>
          <w:sz w:val="20"/>
          <w:szCs w:val="20"/>
          <w:color w:val="auto"/>
        </w:rPr>
      </w:pPr>
    </w:p>
    <w:p>
      <w:pPr>
        <w:ind w:left="1020" w:right="4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alignment with Tenaya’s focus on driving toward clinical readouts for TN-201 and TN-401, the company announced cost containment measures including a committed plan to reduce its workforce by approximately 22%. The plan is expected to be completed during the second quarter of 2024.</w:t>
      </w:r>
    </w:p>
    <w:p>
      <w:pPr>
        <w:spacing w:after="0" w:line="67" w:lineRule="exact"/>
        <w:rPr>
          <w:rFonts w:ascii="Times New Roman" w:cs="Times New Roman" w:eastAsia="Times New Roman" w:hAnsi="Times New Roman"/>
          <w:sz w:val="18"/>
          <w:szCs w:val="18"/>
          <w:color w:val="auto"/>
        </w:rPr>
      </w:pPr>
    </w:p>
    <w:p>
      <w:pPr>
        <w:ind w:left="1020" w:right="28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Tenaya hired Whedy Wang, Ph.D., to serve as Senior Vice President, Biometrics. Dr. Wang has over thirty years of relevant industry experience in biostatistics and clinical data management, having held leadership roles in Alector, Theravance, Affymax and CV Therapeutics (now Gilead). Dr. Wang holds a Ph.D. in Biostatistics and an M.P.H. in Epidemiology from the University of Michigan, Ann Arbor.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Highlights</w:t>
      </w:r>
    </w:p>
    <w:p>
      <w:pPr>
        <w:spacing w:after="0" w:line="117" w:lineRule="exact"/>
        <w:rPr>
          <w:sz w:val="20"/>
          <w:szCs w:val="20"/>
          <w:color w:val="auto"/>
        </w:rPr>
      </w:pPr>
    </w:p>
    <w:p>
      <w:pPr>
        <w:ind w:left="1020" w:right="16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and Guidance: </w:t>
      </w:r>
      <w:r>
        <w:rPr>
          <w:rFonts w:ascii="Times New Roman" w:cs="Times New Roman" w:eastAsia="Times New Roman" w:hAnsi="Times New Roman"/>
          <w:sz w:val="18"/>
          <w:szCs w:val="18"/>
          <w:color w:val="auto"/>
        </w:rPr>
        <w:t>As of March 31, 2024, cash, cash equivalents and investments in marketable securities were $122.2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February 2024, Tenaya completed a follow-on public offering of approximately 8.9 million shares of its common stock and pre-funded warrants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6" w:lineRule="exact"/>
        <w:rPr>
          <w:sz w:val="20"/>
          <w:szCs w:val="20"/>
          <w:color w:val="auto"/>
        </w:rPr>
      </w:pPr>
    </w:p>
    <w:p>
      <w:pPr>
        <w:ind w:left="1020" w:right="100"/>
        <w:spacing w:after="0" w:line="266" w:lineRule="auto"/>
        <w:rPr>
          <w:sz w:val="20"/>
          <w:szCs w:val="20"/>
          <w:color w:val="auto"/>
        </w:rPr>
      </w:pPr>
      <w:r>
        <w:rPr>
          <w:rFonts w:ascii="Times New Roman" w:cs="Times New Roman" w:eastAsia="Times New Roman" w:hAnsi="Times New Roman"/>
          <w:sz w:val="18"/>
          <w:szCs w:val="18"/>
          <w:color w:val="auto"/>
        </w:rPr>
        <w:t>2.2 million shares, which provided net proceeds to Tenaya of approximately $46.8 million after discounts, commissions and other offering expenses. Tenaya expects current cash, cash equivalents and investments in marketable securities will be sufficient to fund the company into the second half of 2025.</w:t>
      </w:r>
    </w:p>
    <w:p>
      <w:pPr>
        <w:spacing w:after="0" w:line="64" w:lineRule="exact"/>
        <w:rPr>
          <w:sz w:val="20"/>
          <w:szCs w:val="20"/>
          <w:color w:val="auto"/>
        </w:rPr>
      </w:pPr>
    </w:p>
    <w:p>
      <w:pPr>
        <w:ind w:left="1020" w:right="18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&amp; Development (R&amp;D) Expenses: </w:t>
      </w:r>
      <w:r>
        <w:rPr>
          <w:rFonts w:ascii="Times New Roman" w:cs="Times New Roman" w:eastAsia="Times New Roman" w:hAnsi="Times New Roman"/>
          <w:sz w:val="18"/>
          <w:szCs w:val="18"/>
          <w:color w:val="auto"/>
        </w:rPr>
        <w:t>R&amp;D expenses were $25.1 million for the first quarter of 2024 compared to $25.6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quarter of 2023. Non-cash stock-based compensation included in R&amp;D expense was $2.0 million for the first quarter of 2024 and was $1.6 million for the first quarter of 2023.</w:t>
      </w:r>
    </w:p>
    <w:p>
      <w:pPr>
        <w:spacing w:after="0" w:line="62" w:lineRule="exact"/>
        <w:rPr>
          <w:rFonts w:ascii="Times New Roman" w:cs="Times New Roman" w:eastAsia="Times New Roman" w:hAnsi="Times New Roman"/>
          <w:sz w:val="18"/>
          <w:szCs w:val="18"/>
          <w:color w:val="auto"/>
        </w:rPr>
      </w:pPr>
    </w:p>
    <w:p>
      <w:pPr>
        <w:ind w:left="1020" w:right="4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&amp; Administrative (G&amp;A) Expenses: </w:t>
      </w:r>
      <w:r>
        <w:rPr>
          <w:rFonts w:ascii="Times New Roman" w:cs="Times New Roman" w:eastAsia="Times New Roman" w:hAnsi="Times New Roman"/>
          <w:sz w:val="18"/>
          <w:szCs w:val="18"/>
          <w:color w:val="auto"/>
        </w:rPr>
        <w:t>Year-over year G&amp;A expenses were relatively flat at $8.7 million for the first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$8.1 million for the first quarter of 2023. Non-cash stock-based compensation included in G&amp;A expense was $2.2 million for the first quarter of 2024 compared to $1.9 million for the first quarter of 2023.</w:t>
      </w:r>
    </w:p>
    <w:p>
      <w:pPr>
        <w:spacing w:after="0" w:line="62" w:lineRule="exact"/>
        <w:rPr>
          <w:rFonts w:ascii="Times New Roman" w:cs="Times New Roman" w:eastAsia="Times New Roman" w:hAnsi="Times New Roman"/>
          <w:sz w:val="18"/>
          <w:szCs w:val="18"/>
          <w:color w:val="auto"/>
        </w:rPr>
      </w:pPr>
    </w:p>
    <w:p>
      <w:pPr>
        <w:ind w:left="1020" w:right="38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$32.2 million, or $0.40 loss per share for the first quarter ended March 31, 2024, compared to a net loss of $31.7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$0.43 per share, in the same period of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Tenaya Therapeutics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Tenaya Therapeutics is a clinical-stage biotechnology company committed to a bold mission: to discover, develop and deliver potentially curative therapies that address the underlying drivers of heart disease. Leveraging its integrated and interrelated Gene Therapy, Cellular Regeneration and Precision Medicine platforms and proprietary core capabilities, the company is advancing a pipeline of novel therapies with diverse treatment modalities for rare genetic cardiovascular disorders and more prevalent heart conditions. Tenaya’s most advanced candidates include TN-201, a gene therapy for MYBPC3-associated hypertrophic cardiomyopathy (HCM), TN-401, a gene therapy for PKP2-associated arrhythmogenic right ventricular cardiomyopathy (ARVC), and TN-301, a small molecule HDAC6 inhibitor being initially developed for heart failure with preserved ejection fraction (HFpEF). Tenaya also has multiple early-stage programs progressing through preclinical development. For more information, visit www.tenayatherapeutics.com.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333333"/>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“focused,” “anticipates,” “plans,” “expects,” and similar expressions are intended to identify forward-looking statements. Such forward-looking statements include, among other things, Tenaya’s plans and expectations regarding its clinical development efforts and activities, including dosing patients and generating data for MyPEAK-1 and RIDGE-1; Tenaya’s focus on managing overall resources; planned timing of sharing initial data from MyPEAK-1 and planned timing for initiation of patient dosing in RIDGE-1; timing for implementation of Tenaya’s cost containment measures including a committed plan to reduce its workforce; the clinical, therapeutic and commercial potential of, and expectations regarding, Tenaya’s product candidates; the sufficiency of Tenaya’s cash resources to fund the company into the second half 2025;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the timing and progress of Tenaya’s clinical trials; availability of data at the referenced times; unexpected concerns that may arise as a result of the occurrence of adverse safety events in Tenaya’s clinical trials; the potential failure of Tenaya’s product candidates to demonstrate safety and/or efficacy in clinical testing; the potential for any clinical trial results to differ from preclinical, interim, preliminary, topline or expected results;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Tenaya’s continuing compliance with applicable legal and regulatory requirements; Tenaya’s ability to raise any additional funding it will need to continue to pursue its business and product development plans; Tenaya’s reliance on third parties; Tenaya’s manufacturing, commercialization and marketing capabilities and strategy; the loss of key scientific or management personnel; competition in the industry in which Tenaya operates;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333333"/>
        </w:rPr>
        <w:t>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Michelle Corral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VP, Corporate Communications and Investor Relations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IR@tenayathera.com</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Anne-Marie Fields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333333"/>
        </w:rPr>
        <w:t>Annemarie.fields@sternir.com</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Wendy Ryan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wendy@tenbridgecommunications.com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(33,762 )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(33,723 )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(32,228 )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(31,737 )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(32,228 )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(31,737 )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(0.43 )</w:t>
            </w:r>
          </w:p>
        </w:tc>
      </w:tr>
      <w:tr>
        <w:trPr>
          <w:trHeight w:val="224"/>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80,982,326</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73,097,889</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4"/>
        </w:trPr>
        <w:tc>
          <w:tcPr>
            <w:tcW w:w="7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-3136900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-2185035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-1868170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-1525270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-1508125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 Data</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122,249</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104,642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184,899</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170,515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26,719</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184,899</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170,515</w:t>
            </w:r>
          </w:p>
        </w:tc>
        <w:tc>
          <w:tcPr>
            <w:tcW w:w="100" w:type="dxa"/>
            <w:vAlign w:val="bottom"/>
          </w:tcPr>
          <w:p>
            <w:pPr>
              <w:spacing w:after="0"/>
              <w:rPr>
                <w:sz w:val="20"/>
                <w:szCs w:val="20"/>
                <w:color w:val="auto"/>
              </w:rPr>
            </w:pPr>
          </w:p>
        </w:tc>
      </w:tr>
      <w:tr>
        <w:trPr>
          <w:trHeight w:val="2284"/>
        </w:trPr>
        <w:tc>
          <w:tcPr>
            <w:tcW w:w="7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2024-05-14T15:29:40Z</dcterms:created>
  <dcterms:modified xsi:type="dcterms:W3CDTF">2024-05-14T15:29:40Z</dcterms:modified>
</cp:coreProperties>
</file>