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Ali Faraz</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TENAYA THERAPEUTICS,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171 OYSTER POINT BLVD., 5TH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Tenaya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TNYA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03/10/2025</w:t>
      </w:r>
    </w:p>
    <w:p>
      <w:pPr>
        <w:spacing w:after="0" w:line="20" w:lineRule="exact"/>
        <w:rPr>
          <w:sz w:val="24"/>
          <w:szCs w:val="24"/>
          <w:color w:val="auto"/>
        </w:rPr>
      </w:pPr>
      <w:r>
        <w:rPr>
          <w:sz w:val="24"/>
          <w:szCs w:val="24"/>
          <w:color w:val="auto"/>
        </w:rPr>
        <w:br w:type="column"/>
      </w:r>
    </w:p>
    <w:p>
      <w:pPr>
        <w:ind w:left="5" w:right="46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65" w:lineRule="exact"/>
        <w:rPr>
          <w:sz w:val="24"/>
          <w:szCs w:val="24"/>
          <w:color w:val="auto"/>
        </w:rPr>
      </w:pPr>
    </w:p>
    <w:p>
      <w:pPr>
        <w:sectPr>
          <w:pgSz w:w="11900" w:h="16838" w:orient="portrait"/>
          <w:cols w:equalWidth="0" w:num="3">
            <w:col w:w="3220" w:space="700"/>
            <w:col w:w="3095" w:space="720"/>
            <w:col w:w="3265"/>
          </w:cols>
          <w:pgMar w:left="460" w:top="219" w:right="439" w:bottom="1440" w:gutter="0" w:footer="0" w:header="0"/>
          <w:type w:val="continuous"/>
        </w:sectPr>
      </w:pPr>
    </w:p>
    <w:tbl>
      <w:tblPr>
        <w:tblLayout w:type="fixed"/>
        <w:tblInd w:w="80" w:type="dxa"/>
        <w:tblCellMar>
          <w:top w:w="0" w:type="dxa"/>
          <w:left w:w="0" w:type="dxa"/>
          <w:bottom w:w="0" w:type="dxa"/>
          <w:right w:w="0" w:type="dxa"/>
        </w:tblCellMar>
      </w:tblPr>
      <w:tr>
        <w:trPr>
          <w:trHeight w:val="47"/>
        </w:trPr>
        <w:tc>
          <w:tcPr>
            <w:tcW w:w="40" w:type="dxa"/>
            <w:vAlign w:val="bottom"/>
          </w:tcPr>
          <w:p>
            <w:pPr>
              <w:spacing w:after="0"/>
              <w:rPr>
                <w:sz w:val="4"/>
                <w:szCs w:val="4"/>
                <w:color w:val="auto"/>
              </w:rPr>
            </w:pPr>
          </w:p>
        </w:tc>
        <w:tc>
          <w:tcPr>
            <w:tcW w:w="36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680" w:type="dxa"/>
            <w:vAlign w:val="bottom"/>
            <w:tcBorders>
              <w:top w:val="single" w:sz="8" w:color="2C2C2C"/>
              <w:bottom w:val="single" w:sz="8" w:color="2C2C2C"/>
            </w:tcBorders>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tcBorders>
              <w:top w:val="single" w:sz="8" w:color="2C2C2C"/>
              <w:bottom w:val="single" w:sz="8" w:color="2C2C2C"/>
            </w:tcBorders>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4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80" w:type="dxa"/>
            <w:vAlign w:val="bottom"/>
            <w:vMerge w:val="continue"/>
          </w:tcPr>
          <w:p>
            <w:pPr>
              <w:spacing w:after="0" w:line="20" w:lineRule="exact"/>
              <w:rPr>
                <w:sz w:val="1"/>
                <w:szCs w:val="1"/>
                <w:color w:val="auto"/>
              </w:rPr>
            </w:pPr>
          </w:p>
        </w:tc>
        <w:tc>
          <w:tcPr>
            <w:tcW w:w="3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3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3440" w:type="dxa"/>
            <w:vAlign w:val="bottom"/>
            <w:vMerge w:val="restart"/>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193"/>
        </w:trPr>
        <w:tc>
          <w:tcPr>
            <w:tcW w:w="110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SOUTH SAN</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94080</w:t>
            </w:r>
          </w:p>
        </w:tc>
        <w:tc>
          <w:tcPr>
            <w:tcW w:w="682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5"/>
        </w:trPr>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6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1100" w:type="dxa"/>
            <w:vAlign w:val="bottom"/>
            <w:vMerge w:val="continue"/>
          </w:tcPr>
          <w:p>
            <w:pPr>
              <w:spacing w:after="0"/>
              <w:rPr>
                <w:sz w:val="12"/>
                <w:szCs w:val="12"/>
                <w:color w:val="auto"/>
              </w:rPr>
            </w:pPr>
          </w:p>
        </w:tc>
        <w:tc>
          <w:tcPr>
            <w:tcW w:w="9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820" w:type="dxa"/>
            <w:vAlign w:val="bottom"/>
          </w:tcPr>
          <w:p>
            <w:pPr>
              <w:ind w:left="4500"/>
              <w:spacing w:after="0" w:line="14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110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6820" w:type="dxa"/>
            <w:vAlign w:val="bottom"/>
          </w:tcPr>
          <w:p>
            <w:pPr>
              <w:ind w:left="4500"/>
              <w:spacing w:after="0" w:line="113"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6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4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tcPr>
          <w:p>
            <w:pPr>
              <w:ind w:left="6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3"/>
          </w:tcPr>
          <w:p>
            <w:pPr>
              <w:jc w:val="center"/>
              <w:ind w:right="2"/>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40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03/10/2025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ind w:right="49"/>
              <w:spacing w:after="0"/>
              <w:rPr>
                <w:sz w:val="20"/>
                <w:szCs w:val="20"/>
                <w:color w:val="auto"/>
              </w:rPr>
            </w:pPr>
            <w:r>
              <w:rPr>
                <w:rFonts w:ascii="Times New Roman" w:cs="Times New Roman" w:eastAsia="Times New Roman" w:hAnsi="Times New Roman"/>
                <w:sz w:val="17"/>
                <w:szCs w:val="17"/>
                <w:color w:val="0000FF"/>
              </w:rPr>
              <w:t>5,794</w:t>
            </w:r>
          </w:p>
        </w:tc>
        <w:tc>
          <w:tcPr>
            <w:tcW w:w="540" w:type="dxa"/>
            <w:vAlign w:val="bottom"/>
            <w:tcBorders>
              <w:bottom w:val="single" w:sz="8" w:color="2C2C2C"/>
            </w:tcBorders>
          </w:tcPr>
          <w:p>
            <w:pPr>
              <w:jc w:val="center"/>
              <w:ind w:left="7"/>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0.5384</w:t>
            </w:r>
            <w:r>
              <w:rPr>
                <w:rFonts w:ascii="Times New Roman" w:cs="Times New Roman" w:eastAsia="Times New Roman" w:hAnsi="Times New Roman"/>
                <w:sz w:val="22"/>
                <w:szCs w:val="22"/>
                <w:color w:val="008000"/>
                <w:vertAlign w:val="superscript"/>
              </w:rPr>
              <w:t>(2)</w:t>
            </w:r>
          </w:p>
        </w:tc>
        <w:tc>
          <w:tcPr>
            <w:tcW w:w="11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324,461</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03/10/2025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(4)</w:t>
            </w:r>
          </w:p>
        </w:tc>
        <w:tc>
          <w:tcPr>
            <w:tcW w:w="720" w:type="dxa"/>
            <w:vAlign w:val="bottom"/>
            <w:tcBorders>
              <w:bottom w:val="single" w:sz="8" w:color="2C2C2C"/>
            </w:tcBorders>
          </w:tcPr>
          <w:p>
            <w:pPr>
              <w:jc w:val="right"/>
              <w:ind w:right="49"/>
              <w:spacing w:after="0"/>
              <w:rPr>
                <w:sz w:val="20"/>
                <w:szCs w:val="20"/>
                <w:color w:val="auto"/>
              </w:rPr>
            </w:pPr>
            <w:r>
              <w:rPr>
                <w:rFonts w:ascii="Times New Roman" w:cs="Times New Roman" w:eastAsia="Times New Roman" w:hAnsi="Times New Roman"/>
                <w:sz w:val="17"/>
                <w:szCs w:val="17"/>
                <w:color w:val="0000FF"/>
              </w:rPr>
              <w:t>3,947</w:t>
            </w:r>
          </w:p>
        </w:tc>
        <w:tc>
          <w:tcPr>
            <w:tcW w:w="540" w:type="dxa"/>
            <w:vAlign w:val="bottom"/>
            <w:tcBorders>
              <w:bottom w:val="single" w:sz="8" w:color="2C2C2C"/>
            </w:tcBorders>
          </w:tcPr>
          <w:p>
            <w:pPr>
              <w:jc w:val="center"/>
              <w:ind w:left="7"/>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0.5384</w:t>
            </w:r>
            <w:r>
              <w:rPr>
                <w:rFonts w:ascii="Times New Roman" w:cs="Times New Roman" w:eastAsia="Times New Roman" w:hAnsi="Times New Roman"/>
                <w:sz w:val="22"/>
                <w:szCs w:val="22"/>
                <w:color w:val="008000"/>
                <w:vertAlign w:val="superscript"/>
              </w:rPr>
              <w:t>(2)</w:t>
            </w:r>
          </w:p>
        </w:tc>
        <w:tc>
          <w:tcPr>
            <w:tcW w:w="11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320,514</w:t>
            </w:r>
            <w:r>
              <w:rPr>
                <w:rFonts w:ascii="Times New Roman" w:cs="Times New Roman" w:eastAsia="Times New Roman" w:hAnsi="Times New Roman"/>
                <w:sz w:val="22"/>
                <w:szCs w:val="22"/>
                <w:color w:val="008000"/>
                <w:vertAlign w:val="superscript"/>
              </w:rPr>
              <w:t>(5)</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sold to cover tax withholding obligations in connection with the vesting of restricted stock units awarded on February 15, 2023.</w:t>
      </w:r>
    </w:p>
    <w:p>
      <w:pPr>
        <w:spacing w:after="0" w:line="50" w:lineRule="exact"/>
        <w:rPr>
          <w:rFonts w:ascii="Times New Roman" w:cs="Times New Roman" w:eastAsia="Times New Roman" w:hAnsi="Times New Roman"/>
          <w:sz w:val="13"/>
          <w:szCs w:val="13"/>
          <w:color w:val="008000"/>
        </w:rPr>
      </w:pPr>
    </w:p>
    <w:p>
      <w:pPr>
        <w:ind w:left="40" w:right="1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sales price. The shares were sold in multiple transactions at prices ranging from $0.5080 to $0.5846. Reporting Person undertakes to provide Tenaya Therapeutics, Inc., any security holder of Tenaya Therapeutics, Inc.,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278,799 shares of Tenaya Therapeutics, Inc. common stock that will be issued to the Reporting Person upon vesting of restricted stock units.</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sold to cover tax withholding obligations in connection with the vesting of restricted stock units awarded on February 23, 2024.</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268,174 shares of Tenaya Therapeutics, Inc. common stock that will be issued to the Reporting Person upon vesting of restricted stock units.</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Jennifer Drimmer</w:t>
            </w:r>
          </w:p>
        </w:tc>
        <w:tc>
          <w:tcPr>
            <w:tcW w:w="620" w:type="dxa"/>
            <w:vAlign w:val="bottom"/>
            <w:gridSpan w:val="2"/>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03/10/2025</w:t>
            </w:r>
          </w:p>
        </w:tc>
        <w:tc>
          <w:tcPr>
            <w:tcW w:w="0" w:type="dxa"/>
            <w:vAlign w:val="bottom"/>
          </w:tcPr>
          <w:p>
            <w:pPr>
              <w:spacing w:after="0"/>
              <w:rPr>
                <w:sz w:val="1"/>
                <w:szCs w:val="1"/>
                <w:color w:val="auto"/>
              </w:rPr>
            </w:pPr>
          </w:p>
        </w:tc>
      </w:tr>
      <w:tr>
        <w:trPr>
          <w:trHeight w:val="87"/>
        </w:trPr>
        <w:tc>
          <w:tcPr>
            <w:tcW w:w="1940" w:type="dxa"/>
            <w:vAlign w:val="bottom"/>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Rokovich, Attorney-in-Fact</w:t>
            </w:r>
          </w:p>
        </w:tc>
        <w:tc>
          <w:tcPr>
            <w:tcW w:w="1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940" w:type="dxa"/>
            <w:vAlign w:val="bottom"/>
            <w:tcBorders>
              <w:bottom w:val="single" w:sz="8" w:color="auto"/>
            </w:tcBorders>
            <w:gridSpan w:val="2"/>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667937" TargetMode="External"/><Relationship Id="rId14" Type="http://schemas.openxmlformats.org/officeDocument/2006/relationships/hyperlink" Target="http://www.sec.gov/cgi-bin/browse-edgar?action=getcompany&amp;CIK=00018588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2025-03-10T20:49:58Z</dcterms:created>
  <dcterms:modified xsi:type="dcterms:W3CDTF">2025-03-10T20:49:58Z</dcterms:modified>
</cp:coreProperties>
</file>