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68429d424b5.htm"/>
        <w:bookmarkStart w:id="1" w:name="ksd868429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424(b)(5) </w:t>
        <w:br/>
        <w:t xml:space="preserve">Registration No. 333-266741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supplement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they are not soliciting an offer to buy these securities in any state or other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MARCH 3, 2025 </w:t>
      </w:r>
    </w:p>
    <w:p>
      <w:pPr>
        <w:pStyle w:val="TextBody"/>
        <w:bidi w:val="0"/>
        <w:spacing w:before="120" w:after="0"/>
        <w:ind w:left="960" w:right="960" w:hanging="0"/>
        <w:jc w:val="left"/>
        <w:rPr>
          <w:rFonts w:ascii="Times New Roman" w:hAnsi="Times New Roman"/>
          <w:b/>
          <w:sz w:val="18"/>
        </w:rPr>
      </w:pPr>
      <w:r>
        <w:rPr>
          <w:rFonts w:ascii="Times New Roman" w:hAnsi="Times New Roman"/>
          <w:b/>
          <w:sz w:val="18"/>
        </w:rPr>
        <w:t xml:space="preserve">PRELIMINARY PROSPECTUS SUPPLEMENT </w:t>
      </w:r>
    </w:p>
    <w:p>
      <w:pPr>
        <w:pStyle w:val="TextBody"/>
        <w:bidi w:val="0"/>
        <w:spacing w:before="0" w:after="0"/>
        <w:ind w:left="960" w:right="960" w:hanging="0"/>
        <w:jc w:val="left"/>
        <w:rPr>
          <w:rFonts w:ascii="Times New Roman" w:hAnsi="Times New Roman"/>
          <w:b/>
          <w:sz w:val="18"/>
        </w:rPr>
      </w:pPr>
      <w:r>
        <w:rPr>
          <w:rFonts w:ascii="Times New Roman" w:hAnsi="Times New Roman"/>
          <w:b/>
          <w:sz w:val="18"/>
        </w:rPr>
        <w:t xml:space="preserve">(To prospectus dated August 17, 2022) </w:t>
      </w:r>
    </w:p>
    <w:p>
      <w:pPr>
        <w:pStyle w:val="TextBody"/>
        <w:bidi w:val="0"/>
        <w:spacing w:before="120" w:after="0"/>
        <w:ind w:left="960" w:right="960" w:hanging="0"/>
        <w:jc w:val="center"/>
        <w:rPr>
          <w:rFonts w:ascii="Times New Roman" w:hAnsi="Times New Roman"/>
          <w:b/>
          <w:sz w:val="22"/>
        </w:rPr>
      </w:pPr>
      <w:r>
        <w:rPr>
          <w:rFonts w:ascii="Times New Roman" w:hAnsi="Times New Roman"/>
          <w:b/>
          <w:sz w:val="22"/>
        </w:rPr>
        <w:t xml:space="preserve">UNITS CONSISTING OF ONE SHARE OF COMMON STOCK, ONE SERIES A WARRANT TO PURCHASE COMMON STOCK AND ONE SERIES B WARRANT TO PURCHASE COMMON STOCK </w:t>
      </w:r>
    </w:p>
    <w:p>
      <w:pPr>
        <w:pStyle w:val="TextBody"/>
        <w:bidi w:val="0"/>
        <w:spacing w:before="120" w:after="0"/>
        <w:ind w:left="960" w:right="960" w:hanging="0"/>
        <w:jc w:val="center"/>
        <w:rPr>
          <w:rFonts w:ascii="Times New Roman" w:hAnsi="Times New Roman"/>
          <w:b/>
          <w:sz w:val="22"/>
        </w:rPr>
      </w:pPr>
      <w:r>
        <w:rPr>
          <w:rFonts w:ascii="Times New Roman" w:hAnsi="Times New Roman"/>
          <w:b/>
          <w:sz w:val="22"/>
        </w:rPr>
        <w:t xml:space="preserve">PRE-FUNDED UNITS CONSISTING OF ONE PRE-FUNDED WARRANT TO PURCHASE ONE SHARE OF COMMON STOCK, ONE SERIES A WARRANT TO PURCHASE COMMON STOCK AND ONE SERIES B WARRANT TO PURCHASE COMMON STOCK </w:t>
      </w:r>
    </w:p>
    <w:p>
      <w:pPr>
        <w:pStyle w:val="TextBody"/>
        <w:bidi w:val="0"/>
        <w:spacing w:before="120" w:after="0"/>
        <w:ind w:left="960" w:right="960" w:hanging="0"/>
        <w:jc w:val="center"/>
        <w:rPr>
          <w:rFonts w:ascii="Times New Roman" w:hAnsi="Times New Roman"/>
          <w:b/>
          <w:sz w:val="22"/>
        </w:rPr>
      </w:pPr>
      <w:r>
        <w:rPr>
          <w:rFonts w:ascii="Times New Roman" w:hAnsi="Times New Roman"/>
          <w:b/>
          <w:sz w:val="22"/>
        </w:rPr>
        <w:t xml:space="preserve">SHARES OF COMMON STOCK ISSUABLE UPON THE EXERCISE OF THE PRE-FUNDED WARRANTS, SERIES A WARRANTS AND SERIES B WARRANTS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549400" cy="5664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49400" cy="566420"/>
                    </a:xfrm>
                    <a:prstGeom prst="rect">
                      <a:avLst/>
                    </a:prstGeom>
                  </pic:spPr>
                </pic:pic>
              </a:graphicData>
            </a:graphic>
          </wp:inline>
        </w:drawing>
      </w:r>
      <w:r>
        <w:rPr/>
        <w:t xml:space="preserve">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We are offering        units (collectively, the units) in a firm commitment underwritten public offering. Each unit consists of (i) one share of our common stock, (ii) a warrant to purchase            share of our common stock (which equates to           % warrant coverage) at an exercise price of $   per share, which will be immediately exercisable and will expire five years from the date of issuance (a Series A Warrant) and (iii) a warrant to purchase            share of our common stock (which equates to           % warrant coverage) at an exercise price of $   per share, which will be immediately exercisable and expire on June 30, 2026 (a Series B Warrant).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We are also offering to certain investors the opportunity to purchase, in lieu of the units, pre-funded units (collectively, the pre-funded units), consisting of (i) one pre-funded warrant to purchase one share of common stock, (ii) one Series A Warrant and (iii) one Series B Warrant. The purchase price of each pre-funded unit will equal the price per unit being sold to the public in this offering, minus $0.001, and the exercise price of each pre-funded warrant will equal $0.001 per share of common stock.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The shares of common stock (or pre-funded warrants sold in lieu thereof) and the accompanying warrants can only be purchased together in this offering but will be issued separately and will be immediately separable upon issuance.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This prospectus supplement also relates to the offering of the shares of our common stock issuable upon the exercise of such pre-funded warrants, Series A Warrants and Series B Warrants.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Certain existing stockholders, including stockholders affiliated with certain of our directors, are participating in this offering and have expressed an interest in purchasing an aggregate of $25,000,000 of our units on the same terms as other investors in this offering. However, because these indications of interest are not binding agreements or commitments to purchase, the underwriters may determine to sell more, less or no units in this offering to any or all of these potential purchasers, or any or all of these potential purchasers may determine to purchase more, less or no units in this offering. See the section titled Underwriting for more information regarding these arrangements.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Our common stock is listed on the Nasdaq Global Select Market under the symbol TNYA.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On February 28, 2025, the last reported sale price of our common stock was $1.01 per share. There is no established public trading market for the pre-funded warrants, the Series A Warrants or the Series B Warrants, and we do not expect a market to develop. We do not intend to list the pre-funded warrants, the Series A Warrants or the Series B Warrants on the Nasdaq Global Select Market, any other national securities exchange or any other recognized trading system.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We are an emerging growth company and a smaller reporting company as defined under U.S. federal securities laws and as such, we have elected to comply with certain reduced public company reporting requirements for this prospectus supplement and may elect to do so for future filings. See Prospectus Supplement SummaryImplications of Being an Emerging Growth Company and a Smaller Reporting Company. </w:t>
      </w:r>
    </w:p>
    <w:p>
      <w:pPr>
        <w:pStyle w:val="TextBody"/>
        <w:bidi w:val="0"/>
        <w:spacing w:before="0" w:after="0"/>
        <w:ind w:left="960" w:right="960" w:hanging="0"/>
        <w:jc w:val="left"/>
        <w:rPr/>
      </w:pPr>
      <w:r>
        <w:rPr/>
        <w:t> </w:t>
      </w:r>
    </w:p>
    <w:tbl>
      <w:tblPr>
        <w:tblW w:w="4200" w:type="pct"/>
        <w:jc w:val="center"/>
        <w:tblInd w:w="0" w:type="dxa"/>
        <w:tblLayout w:type="fixed"/>
        <w:tblCellMar>
          <w:top w:w="0" w:type="dxa"/>
          <w:left w:w="0" w:type="dxa"/>
          <w:bottom w:w="0" w:type="dxa"/>
          <w:right w:w="0" w:type="dxa"/>
        </w:tblCellMar>
      </w:tblPr>
      <w:tblGrid>
        <w:gridCol w:w="4039"/>
        <w:gridCol w:w="333"/>
        <w:gridCol w:w="173"/>
        <w:gridCol w:w="693"/>
        <w:gridCol w:w="74"/>
        <w:gridCol w:w="334"/>
        <w:gridCol w:w="314"/>
        <w:gridCol w:w="1257"/>
        <w:gridCol w:w="74"/>
        <w:gridCol w:w="334"/>
        <w:gridCol w:w="172"/>
        <w:gridCol w:w="694"/>
        <w:gridCol w:w="81"/>
      </w:tblGrid>
      <w:tr>
        <w:trPr/>
        <w:tc>
          <w:tcPr>
            <w:tcW w:w="4039"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r>
      <w:tr>
        <w:trPr/>
        <w:tc>
          <w:tcPr>
            <w:tcW w:w="4039"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Unit</w:t>
            </w:r>
          </w:p>
        </w:tc>
        <w:tc>
          <w:tcPr>
            <w:tcW w:w="74"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571" w:type="dxa"/>
            <w:gridSpan w:val="2"/>
            <w:tcBorders>
              <w:bottom w:val="single" w:sz="8" w:space="0" w:color="000000"/>
            </w:tcBorders>
            <w:tcMar>
              <w:bottom w:w="28" w:type="dxa"/>
            </w:tcMar>
            <w:vAlign w:val="bottom"/>
          </w:tcPr>
          <w:p>
            <w:pPr>
              <w:pStyle w:val="TableContents"/>
              <w:bidi w:val="0"/>
              <w:spacing w:before="0" w:after="283"/>
              <w:jc w:val="center"/>
              <w:rPr/>
            </w:pPr>
            <w:r>
              <w:rPr>
                <w:b/>
              </w:rPr>
              <w:t>Per</w:t>
            </w:r>
            <w:r>
              <w:rPr/>
              <w:br/>
            </w:r>
            <w:r>
              <w:rPr>
                <w:b/>
              </w:rPr>
              <w:t>Pre-Funded</w:t>
            </w:r>
            <w:r>
              <w:rPr/>
              <w:br/>
            </w:r>
            <w:r>
              <w:rPr>
                <w:b/>
              </w:rPr>
              <w:t>Unit</w:t>
            </w:r>
          </w:p>
        </w:tc>
        <w:tc>
          <w:tcPr>
            <w:tcW w:w="74"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81" w:type="dxa"/>
            <w:tcBorders/>
            <w:vAlign w:val="bottom"/>
          </w:tcPr>
          <w:p>
            <w:pPr>
              <w:pStyle w:val="TableContents"/>
              <w:bidi w:val="0"/>
              <w:spacing w:before="0" w:after="283"/>
              <w:jc w:val="left"/>
              <w:rPr/>
            </w:pPr>
            <w:r>
              <w:rPr/>
              <w:t> </w:t>
            </w:r>
          </w:p>
        </w:tc>
      </w:tr>
      <w:tr>
        <w:trPr/>
        <w:tc>
          <w:tcPr>
            <w:tcW w:w="403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Public offering price</w:t>
            </w:r>
          </w:p>
        </w:tc>
        <w:tc>
          <w:tcPr>
            <w:tcW w:w="333"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693"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w:t>
            </w:r>
          </w:p>
        </w:tc>
        <w:tc>
          <w:tcPr>
            <w:tcW w:w="1257"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r>
      <w:tr>
        <w:trPr/>
        <w:tc>
          <w:tcPr>
            <w:tcW w:w="4039" w:type="dxa"/>
            <w:tcBorders/>
          </w:tcPr>
          <w:p>
            <w:pPr>
              <w:pStyle w:val="TableContents"/>
              <w:bidi w:val="0"/>
              <w:spacing w:before="0" w:after="0"/>
              <w:jc w:val="left"/>
              <w:rPr>
                <w:rFonts w:ascii="Times New Roman" w:hAnsi="Times New Roman"/>
                <w:sz w:val="18"/>
              </w:rPr>
            </w:pPr>
            <w:r>
              <w:rPr>
                <w:rFonts w:ascii="Times New Roman" w:hAnsi="Times New Roman"/>
                <w:sz w:val="18"/>
              </w:rPr>
              <w:t>Underwriting discounts and commissions (1)</w:t>
            </w:r>
          </w:p>
        </w:tc>
        <w:tc>
          <w:tcPr>
            <w:tcW w:w="333"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693"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w:t>
            </w:r>
          </w:p>
        </w:tc>
        <w:tc>
          <w:tcPr>
            <w:tcW w:w="1257"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r>
      <w:tr>
        <w:trPr/>
        <w:tc>
          <w:tcPr>
            <w:tcW w:w="403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to Tenaya Therapeutics, Inc., before expenses</w:t>
            </w:r>
          </w:p>
        </w:tc>
        <w:tc>
          <w:tcPr>
            <w:tcW w:w="333"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693"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w:t>
            </w:r>
          </w:p>
        </w:tc>
        <w:tc>
          <w:tcPr>
            <w:tcW w:w="1257"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See Underwriting for a description of the compensation payable to the underwriters. </w:t>
            </w:r>
          </w:p>
        </w:tc>
      </w:tr>
    </w:tbl>
    <w:p>
      <w:pPr>
        <w:pStyle w:val="TextBody"/>
        <w:bidi w:val="0"/>
        <w:spacing w:before="120" w:after="0"/>
        <w:ind w:left="960" w:right="960" w:hanging="0"/>
        <w:jc w:val="left"/>
        <w:rPr/>
      </w:pPr>
      <w:r>
        <w:rPr>
          <w:rFonts w:ascii="Times New Roman" w:hAnsi="Times New Roman"/>
          <w:b/>
          <w:sz w:val="18"/>
        </w:rPr>
        <w:t>INVESTING IN OUR SECURITIES INVOLVES SIGNIFICANT RISKS. YOU SHOULD REVIEW CAREFULLY THE </w:t>
      </w:r>
      <w:hyperlink w:anchor="supptoc868429_4">
        <w:r>
          <w:rPr>
            <w:rStyle w:val="InternetLink"/>
            <w:rFonts w:ascii="Times New Roman" w:hAnsi="Times New Roman"/>
            <w:b/>
            <w:sz w:val="18"/>
          </w:rPr>
          <w:t>RISK FACTORS</w:t>
        </w:r>
      </w:hyperlink>
      <w:r>
        <w:rPr>
          <w:rFonts w:ascii="Times New Roman" w:hAnsi="Times New Roman"/>
          <w:b/>
          <w:sz w:val="18"/>
        </w:rPr>
        <w:t xml:space="preserve"> ON PAGE S-14 OF THIS PROSPECTUS SUPPLEMENT AND IN THE DOCUMENTS INCORPORATED BY REFERENCE IN THIS PROSPECTUS SUPPLEMENT AND ACCOMPANYING PROSPECTUS BEFORE INVESTING IN OUR SECURITIES. </w:t>
      </w:r>
    </w:p>
    <w:p>
      <w:pPr>
        <w:pStyle w:val="TextBody"/>
        <w:bidi w:val="0"/>
        <w:spacing w:before="120" w:after="0"/>
        <w:ind w:left="960" w:right="960" w:hanging="0"/>
        <w:jc w:val="left"/>
        <w:rPr>
          <w:rFonts w:ascii="Times New Roman" w:hAnsi="Times New Roman"/>
          <w:b/>
          <w:sz w:val="16"/>
        </w:rPr>
      </w:pPr>
      <w:r>
        <w:rPr>
          <w:rFonts w:ascii="Times New Roman" w:hAnsi="Times New Roman"/>
          <w:b/>
          <w:sz w:val="16"/>
        </w:rPr>
        <w:t xml:space="preserve">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The underwriters expect to deliver the shares of common stock, pre-funded warrants, Series A Warrants and Series B Warrants to purchasers on or about     , 2025.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The shares of common stock included in the units will be delivered through the facilities of The Depositary Trust Company (DTC). The pre-funded warrants, Series A Warrants and Series B Warrants included in the units (or pre-funded units, as applicable) will be delivered to purchasers in certificated form. </w:t>
      </w:r>
    </w:p>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5103"/>
        <w:gridCol w:w="101"/>
        <w:gridCol w:w="5001"/>
      </w:tblGrid>
      <w:tr>
        <w:trPr/>
        <w:tc>
          <w:tcPr>
            <w:tcW w:w="51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b/>
              </w:rPr>
            </w:pPr>
            <w:r>
              <w:rPr>
                <w:b/>
              </w:rPr>
              <w:t>Leerink Partners</w:t>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right"/>
              <w:rPr>
                <w:b/>
              </w:rPr>
            </w:pPr>
            <w:r>
              <w:rPr>
                <w:b/>
              </w:rPr>
              <w:t>Piper Sandler</w:t>
            </w:r>
          </w:p>
        </w:tc>
      </w:tr>
    </w:tbl>
    <w:p>
      <w:pPr>
        <w:pStyle w:val="TextBody"/>
        <w:bidi w:val="0"/>
        <w:spacing w:before="120" w:after="0"/>
        <w:ind w:left="960" w:right="960" w:hanging="0"/>
        <w:jc w:val="center"/>
        <w:rPr>
          <w:rFonts w:ascii="Times New Roman" w:hAnsi="Times New Roman"/>
          <w:b/>
          <w:sz w:val="16"/>
        </w:rPr>
      </w:pPr>
      <w:r>
        <w:rPr>
          <w:rFonts w:ascii="Times New Roman" w:hAnsi="Times New Roman"/>
          <w:b/>
          <w:sz w:val="16"/>
        </w:rPr>
        <w:t xml:space="preserve">The date of this prospectus supplement is     , 2025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868429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868429_2">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868429_3">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868429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868429_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868429_8">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868429_6">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868429_7">
              <w:r>
                <w:rPr>
                  <w:rStyle w:val="InternetLink"/>
                  <w:rFonts w:ascii="Times New Roman" w:hAnsi="Times New Roman"/>
                  <w:sz w:val="20"/>
                </w:rPr>
                <w:t>DESCRIPTION OF SECURITIES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868429_9">
              <w:r>
                <w:rPr>
                  <w:rStyle w:val="InternetLink"/>
                  <w:rFonts w:ascii="Times New Roman" w:hAnsi="Times New Roman"/>
                  <w:sz w:val="20"/>
                </w:rPr>
                <w:t>MATERIAL U.S. FEDERAL INCOME TAX CONSEQUENCES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868429_10">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868429_11">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868429_12">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868429_13">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868429_14">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S-44</w:t>
            </w:r>
          </w:p>
        </w:tc>
        <w:tc>
          <w:tcPr>
            <w:tcW w:w="62"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68429_1">
              <w:r>
                <w:rPr>
                  <w:rStyle w:val="InternetLink"/>
                  <w:rFonts w:ascii="Times New Roman" w:hAnsi="Times New Roman"/>
                  <w:sz w:val="20"/>
                </w:rPr>
                <w:t xml:space="preserve">ABOUT THIS PROSPECTUS </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68429_2">
              <w:r>
                <w:rPr>
                  <w:rStyle w:val="InternetLink"/>
                  <w:rFonts w:ascii="Times New Roman" w:hAnsi="Times New Roman"/>
                  <w:sz w:val="20"/>
                </w:rPr>
                <w:t xml:space="preserve">PROSPECTUS SUMMARY </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68429_3">
              <w:r>
                <w:rPr>
                  <w:rStyle w:val="InternetLink"/>
                  <w:rFonts w:ascii="Times New Roman" w:hAnsi="Times New Roman"/>
                  <w:sz w:val="20"/>
                </w:rPr>
                <w:t xml:space="preserve">RISK FACTORS </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68429_4">
              <w:r>
                <w:rPr>
                  <w:rStyle w:val="InternetLink"/>
                  <w:rFonts w:ascii="Times New Roman" w:hAnsi="Times New Roman"/>
                  <w:sz w:val="20"/>
                </w:rPr>
                <w:t xml:space="preserve">FORWARD-LOOKING STATEMENTS </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68429_5">
              <w:r>
                <w:rPr>
                  <w:rStyle w:val="InternetLink"/>
                  <w:rFonts w:ascii="Times New Roman" w:hAnsi="Times New Roman"/>
                  <w:sz w:val="20"/>
                </w:rPr>
                <w:t xml:space="preserve">USE OF PROCEEDS </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68429_6">
              <w:r>
                <w:rPr>
                  <w:rStyle w:val="InternetLink"/>
                  <w:rFonts w:ascii="Times New Roman" w:hAnsi="Times New Roman"/>
                  <w:sz w:val="20"/>
                </w:rPr>
                <w:t xml:space="preserve">DESCRIPTION OF CAPITAL STOCK </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68429_7">
              <w:r>
                <w:rPr>
                  <w:rStyle w:val="InternetLink"/>
                  <w:rFonts w:ascii="Times New Roman" w:hAnsi="Times New Roman"/>
                  <w:sz w:val="20"/>
                </w:rPr>
                <w:t xml:space="preserve">DESCRIPTION OF DEBT SECURITIES </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68429_8">
              <w:r>
                <w:rPr>
                  <w:rStyle w:val="InternetLink"/>
                  <w:rFonts w:ascii="Times New Roman" w:hAnsi="Times New Roman"/>
                  <w:sz w:val="20"/>
                </w:rPr>
                <w:t xml:space="preserve">DESCRIPTION OF DEPOSITARY SHARES </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68429_9">
              <w:r>
                <w:rPr>
                  <w:rStyle w:val="InternetLink"/>
                  <w:rFonts w:ascii="Times New Roman" w:hAnsi="Times New Roman"/>
                  <w:sz w:val="20"/>
                </w:rPr>
                <w:t xml:space="preserve">DESCRIPTION OF WARRANTS </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68429_10">
              <w:r>
                <w:rPr>
                  <w:rStyle w:val="InternetLink"/>
                  <w:rFonts w:ascii="Times New Roman" w:hAnsi="Times New Roman"/>
                  <w:sz w:val="20"/>
                </w:rPr>
                <w:t xml:space="preserve">DESCRIPTION OF SUBSCRIPTION RIGHTS </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68429_11">
              <w:r>
                <w:rPr>
                  <w:rStyle w:val="InternetLink"/>
                  <w:rFonts w:ascii="Times New Roman" w:hAnsi="Times New Roman"/>
                  <w:sz w:val="20"/>
                </w:rPr>
                <w:t xml:space="preserve">DESCRIPTION OF PURCHASE CONTRACTS </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68429_12">
              <w:r>
                <w:rPr>
                  <w:rStyle w:val="InternetLink"/>
                  <w:rFonts w:ascii="Times New Roman" w:hAnsi="Times New Roman"/>
                  <w:sz w:val="20"/>
                </w:rPr>
                <w:t xml:space="preserve">DESCRIPTION OF UNITS </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68429_13">
              <w:r>
                <w:rPr>
                  <w:rStyle w:val="InternetLink"/>
                  <w:rFonts w:ascii="Times New Roman" w:hAnsi="Times New Roman"/>
                  <w:sz w:val="20"/>
                </w:rPr>
                <w:t xml:space="preserve">PLAN OF DISTRIBUTION </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68429_14">
              <w:r>
                <w:rPr>
                  <w:rStyle w:val="InternetLink"/>
                  <w:rFonts w:ascii="Times New Roman" w:hAnsi="Times New Roman"/>
                  <w:sz w:val="20"/>
                </w:rPr>
                <w:t xml:space="preserve">LEGAL MATTERS </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68429_15">
              <w:r>
                <w:rPr>
                  <w:rStyle w:val="InternetLink"/>
                  <w:rFonts w:ascii="Times New Roman" w:hAnsi="Times New Roman"/>
                  <w:sz w:val="20"/>
                </w:rPr>
                <w:t xml:space="preserve">EXPERTS </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68429_16">
              <w:r>
                <w:rPr>
                  <w:rStyle w:val="InternetLink"/>
                  <w:rFonts w:ascii="Times New Roman" w:hAnsi="Times New Roman"/>
                  <w:sz w:val="20"/>
                </w:rPr>
                <w:t xml:space="preserve">WHERE YOU CAN FIND MORE INFORMATION </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68429_17">
              <w:r>
                <w:rPr>
                  <w:rStyle w:val="InternetLink"/>
                  <w:rFonts w:ascii="Times New Roman" w:hAnsi="Times New Roman"/>
                  <w:sz w:val="20"/>
                </w:rPr>
                <w:t xml:space="preserve">INCORPORATION BY REFERENCE </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oc868429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 registration statement on Form S-3 that we filed with the Securities and Exchange Commission (the SEC), using a shelf registration process. </w:t>
      </w:r>
    </w:p>
    <w:p>
      <w:pPr>
        <w:pStyle w:val="TextBody"/>
        <w:bidi w:val="0"/>
        <w:spacing w:before="240" w:after="0"/>
        <w:jc w:val="left"/>
        <w:rPr>
          <w:rFonts w:ascii="Times New Roman" w:hAnsi="Times New Roman"/>
          <w:sz w:val="20"/>
        </w:rPr>
      </w:pPr>
      <w:r>
        <w:rPr>
          <w:rFonts w:ascii="Times New Roman" w:hAnsi="Times New Roman"/>
          <w:sz w:val="20"/>
        </w:rPr>
        <w:t xml:space="preserve">We are providing information to you about this offering of our securities in two parts. The first part is this prospectus supplement, which provides you with specific information regarding the terms of this offering of our securities, and also adds to and updates information contained in the accompanying prospectus and the documents incorporated by reference in this prospectus supplement and the accompanying prospectus. The second part is the accompanying prospectus, which provides more general information, some of which does not apply to this offering of our securities. Generally, when we refer to this prospectus, we are referring to both parts of this document combined. </w:t>
      </w:r>
    </w:p>
    <w:p>
      <w:pPr>
        <w:pStyle w:val="TextBody"/>
        <w:bidi w:val="0"/>
        <w:spacing w:before="240" w:after="0"/>
        <w:jc w:val="left"/>
        <w:rPr>
          <w:rFonts w:ascii="Times New Roman" w:hAnsi="Times New Roman"/>
          <w:sz w:val="20"/>
        </w:rPr>
      </w:pPr>
      <w:r>
        <w:rPr>
          <w:rFonts w:ascii="Times New Roman" w:hAnsi="Times New Roman"/>
          <w:sz w:val="20"/>
        </w:rPr>
        <w:t xml:space="preserve">Before buying any of the securities that we are offering, we urge you to carefully read this prospectus supplement, the accompanying prospectus and all of the information incorporated by reference herein, as well as the additional information described under the headings Where You Can Find More Information and Incorporation of Certain Information by Reference. These documents contain important information that you should consider when making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there is a conflict between the information contained in this prospectus supplement, on the one hand, and the information contained in any document incorporated by reference in this prospectus supplement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or therein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underwriters have authorized anyone to provide you with any information or to make any representation, other than those contained or incorporated by reference in this prospectus supplement and in the accompanying prospectus or in any related free writing prospectus that we authorize for use in connection with this offering and to which we have referred you. We take no responsibility for, and can provide no assurance as to the reliability of, any other information that others may give you. You should assume that the information appearing in this prospectus supplement, the documents incorporated by reference and the accompanying prospectus or any free writing prospectus is accurate only as of their respective dates.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to sell, and seeking offers to buy, our securities only in jurisdictions where offers and sales are permitted. The distribution of this prospectus supplement and the accompanying prospectus and the offering of the securities in certain jurisdictions may be restricted by law. Persons outside the United States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references in this prospectus supplement, the accompanying prospectus and the information incorporated by reference herein and therein to Tenaya Therapeutics, Tenaya, we, our and us refer, collectively, to Tenaya Therapeutics, Inc. We have proprietary rights to trademarks that are used in this prospectus supplement and the documents incorporated by reference herein, which are important to our business and many of which are registered under applicable intellectual property laws. Solely for convenience, the trademarks, service marks, logos and trade names referred to in this prospectus supplement and the documents incorporated by reference herein may be without the  symbol, but such references are not intended to indicate, in any way, that we will not assert, to the fullest extent under applicable law, our rights to these trademarks, service marks and trade names. This prospectus supplement and the documents incorporated by reference herein contain additional trademarks, service marks and trade names of others, which are the property of their respective owners. All trademarks, service marks and trade names appearing in this prospectus supplement and the documents incorporated by reference herein are, to our knowledge, the property of their respective owners. We do not intend our use or display of other companies trademarks, service marks, copyrights or trade names to imply a relationship with, or endorsement or sponsorship of us by, any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oc868429_2"/>
      <w:bookmarkEnd w:id="4"/>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incorporated by reference herein and therein, contain forward-looking statements within the meaning of Section 27A of the Securities Act, and Section 21E of the Exchange Act. All statements other than statements of historical facts contained in this prospectus supplement, the accompanying prospectus, and the documents incorporated by reference herein and therein, including statements regarding our future results of operations and financial position, business strategy, development plans, planned preclinical studies and clinical trials, future results of preclinical studies and clinical trials, expected research and development costs, regulatory strategy, timing and likelihood of success, as well as plans and objectives of management for future operations, are forward-looking statements. The words may, will, should, would, expect, plan, anticipate, could, intend, target, project, contemplate, believe, estimate, predict, potential or continue or the negative of these terms and similar expressions and variations thereof are intended to identify forward-looking statements but are not the exclusive means of identifying such statements. These 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ongoing preclinical studies and ongoing or planned clinical trials to demonstrate safety and efficacy of our product candidates, and other positive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progress and results of preclinical studies and ongoing or planned clinical trials for our current product candidates and other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scope and likelihood of regulatory filings and approvals, including timing of investigational new drugs, clinical trial applications, Food and Drug Administration approvals and final regulatory approval of our current product candidates and any other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and advance our product candidates and programs into, and successfully complete,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of the market opportunity for our product candidates, including our estimates of the number of patients who suffer from the diseases we are targeting;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manufacturing, commercialization and marketing capabilities and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commercializing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need to hire additional personnel and our ability to attract and retain such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position and 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the further development of our product candidates, including additional indications and targets we may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existing laws and regulations and regulatory developments in the United States, Europe and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intellectual property position, including the scope of protection we are able to establish and maintain for intellectual property rights covering our current product candidates, including the extensions of existing patent terms where available, the validity of intellectual property rights held by third parties, and our ability not to infringe, misappropriate or otherwise violate any third-party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continued reliance on third parties to conduct preclinical studies and clinical trials of our product candidates and for the development and manufacture of our product candidates for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negotiate favorable terms of, any collaboration, partnership, licensing or other arrangements that may be necessary or desirable to develop, manufacture or commercialize our product candidates, as well as our ability to realize the potential benefits of any such agreements;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our product candidates, if approved, including any increase in demand as a result of the availability of reimbursement from the government and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and clinical utility of our current product candidates and other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expenses, operating losses, future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over which we estimate our existing cash, cash equivalents and investments in marketable securities will be sufficient to fund our future operating expenses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critical accounting policies on investors ability to understand 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period during which we will remain an emerging growth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related to the use of proceeds from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supplement and are subject to a number of risks, uncertainties and assumptions described in the section titled Risk Factors and elsewhere in this prospectus supplement, the accompanying prospectus and the documents incorporated by reference herein and therein. Because forward-looking statements are inherently subject to risks and uncertainties, some of which cannot be predicted or quantified, you should not unduly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supplement, whether as a result of any new information, future events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incorporated herein and therein by reference, and any free writing prospectus that we may have authorized for use in connection with this offering, contain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prospectus supplement from our internal estimates and research and from academic and industry research, publications, surveys and studies conducted by third parties, including governmental agencies. In some cases, we do not expressly refer to the sources from which this data is derived. Information that is based on estimates, forecasts, projections, market research or similar methodologies is inherently subject to uncertainties and actual events or circumstances may differ materially from events and circumstances that are assumed in this information. You are cautioned not to give undue weight to any such information, projections and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oc868429_3"/>
      <w:bookmarkEnd w:id="5"/>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certain information about us, this offering and selected information contained elsewhere in this prospectus supplement, the accompanying prospectus and in the documents we incorporate by reference. This summary is not complete and does not contain all of the information you should consider before making an investment decision. You should carefully read this entire prospectus supplement and the accompanying prospectus, including the information incorporated by reference herein and therein, especially the risks of investing in our common stock discussed under Risk Factors beginning on page S-14 of this prospectus supplement, the Risk Factors section of our most recent Quarterly Report on Form 10-Q and other filings we make with the SEC, along with our consolidated financial statements and notes to those consolidated financial statements and the other information incorporated by reference in this prospectus supplement and the accompanying prospectus and in our filings with the SEC.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focused on discovering, developing and delivering potentially curative therapies that address the underlying drivers of heart disease. Our vision is to change the treatment paradigm for heart disease, and in doing so improve and extend the lives of millions of patients.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advancing a deep and diverse pipeline of disease-modifying targeted therapies that includes both gene therapies and small molecules discovered internally and developed using our extensive core capabilities to address rare or highly prevalent forms of heart disease. All of our programs are currently being assessed in clinical trials or are in the preclinical stage; we do not have any products approved for sale and have not generated any revenue to date.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Our lead investigational product candidates are TN-201, a gene therapy for myosin binding protein C3 (</w:t>
      </w:r>
      <w:r>
        <w:rPr>
          <w:rFonts w:ascii="Times New Roman" w:hAnsi="Times New Roman"/>
          <w:i/>
          <w:sz w:val="20"/>
          <w:bdr w:val="single" w:sz="8" w:space="1" w:color="000000"/>
        </w:rPr>
        <w:t>MYBPC3</w:t>
      </w:r>
      <w:r>
        <w:rPr>
          <w:rFonts w:ascii="Times New Roman" w:hAnsi="Times New Roman"/>
          <w:sz w:val="20"/>
          <w:bdr w:val="single" w:sz="8" w:space="1" w:color="000000"/>
        </w:rPr>
        <w:t>)-associated hypertrophic cardiomyopathy (HCM), TN-401, a gene therapy for plakophilin 2 (</w:t>
      </w:r>
      <w:r>
        <w:rPr>
          <w:rFonts w:ascii="Times New Roman" w:hAnsi="Times New Roman"/>
          <w:i/>
          <w:sz w:val="20"/>
          <w:bdr w:val="single" w:sz="8" w:space="1" w:color="000000"/>
        </w:rPr>
        <w:t>PKP2</w:t>
      </w:r>
      <w:r>
        <w:rPr>
          <w:rFonts w:ascii="Times New Roman" w:hAnsi="Times New Roman"/>
          <w:sz w:val="20"/>
          <w:bdr w:val="single" w:sz="8" w:space="1" w:color="000000"/>
        </w:rPr>
        <w:t xml:space="preserve">)-associated arrhythmogenic right ventricular cardiomyopathy (ARVC), and TN-301, a small molecule for heart failure with preserved ejection fraction (HFpEF).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TN-201 is our potential first-in-class and best-in-class gene therapy for adults and children with HCM due to </w:t>
      </w:r>
      <w:r>
        <w:rPr>
          <w:rFonts w:ascii="Times New Roman" w:hAnsi="Times New Roman"/>
          <w:i/>
          <w:sz w:val="20"/>
          <w:bdr w:val="single" w:sz="8" w:space="1" w:color="000000"/>
        </w:rPr>
        <w:t>MYBPC3</w:t>
      </w:r>
      <w:r>
        <w:rPr>
          <w:rFonts w:ascii="Times New Roman" w:hAnsi="Times New Roman"/>
          <w:sz w:val="20"/>
          <w:bdr w:val="single" w:sz="8" w:space="1" w:color="000000"/>
        </w:rPr>
        <w:t xml:space="preserve"> gene mutations. These mutations result in a deficiency of myosin binding protein, which in turn can cause the heart walls of affected individuals to become significantly thickened, leading to fibrosis, abnormal heart rhythms, cardiac dysfunction, heart failure and death. HCM is a chronic, progressive condition and those diagnosed with the disease often experience significant impairment in overall quality of life and may be at higher risk for serious complications and co-morbidities. TN-201 utilizes a recombinant adeno-associated virus serotype 9 (AAV9) capsid and is designed to deliver a working </w:t>
      </w:r>
      <w:r>
        <w:rPr>
          <w:rFonts w:ascii="Times New Roman" w:hAnsi="Times New Roman"/>
          <w:i/>
          <w:sz w:val="20"/>
          <w:bdr w:val="single" w:sz="8" w:space="1" w:color="000000"/>
        </w:rPr>
        <w:t>MYBPC3</w:t>
      </w:r>
      <w:r>
        <w:rPr>
          <w:rFonts w:ascii="Times New Roman" w:hAnsi="Times New Roman"/>
          <w:sz w:val="20"/>
          <w:bdr w:val="single" w:sz="8" w:space="1" w:color="000000"/>
        </w:rPr>
        <w:t xml:space="preserve"> gene to specific cells of the heart in order to produce cardiac myosin binding protein and thereby potentially slow or even reverse the course of </w:t>
      </w:r>
      <w:r>
        <w:rPr>
          <w:rFonts w:ascii="Times New Roman" w:hAnsi="Times New Roman"/>
          <w:i/>
          <w:sz w:val="20"/>
          <w:bdr w:val="single" w:sz="8" w:space="1" w:color="000000"/>
        </w:rPr>
        <w:t>MYBPC3</w:t>
      </w:r>
      <w:r>
        <w:rPr>
          <w:rFonts w:ascii="Times New Roman" w:hAnsi="Times New Roman"/>
          <w:sz w:val="20"/>
          <w:bdr w:val="single" w:sz="8" w:space="1" w:color="000000"/>
        </w:rPr>
        <w:t xml:space="preserve">-associated HCM following a single infusion.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MyPEAK-1 is our Phase 1b/2 multi-center, open-label clinical trial, designed to assess the safety, tolerability and efficacy of a one-time intravenous infusion of TN-201. We have completed Cohort 1 dosing at the 3×1013 vg/kg dose in the MyPEAK-1 trial with no unexpected events or toxicities associated with TN-201 observed. Following review of safety data from the first three MyPEAK-1 patients by an independent Data and Safety Monitoring Board (DSMB), the DSMB recommended that we proceed with the planned escalation to the 6×1013 vg/kg dose, per protocol. MyPEAK-1 is now actively enrolling patients for Cohort 2 at several U.S. clinical sites. We have dosed two patients in the sentinel phase of Cohort 2 at the 6x1013 vg/kg dose and anticipate completing enrollment of Cohort 2 in the first half of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December 2024, we announced early but encouraging initial interim safety and biopsy data from Cohort 1 of MyPEAK-1. TN-201 administered at the starting dose of 3×1013 vg/kg was generally well-tolerated among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first three patients enrolled in the clinical trial. Among the first two patients for whom Week 8 biopsy results were available, TN-201 achieved readily detectable vector DNA in the heart and evidence of transgene RNA expression. Serial biopsies at Week 8 and Week 52 for Patient 1 demonstrated increasing TN-201 mRNA and MyBP-C protein levels over time. Circulating biomarkers of cardiac muscle strain and injury remained largely stable, and certain clinical markers of disease showed stability or directional improvement in the first two individuals dosed, while other measures were not yet available, interpretable or were mixed. We plan to present additional follow-up data from Cohort 1 during the first half of 2025 and initial Cohort 2 data, along with an update on Cohort 1 patients, in the second half of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support our development efforts for TN-201 we are conducting two noninterventional studies: a study evaluating seroprevalence to AAV9 antibodies among adults with </w:t>
      </w:r>
      <w:r>
        <w:rPr>
          <w:rFonts w:ascii="Times New Roman" w:hAnsi="Times New Roman"/>
          <w:i/>
          <w:sz w:val="20"/>
          <w:bdr w:val="single" w:sz="8" w:space="1" w:color="000000"/>
        </w:rPr>
        <w:t>MYBPC3</w:t>
      </w:r>
      <w:r>
        <w:rPr>
          <w:rFonts w:ascii="Times New Roman" w:hAnsi="Times New Roman"/>
          <w:sz w:val="20"/>
          <w:bdr w:val="single" w:sz="8" w:space="1" w:color="000000"/>
        </w:rPr>
        <w:t xml:space="preserve">-associated HCM, and MyClimb, a prospective and retrospective global natural history study focused on pediatric patients with </w:t>
      </w:r>
      <w:r>
        <w:rPr>
          <w:rFonts w:ascii="Times New Roman" w:hAnsi="Times New Roman"/>
          <w:i/>
          <w:sz w:val="20"/>
          <w:bdr w:val="single" w:sz="8" w:space="1" w:color="000000"/>
        </w:rPr>
        <w:t>MYBPC3</w:t>
      </w:r>
      <w:r>
        <w:rPr>
          <w:rFonts w:ascii="Times New Roman" w:hAnsi="Times New Roman"/>
          <w:sz w:val="20"/>
          <w:bdr w:val="single" w:sz="8" w:space="1" w:color="000000"/>
        </w:rPr>
        <w:t xml:space="preserve"> mutation-associated cardiomyopathy. The seroprevalence study has completed enrollment. Initial data indicated that antibodies to AAV9 in the majority of participants were below the eligibility threshold that would allow for participation in MyPEAK-1. The MyClimb natural history study is following patient medical history to characterize the outcomes, burden of illness, risk factors, quality of life, and biomarkers associated with disease progression in pediatric patients. MyClimb complements existing disease registries focused primarily on adult patient HCM populations and may support and expedite the development of TN-201 in the pediatric patient population. We plan to present data from MyClimb in the second half of 2025. In July 2024, we received rare pediatric disease designation from the FDA for TN-201 in </w:t>
      </w:r>
      <w:r>
        <w:rPr>
          <w:rFonts w:ascii="Times New Roman" w:hAnsi="Times New Roman"/>
          <w:i/>
          <w:sz w:val="20"/>
          <w:bdr w:val="single" w:sz="8" w:space="1" w:color="000000"/>
        </w:rPr>
        <w:t>MYBPC3</w:t>
      </w:r>
      <w:r>
        <w:rPr>
          <w:rFonts w:ascii="Times New Roman" w:hAnsi="Times New Roman"/>
          <w:sz w:val="20"/>
          <w:bdr w:val="single" w:sz="8" w:space="1" w:color="000000"/>
        </w:rPr>
        <w:t xml:space="preserve">-associated HCM. TN-201 has also been granted orphan drug designation from the FDA, orphan medicinal product designation from the European Commission (EC) and Fast Track Designation from the FDA.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TN-401 is our best-in-class AAV9-based gene therapy for the treatment of ARVC due to disease-causing variants in the </w:t>
      </w:r>
      <w:r>
        <w:rPr>
          <w:rFonts w:ascii="Times New Roman" w:hAnsi="Times New Roman"/>
          <w:i/>
          <w:sz w:val="20"/>
          <w:bdr w:val="single" w:sz="8" w:space="1" w:color="000000"/>
        </w:rPr>
        <w:t>PKP2</w:t>
      </w:r>
      <w:r>
        <w:rPr>
          <w:rFonts w:ascii="Times New Roman" w:hAnsi="Times New Roman"/>
          <w:sz w:val="20"/>
          <w:bdr w:val="single" w:sz="8" w:space="1" w:color="000000"/>
        </w:rPr>
        <w:t xml:space="preserve"> gene. ARVC, also known as arrhythmogenic cardiomyopathy, or ACM, is a chronic, progressive disease characterized by frequent, severe, and potentially life-threatening ventricular arrhythmias. The disease is associated with adverse heart remodeling, fibrosis, cardiac dysfunction, significant impairment to patients overall quality of life, as well as an elevated risk of sudden cardiac death. </w:t>
      </w:r>
      <w:r>
        <w:rPr>
          <w:rFonts w:ascii="Times New Roman" w:hAnsi="Times New Roman"/>
          <w:i/>
          <w:sz w:val="20"/>
          <w:bdr w:val="single" w:sz="8" w:space="1" w:color="000000"/>
        </w:rPr>
        <w:t>PKP2</w:t>
      </w:r>
      <w:r>
        <w:rPr>
          <w:rFonts w:ascii="Times New Roman" w:hAnsi="Times New Roman"/>
          <w:sz w:val="20"/>
          <w:bdr w:val="single" w:sz="8" w:space="1" w:color="000000"/>
        </w:rPr>
        <w:t xml:space="preserve"> mutations are the most common genetic cause of ARVC and result in insufficient expression of a protein needed for proper functioning of the desmosomal complex that maintains physical connections and electrical signaling between heart muscle cells. TN-401 utilizes a recombinant AAV9 capsid and is designed to deliver a working </w:t>
      </w:r>
      <w:r>
        <w:rPr>
          <w:rFonts w:ascii="Times New Roman" w:hAnsi="Times New Roman"/>
          <w:i/>
          <w:sz w:val="20"/>
          <w:bdr w:val="single" w:sz="8" w:space="1" w:color="000000"/>
        </w:rPr>
        <w:t>PKP2</w:t>
      </w:r>
      <w:r>
        <w:rPr>
          <w:rFonts w:ascii="Times New Roman" w:hAnsi="Times New Roman"/>
          <w:sz w:val="20"/>
          <w:bdr w:val="single" w:sz="8" w:space="1" w:color="000000"/>
        </w:rPr>
        <w:t xml:space="preserve"> gene to specific cells of the heart in order to produce plakophilin protein and thereby potentially slow or even reverse the course of </w:t>
      </w:r>
      <w:r>
        <w:rPr>
          <w:rFonts w:ascii="Times New Roman" w:hAnsi="Times New Roman"/>
          <w:i/>
          <w:sz w:val="20"/>
          <w:bdr w:val="single" w:sz="8" w:space="1" w:color="000000"/>
        </w:rPr>
        <w:t>PKP2</w:t>
      </w:r>
      <w:r>
        <w:rPr>
          <w:rFonts w:ascii="Times New Roman" w:hAnsi="Times New Roman"/>
          <w:sz w:val="20"/>
          <w:bdr w:val="single" w:sz="8" w:space="1" w:color="000000"/>
        </w:rPr>
        <w:t xml:space="preserve">-associated ARVC following a single infusion.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dosed two patients in RIDGE-1, our Phase 1b multi-center, open-label clinical trial, designed to assess the safety, tolerability and efficacy of a one-time intravenous infusion of TN-401. We have activated multiple clinical trial sites at leading cardiology centers in the U.S. with ARVC expertise and intend to expand enrollment of RIDGE-1 to the United Kingdom following receipt of approval from the United Kingdom Medicines and Healthcare Products Regulatory Agency (MHRA), Research Ethics Committee and Health Research Authority for our TN-401 Clinical Trial Authorization in 2024. We expect to complete enrollment of the first cohort of patients at the 3×1013vg/kg in the first half of 2025. An independent DSMB will review all available safety data for the first three patients dosed and then inform plans for dose escalation to 6×1013vg/kg, as needed, and/or enrollment of additional patients in the first cohort. Initial clinical data from the first cohort of patients to receive TN-401 is expected in the second half of 2025. In January 2025, we were awarded a Clinical Grant (Clin2) of $8.0 million from the California Institute for Regenerative Medicine (CIRM), a state of California Agency that funds regenerative medicine, stem cell, and gene therapy research. Proceeds from the grant will help fund clinical trial costs for our ongoing Phase 1b RIDGE-1 clinical trial of TN-401 gene therapy.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support of our development efforts for TN-401, we initiated RIDGE, a global noninterventional study to collect natural history and seroprevalence to AAV9 antibodies data among ARVC patients who carry pathogenic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or likely pathogenic </w:t>
      </w:r>
      <w:r>
        <w:rPr>
          <w:rFonts w:ascii="Times New Roman" w:hAnsi="Times New Roman"/>
          <w:i/>
          <w:sz w:val="20"/>
          <w:bdr w:val="single" w:sz="8" w:space="1" w:color="000000"/>
        </w:rPr>
        <w:t>PKP2</w:t>
      </w:r>
      <w:r>
        <w:rPr>
          <w:rFonts w:ascii="Times New Roman" w:hAnsi="Times New Roman"/>
          <w:sz w:val="20"/>
          <w:bdr w:val="single" w:sz="8" w:space="1" w:color="000000"/>
        </w:rPr>
        <w:t xml:space="preserve"> gene mutations. Initial data from RIDGE indicated that antibodies to AAV9 in a majority of participants were below the eligibility threshold that would allow for participation in RIDGE-1. We plan to present additional data from RIDGE in the first half of 2025. TN-401 has received orphan drug designation from the FDA and orphan medicinal product designation from the EC, as well as Fast Track Designation from the FDA.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TN-301 is our small molecule inhibitor of histone deacetylase-6 (HDAC6), initially being developed for the potential treatment of HFpEF. HFpEF is characterized by a stiffening of the heart muscle resulting in an inability for the left ventricle to relax and fill with oxygenated blood sufficient to meet the bodys needs. There are several cellular processes thought to underlie the pathophysiology of HFpEF, including increases in fibrosis and inflammation and defects in metabolism. Although HFpEF accounts for approximately half of all heart failures, there are few proven treatment options.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shared positive data from our Phase 1 clinical trial of TN-301 in healthy participants at the 2023 Heart Failure Society of America Annual Scientific Meeting. TN-301 was generally well tolerated across the broad range of doses studied. Pharmacokinetic results showed overall dose proportionality with a half-life supportive of once-daily dosing. Increasing doses and exposures with TN-301 correlated with increased pharmacodynamic effects. There were no changes in histone acetylation with TN-301 underscoring the selectivity of TN-301 for HDAC6 and potentially reducing the risk of off target effects. In preclinical studies, selective HDAC6 inhibition has been shown to have comparable efficacy to empagliflozin, a sodium-glucose cotransporter-2 (SGLT2) inhibitor which is approved for the treatment of HFpEF and co-administration of our HDAC6 inhibition with a SGLT2 inhibitor in a HFpEF mouse model demonstrated additive benefit. Taken together, these data support continued development of TN-301 as a potential treatment for patients with HFpEF. We believe late-stage clinical development of TN-301 is best suited for development by or with a well-resourced partner.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to our lead product candidates, we have multiple early-stage programs progressing through preclinical development using various therapeutic approaches, including gene addition, gene editing, gene silencing, and cellular regeneration to address other forms of rare and/or prevalent heart disease.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established a distinct suite of integrated capabilities, including the use of human-induced pluripotent stem cell-derived cardiomyocyte disease models, machine learning and phenotypic screening, gene editing, AAV capsid engineering and novel promoter constructs, which support our efforts to discover and develop disease-modifying treatments focused on heart disease and continue to build on these proprietary capabilities with the aim of increasing the safety and efficacy of our product candidates and accelerating early-stage discovery and preclinical optimization across modalities.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also internalized and integrated both current Good Manufacturing Practices (cGMP) and non-GMP AAV manufacturing capabilities to support our emerging portfolio of gene therapy and cellular regeneration product candidates. Our Genetic Medicines Manufacturing Center, a cGMP facility, is strategically located near our research labs and Manufacturing Technology Development Center, a non-GMP facility, in the San Francisco Bay Area to enable smooth scale-up of production to support our clinical studies and utilizes a modular, scalable design to produce AAV-based gene therapies under cGMP standards. We utilized our Genetic Medicines Manufacturing Center to produce drug product for our first-in-human clinical trials for both TN-201 and TN-401. Building on our manufacturing capabilities, we have also presented data on manufacturing innovations intended to reduce the overall cost of goods by increasing productivity and scalability.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Factors Summary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below summary of risk factors provides an overview of many of the risks we are exposed to in the normal course of our business activities and risks related to this offering. As a result, the below summary risks do not contain all of the information that may be important to you, and you should read the summary risks together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more detailed discussion of risks set forth following this section under the heading Risk Factors, as well as elsewhere in this prospectus supplement. Additional risks, beyond those summarized below or discussed elsewhere in this prospectus supplement and the documents incorporated herein by reference, may apply to our activities or operations as currently conducted or as we may conduct them in the future or in the markets in which we operate or may in the future operate. Consistent with the foregoing, we are exposed to a variety of risks, including risks associated with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early in our development efforts, with a limited operating history, and have no products approved for commercial sale, which may make it difficult for you to evaluate our current business and likelihood of success and future viability.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not generated any product revenue to date, have incurred significant net losses since our inception and expect to continue to incur significant net losses for the foreseeable future.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generate revenue and achieve profitability depends significantly on our ability to achieve several objectives relating to the discovery, development and commercialization of our product candidates, if approved.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loan agreement requires us to comply with specified operating covenants and places restrictions on our operating and financial flexibility.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mechanisms of action of our product candidates are unproven, and we do not know whether we will be able to develop any drug of commercial value.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Drug development involves a lengthy and expensive process with an uncertain outcome. The preclinical studies, clinical trials and post-marketing studies of our product candidates may not demonstrate safety and efficacy to the satisfaction of the FDA, European Medicines Agency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to the significant resources required for the development of product candidates, and depending on our ability to access capital, we must prioritize development of certain programs and product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candidates. Moreover, we may expend our limited resources on programs or product candidates that do not yield a successful product and fail to capitalize on product candidates or indications that may be more profitable or for which there is a greater likelihood of success.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to our limited manufacturing experience, there can be no assurance that we will be able to successfully manufacture product candidates to support our clinical development and commercialization plans.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commercial success depends significantly on our ability to operate without infringing, misappropriating or otherwise violating the patents and other intellectual property and proprietary rights of third parties.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a substantial number of shares of our common stock in the public market could cause our stock price to fall. There is no public market for the Series A Warrants, Series B Warrants or pre-funded warrants being offered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of the Series A Warrants, Series B Warrants and pre-funded warrants will have no rights as common stockholders until such holders exercise their Series A Warrants, Series B Warrants or pre-funded warrants, as the case may be, and acquire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holders or beneficial owners of our common stock may not be permitted to exercise the Series A Warrants, Series B Warrants and pre-funded warrants that they hold.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maintain compliance with the minimum listing requirements of the Nasdaq Global Select Market, our common stock will be subject to delisting. Our ability and your ability to publicly or privately sell equity securities and the liquidity of our common stock could be adversely affected if our common stock is delisted.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Delaware in August 2016. Our principal executive offices are located at 171 Oyster Point Boulevard, Suite 500, South San Francisco, CA 94080. Our telephone number is (650) 825-6990. Our website address is www.tenayatherapeutics.com. Information contained on, or accessible through, our website is not incorporated by reference into this prospectus supplement and should not be considered to be part of this prospectus supplement. The inclusion of our website address in this prospectus supplement is an inactive textual reference only.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make available free of charge on or through our website our Securities and Exchange Commission (SEC) filings, including our annual report on Form 10-K, quarterly reports on Form 10-Q, current reports on Form 8-K and amendments to those reports filed or furnished pursuant to Section 13(a) or 15(d) of the Securities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Act of 1934, as amended, as soon as reasonably practicable after we electronically file such material with, or furnish it to, the SEC. The SEC maintains a website that contains reports, proxy and information statements and other information regarding our filings at www.sec.gov.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the Jumpstart Our Business Startups Act of 2012 (the JOBS Act). We will remain an emerging growth company until the earliest to occur of: (1) the last day of the fiscal year in which we have more than $1.235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 which will be December 31, 2026. As a result of this status, we have taken advantage of reduced reporting requirements in this prospectus and may elect to take advantage of other reduced reporting requirements in our future filings with the SEC. In particular, in this prospectus supplement, we have incorporated only two years of audited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we (1) are no longer an emerging growth company and (2) affirmatively and irrevocably opt out of the extended transition period provided in the JOBS Act. As a result, our financial statements may not be comparable to companies that comply with new or revised accounting pronouncements as of public company effective dates.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(1) the market value of our stock held by non-affiliates is less than $250 million or (2)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Units Offered by Us </w:t>
            </w:r>
          </w:p>
        </w:tc>
        <w:tc>
          <w:tcPr>
            <w:tcW w:w="6329" w:type="dxa"/>
            <w:tcBorders/>
          </w:tcPr>
          <w:p>
            <w:pPr>
              <w:pStyle w:val="TableContents"/>
              <w:bidi w:val="0"/>
              <w:spacing w:before="0" w:after="283"/>
              <w:jc w:val="left"/>
              <w:rPr/>
            </w:pPr>
            <w:r>
              <w:rPr/>
              <w:t xml:space="preserve">     </w:t>
            </w:r>
            <w:r>
              <w:rPr/>
              <w:t xml:space="preserve">units, consisting of one share of our common stock, one Series A Warrant and one Series B Warrant.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Pre-Funded Units Offered by Us </w:t>
            </w:r>
          </w:p>
        </w:tc>
        <w:tc>
          <w:tcPr>
            <w:tcW w:w="6329" w:type="dxa"/>
            <w:tcBorders/>
          </w:tcPr>
          <w:p>
            <w:pPr>
              <w:pStyle w:val="TableContents"/>
              <w:bidi w:val="0"/>
              <w:spacing w:before="0" w:after="283"/>
              <w:jc w:val="left"/>
              <w:rPr/>
            </w:pPr>
            <w:r>
              <w:rPr/>
              <w:t xml:space="preserve">We are also offering to certain investors, in lieu of units, the opportunity to purchase pre-funded units, consisting of one pre-funded warrant to purchase one share of common stock, one Series A Warrant and one Series B Warrant. The purchase price of each pre-funded unit will equal the price per unit are being sold to the public in this offering minus $0.001. Each pre-funded warrant will be exercisable from the date of issuance until the date the warrant is exercised in full, subject to an ownership limitation. See Description of SecuritiesPre-funded Warrants. This prospectus supplement also relates to the offering of the shares of common stock issuable upon the exercise of such pre-funded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Series A Warrants Offered by Us </w:t>
            </w:r>
          </w:p>
        </w:tc>
        <w:tc>
          <w:tcPr>
            <w:tcW w:w="6328" w:type="dxa"/>
            <w:tcBorders/>
          </w:tcPr>
          <w:p>
            <w:pPr>
              <w:pStyle w:val="TableContents"/>
              <w:bidi w:val="0"/>
              <w:spacing w:before="0" w:after="283"/>
              <w:jc w:val="left"/>
              <w:rPr/>
            </w:pPr>
            <w:r>
              <w:rPr/>
              <w:t xml:space="preserve">We are offering Series A Warrants to purchase an aggregate of shares of our common stock. Each unit and pre-funded unit includes one Series A Warrant. Each Series A Warrant will be exercisable for      share of our common stock, will have an exercise price of $     per share, will be immediately exercisable and will expire five years from the date of issuance. See Description of SecuritiesSeries A Warrants. This offering also relates to the shares of common stock issuable upon exercise of the Series A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Series B Warrants Offered by Us </w:t>
            </w:r>
          </w:p>
        </w:tc>
        <w:tc>
          <w:tcPr>
            <w:tcW w:w="6329" w:type="dxa"/>
            <w:tcBorders/>
          </w:tcPr>
          <w:p>
            <w:pPr>
              <w:pStyle w:val="TableContents"/>
              <w:bidi w:val="0"/>
              <w:spacing w:before="0" w:after="283"/>
              <w:jc w:val="left"/>
              <w:rPr/>
            </w:pPr>
            <w:r>
              <w:rPr/>
              <w:t xml:space="preserve">We are offering Series B Warrants to purchase an aggregate of shares of our common stock. Each unit and pre-funded unit includes one Series B Warrant. Each Series B Warrant will be exercisable for      of a share of our common stock, will have an exercise price of $     per share, will be immediately exercisable and will expire on June 30, 2026. See Description of SecuritiesSeries B Warrants. This offering also relates to the shares of common stock issuable upon exercise of the Series B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After this Offering </w:t>
            </w:r>
          </w:p>
        </w:tc>
        <w:tc>
          <w:tcPr>
            <w:tcW w:w="6328" w:type="dxa"/>
            <w:tcBorders/>
          </w:tcPr>
          <w:p>
            <w:pPr>
              <w:pStyle w:val="TableContents"/>
              <w:bidi w:val="0"/>
              <w:spacing w:before="0" w:after="283"/>
              <w:jc w:val="left"/>
              <w:rPr/>
            </w:pPr>
            <w:r>
              <w:rPr/>
              <w:t xml:space="preserve">     </w:t>
            </w:r>
            <w:r>
              <w:rPr/>
              <w:t xml:space="preserve">shares of common stock, excluding any shares issuable upon exercise of the pre-funded warrants, Series A Warrants or Series B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6" w:type="dxa"/>
            <w:tcBorders/>
          </w:tcPr>
          <w:p>
            <w:pPr>
              <w:pStyle w:val="TableContents"/>
              <w:bidi w:val="0"/>
              <w:spacing w:before="0" w:after="283"/>
              <w:jc w:val="left"/>
              <w:rPr/>
            </w:pPr>
            <w:r>
              <w:rPr/>
              <w:t xml:space="preserve">We intend to use the net proceeds from this offering, together with our existing cash, cash equivalents and marketable securities, to fund the ongoing and planned development of our clinical and early-stage product candidates, particularly TN-201 and TN-401, and for working capital and other general corporate purposes. See Use of Proceeds on page S-18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Investing in our securities involves significant risks. You should read the Risk Factors section on page S-14 of this prospectus supplement and in the documents incorporated by reference in this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prospectus supplement and accompanying prospectus for a discussion of factors to consider carefully before deciding to purchase shares of our securities.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Select Market Symbol for Common Stock </w:t>
            </w:r>
          </w:p>
        </w:tc>
        <w:tc>
          <w:tcPr>
            <w:tcW w:w="6329" w:type="dxa"/>
            <w:tcBorders/>
          </w:tcPr>
          <w:p>
            <w:pPr>
              <w:pStyle w:val="TableContents"/>
              <w:bidi w:val="0"/>
              <w:spacing w:before="0" w:after="283"/>
              <w:jc w:val="left"/>
              <w:rPr/>
            </w:pPr>
            <w:r>
              <w:rPr/>
              <w:t xml:space="preserve">Our common stock is listed on the Nasdaq Global Select Market under the symbol TNYA.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 Listing of Warrants </w:t>
            </w:r>
          </w:p>
        </w:tc>
        <w:tc>
          <w:tcPr>
            <w:tcW w:w="6326" w:type="dxa"/>
            <w:tcBorders/>
          </w:tcPr>
          <w:p>
            <w:pPr>
              <w:pStyle w:val="TableContents"/>
              <w:bidi w:val="0"/>
              <w:spacing w:before="0" w:after="283"/>
              <w:jc w:val="left"/>
              <w:rPr/>
            </w:pPr>
            <w:r>
              <w:rPr/>
              <w:t xml:space="preserve">There is no established trading market of the pre-funded warrants, Series A Warrants or Series B Warrants, and we do not expect a market to develop. We do not plan on applying to list the pre-funded warrants or the warrants on the Nasdaq Global Select Market, any other national securities exchange or any other nationally recognized trading system. Without an active trading market, the liquidity of the pre-funded warrants, Series A Warrants and Series B Warrants will be limited. See Description of Securities.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Delivery of Common Stock, Warrants and Pre-Funded Warrants </w:t>
            </w:r>
          </w:p>
        </w:tc>
        <w:tc>
          <w:tcPr>
            <w:tcW w:w="6327" w:type="dxa"/>
            <w:tcBorders/>
          </w:tcPr>
          <w:p>
            <w:pPr>
              <w:pStyle w:val="TableContents"/>
              <w:bidi w:val="0"/>
              <w:spacing w:before="0" w:after="283"/>
              <w:jc w:val="left"/>
              <w:rPr/>
            </w:pPr>
            <w:r>
              <w:rPr/>
              <w:t xml:space="preserve">The shares of common stock included in the units will be delivered thorough the facilities of DTC. The pre-funded warrants, Series A Warrants and Series B Warrants included in the units (or pre-funded units, as applicable) will be delivered to purchasers in certificated form.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outstanding after this offering is based on 79,220,516 shares of our common stock outstanding as of September 30, 2024,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822,566 shares of common stock sold through our ATM program subsequent to September 30, 2024, at an average price of $1.45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9,600,781 shares of common stock issuable upon exercise of stock options outstanding as of September 30, 2024, at a weighted average exercise price of $6.80 per share (prior to taking into effect the repricing of option effected by the Company on January 24, 2025, and February 6,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2,564,125 shares of our common stock issuable upon the exercise of options granted subsequent to September 30, 2024, at a weighted average exercise price of $1.25 per share (prior to taking into effect the repricing of options effected by the Company on January 24, 2025, and February 6,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1,545,791 shares of common stock issuable upon vesting of restricted stock units outstanding as of September 30, 2024;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1,441,353 shares of common stock issuable upon vesting of restricted stock units granted subsequent to September 30, 2024;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7,104,853 shares of common stock issued after September 30, 2024 upon exercise of all pre-funded warrants outstanding as of September 30, 2024, at an exercise price of $0.001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171,848 shares of common stock issuable upon exercise of warrants outstanding as of September 30, 2024, at an exercise price of $2.55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4,816,971 shares of common stock reserved for issuance under our 2021 Equity Incentive Plan (the 2021 Plan) as of September 30, 2024, as well as shares that become available pursuant to provisions in our 2021 Plan that automatically increase the share reserve thereunder each year;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1,200,000 shares of common stock reserved for issuance under our 2024 Inducement Equity Incentive Plan (the 2024 Plan) as of September 30, 2024;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2,567,746 shares of common stock reserved for issuance under our 2021 Employee Stock Purchase Plan (the 2021 ESPP) as of September 30, 2024, as well as shares that become available pursuant to provisions in our 2021 ESPP that automatically increase the share reserve thereunder each year.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August 10, 2022, we entered into a sales agreement with Leerink Partners LLC (the Sales Agreement) with respect to an at-the-market (ATM) program pursuant to which we may sell up to $75.0 million of shares of our common stock. As of the date of this prospectus supplement, we have sold an aggregate of 1,358,333 shares of our common stock under this program for aggregate gross proceeds of $5.2 million, resulting in $69.8 million of shares of our common stock remaining for future sale under this program. On March 3, 2025, we suspended and terminated the prospectus related to our common stock issuable pursuant to the Sales Agreement. As a result, we will not make any sales of our securities pursuant to the Sales Agreement unless and until a new prospectus, prospectus supplement or a new registration statement is filed.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supplement assumes no exercise or settlement of the outstanding options or warrants or vesting of outstanding restricted stock units or other equity awards described above, no grant of additional awards under our 2021 Plan and 2024 Plan, no issuance of shares under the 2021 ESPP, no issuance of shares under the ATM program, no exercise of the Series A Warrants or Series B Warrants and no purchase of pre-funded units, in each case, after September 30, 2024.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existing stockholders, including stockholders affiliated with certain of our directors, are participating in this offering and have expressed an interest in purchasing an aggregate of $25,000,000 of our units on the same terms as the other investors in this offering. However, because these indications of interest are not binding agreements or commitments to purchase, the underwriters may determine to sell more, less or no units in this offering to any or all of these potential purchasers, or any or all of these potential purchasers may determine to purchase more, less or no units in this offering. See the section titled Underwriting for more information regarding these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oc868429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securities involves a high degree of risk. Before making a decision to invest in our securities, in addition to carefully considering the other information contained in this prospectus supplement, in the accompanying prospectus and in the documents incorporated by reference herein or therein, you should carefully consider the risks described below, as well as the risks discussed under the caption Risk Factors contained in our most recent annual report on Form 10-K and in our most recent quarterly reports on Form 10-Q, as well as any amendments thereto, which are incorporated by reference into this prospectus supplement in their entirety. The risks described in these documents are not the only ones we face. There may be other unknown or unpredictable economic, business, competitive, regulatory or other factors that could harm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prospects could be harmed. This could cause the trading price of our common stock to decline, resulting in a loss of all or part of your investment. See Where You Can Find More Information and Incorporation of Certain Information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vesting of outstanding restricted stock units and the exercise of our outstanding options and warrants will dilute stockholders and could decrease our stock price. </w:t>
      </w:r>
    </w:p>
    <w:p>
      <w:pPr>
        <w:pStyle w:val="TextBody"/>
        <w:bidi w:val="0"/>
        <w:spacing w:before="120" w:after="0"/>
        <w:jc w:val="left"/>
        <w:rPr>
          <w:rFonts w:ascii="Times New Roman" w:hAnsi="Times New Roman"/>
          <w:sz w:val="20"/>
        </w:rPr>
      </w:pPr>
      <w:r>
        <w:rPr>
          <w:rFonts w:ascii="Times New Roman" w:hAnsi="Times New Roman"/>
          <w:sz w:val="20"/>
        </w:rPr>
        <w:t xml:space="preserve">The vesting of outstanding restricted stock units and the exercise of our outstanding options and warrants may adversely affect our stock price due to sales of a large number of shares or the perception that such sales could occur. These factors also could make it more difficult to raise funds through future offerings of our securities, and could adversely impact the terms under which we could obtain additional equity capital. Exercise of outstanding options and warrants or any future issuance of additional shares of common stock or other securities, including, but not limited to preferred stock, options, warrants, restricted stock units or other derivative securities convertible into our common stock, may result in significant dilution to our stockholders and may decrease our stock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of a substantial number of shares of our common stock in the public market could cause our stock price to fall.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2024, we had 79,220,516 shares of our common stock outstanding. If our stockholders sell, or the market perceives that our stockholders intend to sell, a substantial amount of our common stock in the public market, the market price of our common stock could decline significantly. Sales of a substantial number of shares of our common stock in the public market could occur at any time, including by us pursuant to our existing at-the-market program, under which, as of March 3, 2025, we may issue and sell up to approximately $69.8 million in additional shares of our common stock (provided we file a new prospectus, prospectus supplement or registration statement to register these shares). </w:t>
      </w:r>
    </w:p>
    <w:p>
      <w:pPr>
        <w:pStyle w:val="TextBody"/>
        <w:bidi w:val="0"/>
        <w:spacing w:before="240" w:after="0"/>
        <w:jc w:val="left"/>
        <w:rPr>
          <w:rFonts w:ascii="Times New Roman" w:hAnsi="Times New Roman"/>
          <w:sz w:val="20"/>
        </w:rPr>
      </w:pPr>
      <w:r>
        <w:rPr>
          <w:rFonts w:ascii="Times New Roman" w:hAnsi="Times New Roman"/>
          <w:sz w:val="20"/>
        </w:rPr>
        <w:t xml:space="preserve">Shares issued upon the exercise of stock options or the vesting of restricted stock units outstanding under our equity incentive plans or pursuant to future awards granted under those plans will become available for sale in the public market to the extent permitted by the provisions of applicable vesting schedules and by Rule 144 and by Rule 701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management team will have broad discretion to use the net proceeds from this offering and its investment of these proceeds may not yield a favorable return.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team will have broad discretion in the application of the net proceeds from this offering and could spend or invest the proceeds in ways that may not yield a favorable return or enhance the value of our common stock. Accordingly, investors will need to rely on our management teams judgment with respect to the use of these proceeds. We intend to use the proceeds from this offering in the manner described in the section titled Use of Proceeds. The failure by management to apply these funds effectively could negatively affect our ability to operate and grow our business. We cannot specify with certainty all of the particular uses for the net proceeds to be received upon the completion of this offering. In addition, the amount, allocation and timing of our actual expenditures will depend upon numerous factors, including any milestone payments received from any future strategic partnerships. Accordingly, we will have broad discretion in using these proceeds. Until the net proceeds are used, they may be placed in investments that do not produce significant income or that may lose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anticipate paying cash dividends and, accordingly, stockholders must rely on share appreciation for any return on their investment. </w:t>
      </w:r>
    </w:p>
    <w:p>
      <w:pPr>
        <w:pStyle w:val="TextBody"/>
        <w:bidi w:val="0"/>
        <w:spacing w:before="120" w:after="0"/>
        <w:jc w:val="left"/>
        <w:rPr>
          <w:rFonts w:ascii="Times New Roman" w:hAnsi="Times New Roman"/>
          <w:sz w:val="20"/>
        </w:rPr>
      </w:pPr>
      <w:r>
        <w:rPr>
          <w:rFonts w:ascii="Times New Roman" w:hAnsi="Times New Roman"/>
          <w:sz w:val="20"/>
        </w:rPr>
        <w:t xml:space="preserve">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As a result, capital appreciation, if any, of our common stock will be your sole source of gain on your investment for the foreseeable future. Investors seeking cash dividends should not invest in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will experience immediate dilution in the book value per share of the securities you purchase in this offering. </w:t>
      </w:r>
    </w:p>
    <w:p>
      <w:pPr>
        <w:pStyle w:val="TextBody"/>
        <w:bidi w:val="0"/>
        <w:spacing w:before="120" w:after="0"/>
        <w:jc w:val="left"/>
        <w:rPr>
          <w:rFonts w:ascii="Times New Roman" w:hAnsi="Times New Roman"/>
          <w:sz w:val="20"/>
        </w:rPr>
      </w:pPr>
      <w:r>
        <w:rPr>
          <w:rFonts w:ascii="Times New Roman" w:hAnsi="Times New Roman"/>
          <w:sz w:val="20"/>
        </w:rPr>
        <w:t xml:space="preserve">Because the price per unit is substantially higher than the net tangible book value per share of our common stock, you will suffer substantial dilution in the net tangible book value of the securities you purchase in this offering. Our net tangible book value as of September 30, 2024, was approximately $112.6 million, or $1.42 per share of our common stock. Therefore, if you purchase units in this offering, you will suffer immediate and substantial dilution of $    per share with respect to the net tangible book value of our common stock, based on the sale of     units in total at an assumed offering price of $    per unit (assuming no pre-funded warrants are sold in this offering and no exercise of any Series A Warrants or Series B Warrants sold in this offering). See the section titled Dilution in this prospectus supplement for a detailed discussion of the dilution you will incur if you participate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may cause dilution to our stockholders, including purchasers of our securities in this offering, restrict our operations or require us to relinquish substantial rights.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preclinical or discovery programs or grant rights to develop and market product candidates that we would otherwise prefer to develop and </w:t>
      </w:r>
    </w:p>
    <w:p>
      <w:pPr>
        <w:pStyle w:val="TextBody"/>
        <w:bidi w:val="0"/>
        <w:spacing w:before="0" w:after="0"/>
        <w:jc w:val="left"/>
        <w:rPr>
          <w:rFonts w:ascii="Times New Roman" w:hAnsi="Times New Roman"/>
          <w:sz w:val="20"/>
        </w:rPr>
      </w:pPr>
      <w:r>
        <w:rPr>
          <w:rFonts w:ascii="Times New Roman" w:hAnsi="Times New Roman"/>
          <w:sz w:val="20"/>
        </w:rPr>
        <w:t xml:space="preserve">market ourselves. In addition, we may seek additional capital due to favorable market conditions or strategic considerations even if we believe we have sufficient funds for our current or future operating plans.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operating results may fluctuate significantly or may fall below the expectations of investors or securities analysts, each of which may cause our stock price to fluctuate or decline. </w:t>
      </w:r>
    </w:p>
    <w:p>
      <w:pPr>
        <w:pStyle w:val="TextBody"/>
        <w:bidi w:val="0"/>
        <w:spacing w:before="120" w:after="0"/>
        <w:jc w:val="left"/>
        <w:rPr>
          <w:rFonts w:ascii="Times New Roman" w:hAnsi="Times New Roman"/>
          <w:sz w:val="20"/>
        </w:rPr>
      </w:pPr>
      <w:r>
        <w:rPr>
          <w:rFonts w:ascii="Times New Roman" w:hAnsi="Times New Roman"/>
          <w:sz w:val="20"/>
        </w:rPr>
        <w:t xml:space="preserve">We expect our operating results to be subject to fluctuations. Our net loss and other operating results will be affected by numerous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the level of expense related to the ongoing development of our product candidates or future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preclinical studies and clinical trials, or the addition or termination of preclinical studies and clinical trials or funding support by us or potential future collaborators;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execution of any collaboration, licensing or similar arrangements, and the timing of payments we may make or receive under potential future arrangements or the termination or modification of any of our existing or potential future collaboration, licensing or similar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intellectual property infringement, misappropriation or violation lawsuit or opposition, interference or cancellation proceeding in which we may become involved;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and departures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strategic decisions by us or our competitors, such as acquisitions, divestitures, spin-offs, joint ventures, strategic investments or changes in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of our product candidates receives regulatory approval, the terms of such approval and market acceptance and demand for such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from existing and potential future products and changes in the competitive landscape of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affecting our product candidates or those of our competitors;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market and economic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our operating results or announcements related to our product candidates fall below the expectations of investors or securities analysts, the price of our common stock could decline substantially. Furthermore, any fluctuations in our operating results or announcements related to our product candidates may, in turn, cause the price of our stock to fluctuate substantially. We believe that comparisons of our financial results are not necessarily meaningful and should not be relied upon as an indication of our future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public market for the Series A Warrants, Series B Warrants or pre-funded warrants being offered in this offering. </w:t>
      </w:r>
    </w:p>
    <w:p>
      <w:pPr>
        <w:pStyle w:val="TextBody"/>
        <w:bidi w:val="0"/>
        <w:spacing w:before="120" w:after="0"/>
        <w:jc w:val="left"/>
        <w:rPr>
          <w:rFonts w:ascii="Times New Roman" w:hAnsi="Times New Roman"/>
          <w:sz w:val="20"/>
        </w:rPr>
      </w:pPr>
      <w:r>
        <w:rPr>
          <w:rFonts w:ascii="Times New Roman" w:hAnsi="Times New Roman"/>
          <w:sz w:val="20"/>
        </w:rPr>
        <w:t xml:space="preserve">There is no public trading market for the Series A Warrants, Series B Warrants or pre-funded warrants being offered in this offering, and we do not expect a market to develop. In addition, we do not intend to list the Series A Warrants, Series B Warrants or pre-funded warrants on the Nasdaq Global Select Market or any other national securities exchange or nationally recognized trading system, and we do not intend to make any of the Series A Warrants, Series B Warrants or pre-funded warrants eligible to be traded through the facilities of DTC or any other clearinghouse. Without an active trading market, the liquidity of the Series A Warrants, Series B Warrants and pre-funded warrants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Series A Warrants, Series B Warrants and pre-funded warrants will have no rights as common stockholders until such holders exercise their warrants and acquire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Until holders of the Series A Warrants, Series B Warrants and pre-funded warrants exercise their Series A Warrants, Series B Warrants or pre-funded warrants, respectively, and acquire shares of our common stock, such holders will have no rights with respect to the shares of our common stock underlying such Series A Warrants, Series B Warrants or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Significant holders or beneficial owners of our common stock may not be permitted to exercise the Series A Warrants, Series B Warrants or pre-funded warrants that they hold. </w:t>
      </w:r>
    </w:p>
    <w:p>
      <w:pPr>
        <w:pStyle w:val="TextBody"/>
        <w:bidi w:val="0"/>
        <w:spacing w:before="120" w:after="0"/>
        <w:jc w:val="left"/>
        <w:rPr>
          <w:rFonts w:ascii="Times New Roman" w:hAnsi="Times New Roman"/>
          <w:sz w:val="20"/>
        </w:rPr>
      </w:pPr>
      <w:r>
        <w:rPr>
          <w:rFonts w:ascii="Times New Roman" w:hAnsi="Times New Roman"/>
          <w:sz w:val="20"/>
        </w:rPr>
        <w:t xml:space="preserve">A holder of the Series A Warrants, Series B Warrants or pre-funded warrants will not be entitled to exercise any portion of any Series A Warrants, Series B Warrants or pre-funded warrant that, upon giving effect to such exercise, would cause (i) the aggregate number of shares of our common stock beneficially owned by such holder (together with its affiliates) to exceed 4.99% or, at the election of the holder prior to the issuance of such warrant, 9.99% of the number of shares of our common stock outstanding immediately after giving effect to the exercise; or (ii) the combined voting power of our securities beneficially owned by such holder (together with its affiliates) to exceed 4.99% or, at the election of the holder prior to the issuance of such warrant, 9.99% of the combined voting power of all of our securities outstanding immediately after giving effect to the exercise, as such percentage ownership is determined in accordance with the terms of the Series A Warrants, Series B Warrants or pre-funded warrants and subject to such holders rights under these warrants to increase or decrease such percentage to any other percentage not in excess of 19.99% (or at the election of the holder prior to the issuance of such warrant, 9.99%) upon at least 61 days prior notice from the holder to us. As a result, you may not be able to exercise your Series A Warrants, Series B Warrants or pre-funded warrants for shares of our common stock at a time when it would be financially beneficial for you to do so. In such a circumstance, you could seek to sell your Series A Warrants, Series B Warrants or pre-funded warrants to realize value, but you may be unable to do so in the absence of an established trading market.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Securities Market and Ownership of Our Securities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fail to maintain compliance with the minimum listing requirements of the Nasdaq Global Select Market, our common stock will be subject to delisting. Our ability to publicly or privately sell equity securities and the liquidity of our common stock could be adversely affected if our common stock is delisted. </w:t>
      </w:r>
    </w:p>
    <w:p>
      <w:pPr>
        <w:pStyle w:val="TextBody"/>
        <w:bidi w:val="0"/>
        <w:spacing w:before="120" w:after="0"/>
        <w:jc w:val="left"/>
        <w:rPr>
          <w:rFonts w:ascii="Times New Roman" w:hAnsi="Times New Roman"/>
          <w:sz w:val="20"/>
        </w:rPr>
      </w:pPr>
      <w:r>
        <w:rPr>
          <w:rFonts w:ascii="Times New Roman" w:hAnsi="Times New Roman"/>
          <w:sz w:val="20"/>
        </w:rPr>
        <w:t xml:space="preserve">The continued listing standards of the Nasdaq Global Select Market (Nasdaq) require, among other things, that the minimum price of a listed companys stock be at or above $1.00. If the bid price of our common stock were to close below the minimum $1.00 per share requirement and we failed to regain compliance prior to the expiration of the initial 30 consecutive trading days, we would expect to receive a notification of noncompliance from Nasdaq. In accordance with Nasdaqs listing rules, we would expect to be afforded 180 calendar days to regain compliance with the bid price requirement. In order to regain compliance, the bid price of our common stock would need to close at a price of at least $1.00 per share for a minimum of 10 consecutive trading days within the 180-day grace period. In the event we did not regain compliance by the end of the Compliance Period, we might be eligible for additional time to regain compliance (the Second Compliance Period) pursuant to Nasdaq Listing Rule 5810(c)(3)(A)(i) by transferring to the Nasdaq Capital Market. To qualify for the Second Compliance Period, we would need to submit a transfer application and pay an application fee. In addition, we would be required to meet the continued listing requirement for the market value of our publicly held shares and all other initial listing standards for Nasdaq, with the exception of the bid price requirement, and would need to provide written notice of our intention to cure the deficiency during the Second Compliance Period, by effecting a reverse stock split, if necessary. There can be no assurance that we would be eligible for the Second Compliance Period, if applicable, or that the Staff would grant our request for continued listing subsequent to any delisting notification and there can be no assurance that we would be able to regain or maintain compliance with the minimum bid price requirement or any other Nasdaq listing standards, if applicable. </w:t>
      </w:r>
    </w:p>
    <w:p>
      <w:pPr>
        <w:pStyle w:val="TextBody"/>
        <w:bidi w:val="0"/>
        <w:spacing w:before="240" w:after="0"/>
        <w:jc w:val="left"/>
        <w:rPr>
          <w:rFonts w:ascii="Times New Roman" w:hAnsi="Times New Roman"/>
          <w:sz w:val="20"/>
        </w:rPr>
      </w:pPr>
      <w:r>
        <w:rPr>
          <w:rFonts w:ascii="Times New Roman" w:hAnsi="Times New Roman"/>
          <w:sz w:val="20"/>
        </w:rPr>
        <w:t xml:space="preserve">If we failed to regain compliance, our common stock would be subject to delisting. 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oc868429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the issuance and sale of units and pre-funded units in this offering will be approximately $    million, after deducting underwriting discounts and commissions and estimated offering expenses payable by us and excluding the proceeds, if any, from the exercise of the Series A Warrants, Series B Warrants and pre-funded warrants issued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this offering, together with our existing cash, cash equivalents and marketable securities, to fund the ongoing and planned development of our clinical and early-stage product candidates, particularly TN-201 and TN-401, and for working capital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Pending the specific use of net proceeds as described in this prospectus supplement, we intend to invest the net proceeds to us from this offering in short and intermediate-term investment grade instruments, certificates of deposit or guaranteed obligations of the U.S. government in accordance with our investment policy. </w:t>
      </w:r>
    </w:p>
    <w:p>
      <w:pPr>
        <w:pStyle w:val="TextBody"/>
        <w:bidi w:val="0"/>
        <w:spacing w:before="240" w:after="0"/>
        <w:jc w:val="left"/>
        <w:rPr>
          <w:rFonts w:ascii="Times New Roman" w:hAnsi="Times New Roman"/>
          <w:sz w:val="20"/>
        </w:rPr>
      </w:pPr>
      <w:r>
        <w:rPr>
          <w:rFonts w:ascii="Times New Roman" w:hAnsi="Times New Roman"/>
          <w:sz w:val="20"/>
        </w:rPr>
        <w:t xml:space="preserve">Our expected use of proceeds from this offering represents our current intentions based on our present plans and business condition. As of the date of this prospectus supplement, we cannot predict with certainty all of the particular uses for the proceeds to be received upon the completion of this offering or the actual amounts that we will spend on the uses set forth above. We may also use a portion of the proceeds to in-license, acquire or invest in additional businesses, technologies, products or assets. Although we have no specific agreements, commitments or understandings with respect to any in-licensing activity or acquisition, we evaluate these opportunities and engage in related discussions with other companies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net proceeds from this offering, together with our existing cash, cash equivalents and marketable securities, will not be sufficient for us to fund our clinical programs into late-stage development, and we will need to raise additional capital to achieve our business objectives. </w:t>
      </w:r>
    </w:p>
    <w:p>
      <w:pPr>
        <w:pStyle w:val="TextBody"/>
        <w:bidi w:val="0"/>
        <w:spacing w:before="240" w:after="0"/>
        <w:jc w:val="left"/>
        <w:rPr>
          <w:rFonts w:ascii="Times New Roman" w:hAnsi="Times New Roman"/>
          <w:sz w:val="20"/>
        </w:rPr>
      </w:pPr>
      <w:r>
        <w:rPr>
          <w:rFonts w:ascii="Times New Roman" w:hAnsi="Times New Roman"/>
          <w:sz w:val="20"/>
        </w:rPr>
        <w:t xml:space="preserve">The amount and timing of our actual expenditures will depend on numerous factors, including the results of our research and development efforts, the timing and outcome of any ongoing or future preclinical studies and clinical trials the timing and outcome of regulatory submissions and any unforeseen cash needs. As a result, our management will have broad discretion over the use of the proceeds from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oc868429_8"/>
      <w:bookmarkEnd w:id="8"/>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this offering, your ownership interest will be diluted immediately to the extent of the difference between the offering price of our common stock and the as adjusted net tangible book value per share of our common stock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historical net tangible book value as of September 30, 2024, was approximately $112.6 million, or approximately $1.42 per share of common stock based upon 79,220,516 shares outstanding as of September 30, 2024. Historical net tangible book value per share represents the amount of our total tangible assets less total liabilities, divided by the number of shares of our common stock outstanding as of September 30, 2024.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sale by us of    units in this offering (which assumes no pre-funded units are sold in this offering and no exercise of the Series A Warrants or Series B Warrants sold in this offering) based on the offering price of $ per unit, and after deducting underwriting discounts and commissions and estimated offering expenses payable by us, our as adjusted net tangible book value as of September 30, 2024 would have been $    million, or $    per share of common stock. This represents an immediate increase in net tangible book value of $    per share to our existing stockholders and an immediate dilution of $    in net tangible book value per share to new investors participating in this offering. Dilution per share to new investors is determined by subtracting as adjusted net tangible book value per share after this offering from the offering price per unit paid by new investors.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calculation on a per share basis.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580"/>
        <w:gridCol w:w="375"/>
        <w:gridCol w:w="143"/>
        <w:gridCol w:w="441"/>
        <w:gridCol w:w="60"/>
        <w:gridCol w:w="375"/>
        <w:gridCol w:w="143"/>
        <w:gridCol w:w="573"/>
        <w:gridCol w:w="65"/>
      </w:tblGrid>
      <w:tr>
        <w:trPr/>
        <w:tc>
          <w:tcPr>
            <w:tcW w:w="5580"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price per unit</w:t>
            </w:r>
          </w:p>
        </w:tc>
        <w:tc>
          <w:tcPr>
            <w:tcW w:w="3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580"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September 30, 2024</w:t>
            </w:r>
          </w:p>
        </w:tc>
        <w:tc>
          <w:tcPr>
            <w:tcW w:w="3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441" w:type="dxa"/>
            <w:tcBorders/>
            <w:vAlign w:val="bottom"/>
          </w:tcPr>
          <w:p>
            <w:pPr>
              <w:pStyle w:val="TableContents"/>
              <w:bidi w:val="0"/>
              <w:spacing w:before="0" w:after="283"/>
              <w:jc w:val="right"/>
              <w:rPr/>
            </w:pPr>
            <w:r>
              <w:rPr/>
              <w:t>1.42</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(decrease) in net tangible book value per share attributable to this offering</w:t>
            </w:r>
          </w:p>
        </w:tc>
        <w:tc>
          <w:tcPr>
            <w:tcW w:w="3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580"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4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580"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to this offering</w:t>
            </w:r>
          </w:p>
        </w:tc>
        <w:tc>
          <w:tcPr>
            <w:tcW w:w="3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580"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(accretion) per share to new investors purchasing in this offering</w:t>
            </w:r>
          </w:p>
        </w:tc>
        <w:tc>
          <w:tcPr>
            <w:tcW w:w="3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580"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discussion and table are based on 79,220,516 shares of our common stock outstanding as of September 30, 2024,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822,566 shares of common stock sold through our ATM program subsequent to September 30, 2024, at an average price of $1.45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9,600,781 shares of common stock issuable upon exercise of stock options outstanding as of September 30, 2024, at a weighted average exercise price of $6.80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2,564,125 shares of our common stock issuable upon the exercise of options granted subsequent to September 30, 2024, at a weighted average exercise price of $1.25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1,545,791 shares of common stock issuable upon vesting of restricted stock units outstanding as of September 30,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1,441,353 shares of common stock issuable upon vesting of restricted stock units granted subsequent to September 30,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7,104,853 shares of common stock issued after September 30, 2024 upon exercise of all pre-funded warrants outstanding as of September 30, 2024, at an exercise price of $0.001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171,848 shares of common stock issuable upon exercise of warrants outstanding as of September 30, 2024, at an exercise price of $2.55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4,816,971 shares of common stock reserved for issuance under our 2021 Equity Incentive Plan (the 2021 Plan) as of September 30, 2024, as well as shares that become available pursuant to provisions in our 2021 Plan that automatically increase the share reserve thereunder each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1,200,000 shares of common stock reserved for issuance under our 2024 Inducement Equity Incentive Plan (the 2024 Plan) as of September 30,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2,567,746 shares of common stock reserved for issuance under our 2021 Employee Stock Purchase Plan (the 2021 ESPP) as of September 30, 2024, as well as shares that become available pursuant to provisions in our 2021 ESPP that automatically increase the share reserve thereunder each year.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oc868429_6"/>
      <w:bookmarkEnd w:id="9"/>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cash dividends on our common stock. We currently intend to retain all of our future earnings, if any, to finance the growth and development of our business. We do not intend to pay cash dividends to holders of our common stock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oc868429_7"/>
      <w:bookmarkEnd w:id="10"/>
      <w:r>
        <w:rPr>
          <w:rFonts w:ascii="Times New Roman" w:hAnsi="Times New Roman"/>
          <w:b/>
          <w:sz w:val="20"/>
        </w:rPr>
        <w:t xml:space="preserve">DESCRIPTION OF SECURITIES </w:t>
      </w:r>
    </w:p>
    <w:p>
      <w:pPr>
        <w:pStyle w:val="TextBody"/>
        <w:bidi w:val="0"/>
        <w:spacing w:before="240" w:after="0"/>
        <w:jc w:val="left"/>
        <w:rPr>
          <w:rFonts w:ascii="Times New Roman" w:hAnsi="Times New Roman"/>
          <w:sz w:val="20"/>
        </w:rPr>
      </w:pPr>
      <w:r>
        <w:rPr>
          <w:rFonts w:ascii="Times New Roman" w:hAnsi="Times New Roman"/>
          <w:b/>
          <w:sz w:val="20"/>
        </w:rPr>
        <w:t>Pre-Funded Warrants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brief summary of certain terms and conditions of the pre-funded warrants being offered by this prospectus supplement. The following description is subject in all respects to the provisions contained in the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Form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will be issued as individual warrant agreements to the investors. You should review the form of pre-funded warrant, which will be filed as an exhibit to a Current Report on Form 8-K that we expect to file with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will expire on the date the warrant is exercised in full.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Exercisability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are exercisable at any time on or after their original issuance. The pre-funded warrants will be exercisable, at the option of each holder, in whole or in part by delivering to us a duly executed exercise notice and by payment in full in immediately available funds for the number of shares of common stock purchased upon such exercise. As an alternative to payment in immediately available funds, the holder may, in its sole discretion, elect to exercise the pre-funded warrant through a cashless exercise, in which case the holder would receive upon such exercise the net number of shares of common stock determined according to the formula set forth in the pre-funded warrant. No fractional shares of common stock will be issued in connection with the exercise of a pre-funded warrant. In lieu of fractional shares, we will pay the holder an amount in cash equal to the fractional amount multiplied by the fair market value of the common stock on the exercise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Limitations </w:t>
      </w:r>
    </w:p>
    <w:p>
      <w:pPr>
        <w:pStyle w:val="TextBody"/>
        <w:bidi w:val="0"/>
        <w:spacing w:before="120" w:after="0"/>
        <w:jc w:val="left"/>
        <w:rPr>
          <w:rFonts w:ascii="Times New Roman" w:hAnsi="Times New Roman"/>
          <w:sz w:val="20"/>
        </w:rPr>
      </w:pPr>
      <w:r>
        <w:rPr>
          <w:rFonts w:ascii="Times New Roman" w:hAnsi="Times New Roman"/>
          <w:sz w:val="20"/>
        </w:rPr>
        <w:t xml:space="preserve">We may not effect the exercise of any pre-funded warrant, and a holder will not be entitled to exercise any portion of any pre-funded warrant that, upon giving effect to such exercise, would cause: (i) the aggregate number of shares of our common stock beneficially owned by such holder (together with its affiliates) to exceed 4.99% or, at the election of the holder prior to the issuance of the warrant, 9.99% of the number of shares of our common stock outstanding immediately after giving effect to the exercise; or (ii) the combined voting power of our securities beneficially owned by such holder (together with its affiliates) to exceed 4.99% or, at the election of the holder prior to the issuance of the warrant, 9.99% of the combined voting power of all of our securities outstanding immediately after giving effect to the exercise, as such percentage ownership is determined in accordance with the terms of the pre-funded warrants. However, any holder of a pre-funded warrant may increase or decrease such percentage to any other percentage not in excess of 19.99% (or at the election of the holder prior to the issuance of the pre-funded warrant, 9.99%) upon at least 61 days prior notice from the holder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Price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per whole share of our common stock purchasable upon the exercise of the pre-funded warrants is $0.001 per share of common stock. The exercise price of the pre-funded warrants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laws, the pre-funded warrants may be offered for sale, sold, transferred or assigned without our consent. </w:t>
      </w:r>
    </w:p>
    <w:p>
      <w:pPr>
        <w:pStyle w:val="TextBody"/>
        <w:bidi w:val="0"/>
        <w:spacing w:before="360" w:after="0"/>
        <w:jc w:val="left"/>
        <w:rPr>
          <w:rFonts w:ascii="Times New Roman" w:hAnsi="Times New Roman"/>
          <w:b/>
          <w:sz w:val="20"/>
        </w:rPr>
      </w:pPr>
      <w:r>
        <w:rPr>
          <w:rFonts w:ascii="Times New Roman" w:hAnsi="Times New Roman"/>
          <w:b/>
          <w:sz w:val="20"/>
        </w:rPr>
        <w:t xml:space="preserve">Series A Warrants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brief summary of certain terms and conditions of the Series A Warrants being offered by this prospectus supplement. The following description is subject in all respects to the provisions contained in the Series A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Form </w:t>
      </w:r>
    </w:p>
    <w:p>
      <w:pPr>
        <w:pStyle w:val="TextBody"/>
        <w:bidi w:val="0"/>
        <w:spacing w:before="120" w:after="0"/>
        <w:jc w:val="left"/>
        <w:rPr>
          <w:rFonts w:ascii="Times New Roman" w:hAnsi="Times New Roman"/>
          <w:sz w:val="20"/>
        </w:rPr>
      </w:pPr>
      <w:r>
        <w:rPr>
          <w:rFonts w:ascii="Times New Roman" w:hAnsi="Times New Roman"/>
          <w:sz w:val="20"/>
        </w:rPr>
        <w:t xml:space="preserve">The Series A Warrants will be issued as individual warrant agreements to the investors. The form of Series A Warrant will also be filed as an exhibit to a Current Report on Form 8-K that we expect to file with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 </w:t>
      </w:r>
    </w:p>
    <w:p>
      <w:pPr>
        <w:pStyle w:val="TextBody"/>
        <w:bidi w:val="0"/>
        <w:spacing w:before="120" w:after="0"/>
        <w:jc w:val="left"/>
        <w:rPr>
          <w:rFonts w:ascii="Times New Roman" w:hAnsi="Times New Roman"/>
          <w:sz w:val="20"/>
        </w:rPr>
      </w:pPr>
      <w:r>
        <w:rPr>
          <w:rFonts w:ascii="Times New Roman" w:hAnsi="Times New Roman"/>
          <w:sz w:val="20"/>
        </w:rPr>
        <w:t xml:space="preserve">The Series A Warrants will expire five years from the date of original issuance.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Exercisability </w:t>
      </w:r>
    </w:p>
    <w:p>
      <w:pPr>
        <w:pStyle w:val="TextBody"/>
        <w:bidi w:val="0"/>
        <w:spacing w:before="120" w:after="0"/>
        <w:jc w:val="left"/>
        <w:rPr>
          <w:rFonts w:ascii="Times New Roman" w:hAnsi="Times New Roman"/>
          <w:sz w:val="20"/>
        </w:rPr>
      </w:pPr>
      <w:r>
        <w:rPr>
          <w:rFonts w:ascii="Times New Roman" w:hAnsi="Times New Roman"/>
          <w:sz w:val="20"/>
        </w:rPr>
        <w:t xml:space="preserve">The Series A Warrants are exercisable at any time on or after their original issuance. The Series A Warrants will be exercisable, at the option of each holder, in whole or in part by delivering to us a duly executed exercise notice and by payment in full in immediately available funds for the number of shares of common stock purchased upon such exercise. No fractional shares of common stock will be issued in connection with the exercise of a Series A Warrant. In lieu of fractional shares, the number of shares shall be rounded down to the next whole number and we will pay the holder an amount in cash equal to the fair market value of the common stock on the exercise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Limitations </w:t>
      </w:r>
    </w:p>
    <w:p>
      <w:pPr>
        <w:pStyle w:val="TextBody"/>
        <w:bidi w:val="0"/>
        <w:spacing w:before="120" w:after="0"/>
        <w:jc w:val="left"/>
        <w:rPr>
          <w:rFonts w:ascii="Times New Roman" w:hAnsi="Times New Roman"/>
          <w:sz w:val="20"/>
        </w:rPr>
      </w:pPr>
      <w:r>
        <w:rPr>
          <w:rFonts w:ascii="Times New Roman" w:hAnsi="Times New Roman"/>
          <w:sz w:val="20"/>
        </w:rPr>
        <w:t xml:space="preserve">We may not effect the exercise of any Series A Warrant, and a holder will not be entitled to exercise any portion of any Series A Warrant that, upon giving effect to such exercise, would cause: (i) the aggregate number of shares of our common stock beneficially owned by such holder (together with its affiliates) to exceed 4.99% or, at the election of the holder prior to the issuance of the warrant, 9.99% of the number of shares of our common stock outstanding immediately after giving effect to the exercise; or (ii) the combined voting power of our securities beneficially owned by such holder (together with its affiliates) to exceed 4.99% or, at the election of the holder prior to the issuance of the warrant, 9.99% of the combined voting power of all of our securities outstanding immediately after giving effect to the exercise, as such percentage ownership is determined in accordance with the terms of the Series A Warrants. However, any holder of a Series A Warrant may increase or decrease such percentage to any other percentage not in excess of 19.99% (or at the election of the holder prior to the issuance of the Series A Warrant, 9.99%) upon at least 61 days prior notice from the holder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Price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per whole share of our common stock purchasable upon the exercise of the Series A Warrants is $   per share of common stock. The exercise price of the Series A Warrants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Cashless Exercise </w:t>
      </w:r>
    </w:p>
    <w:p>
      <w:pPr>
        <w:pStyle w:val="TextBody"/>
        <w:bidi w:val="0"/>
        <w:spacing w:before="120" w:after="0"/>
        <w:jc w:val="left"/>
        <w:rPr>
          <w:rFonts w:ascii="Times New Roman" w:hAnsi="Times New Roman"/>
          <w:sz w:val="20"/>
        </w:rPr>
      </w:pPr>
      <w:r>
        <w:rPr>
          <w:rFonts w:ascii="Times New Roman" w:hAnsi="Times New Roman"/>
          <w:sz w:val="20"/>
        </w:rPr>
        <w:t xml:space="preserve">If, at the time a holder exercises its Series A Warrants, a registration statement registering the issuance of the shares of common stock underlying the Series A Warrants under the Securities Act is not then effective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available,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Series A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laws, the Series A Warrants may be offered for sale, sold, transferred or assigned without our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Delivery of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Upon exercise of the Series A Warrants, upon the request of the holder, we will credit such aggregate number of shares of common stock to which the holder is entitled pursuant to such exercise to the holders or its designees balance account with DTC.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w:t>
      </w:r>
    </w:p>
    <w:p>
      <w:pPr>
        <w:pStyle w:val="TextBody"/>
        <w:bidi w:val="0"/>
        <w:spacing w:before="120" w:after="0"/>
        <w:jc w:val="left"/>
        <w:rPr>
          <w:rFonts w:ascii="Times New Roman" w:hAnsi="Times New Roman"/>
          <w:sz w:val="20"/>
        </w:rPr>
      </w:pPr>
      <w:r>
        <w:rPr>
          <w:rFonts w:ascii="Times New Roman" w:hAnsi="Times New Roman"/>
          <w:sz w:val="20"/>
        </w:rPr>
        <w:t xml:space="preserve">The Series A Warrants may be amended only with the written consent of the holder. </w:t>
      </w:r>
    </w:p>
    <w:p>
      <w:pPr>
        <w:pStyle w:val="TextBody"/>
        <w:bidi w:val="0"/>
        <w:spacing w:before="360" w:after="0"/>
        <w:jc w:val="left"/>
        <w:rPr>
          <w:rFonts w:ascii="Times New Roman" w:hAnsi="Times New Roman"/>
          <w:b/>
          <w:sz w:val="20"/>
        </w:rPr>
      </w:pPr>
      <w:r>
        <w:rPr>
          <w:rFonts w:ascii="Times New Roman" w:hAnsi="Times New Roman"/>
          <w:b/>
          <w:sz w:val="20"/>
        </w:rPr>
        <w:t xml:space="preserve">Series B Warrants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brief summary of certain terms and conditions of the Series B Warrants being offered by this prospectus supplement. The following description is subject in all respects to the provisions contained in the Series B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Form </w:t>
      </w:r>
    </w:p>
    <w:p>
      <w:pPr>
        <w:pStyle w:val="TextBody"/>
        <w:bidi w:val="0"/>
        <w:spacing w:before="120" w:after="0"/>
        <w:jc w:val="left"/>
        <w:rPr>
          <w:rFonts w:ascii="Times New Roman" w:hAnsi="Times New Roman"/>
          <w:sz w:val="20"/>
        </w:rPr>
      </w:pPr>
      <w:r>
        <w:rPr>
          <w:rFonts w:ascii="Times New Roman" w:hAnsi="Times New Roman"/>
          <w:sz w:val="20"/>
        </w:rPr>
        <w:t xml:space="preserve">The Series B Warrants will be issued as individual warrant agreements to the investors. The form of Series B Warrant will also be filed as an exhibit to a Current Report on Form 8-K that we expect to file with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 </w:t>
      </w:r>
    </w:p>
    <w:p>
      <w:pPr>
        <w:pStyle w:val="TextBody"/>
        <w:bidi w:val="0"/>
        <w:spacing w:before="120" w:after="0"/>
        <w:jc w:val="left"/>
        <w:rPr>
          <w:rFonts w:ascii="Times New Roman" w:hAnsi="Times New Roman"/>
          <w:sz w:val="20"/>
        </w:rPr>
      </w:pPr>
      <w:r>
        <w:rPr>
          <w:rFonts w:ascii="Times New Roman" w:hAnsi="Times New Roman"/>
          <w:sz w:val="20"/>
        </w:rPr>
        <w:t xml:space="preserve">The Series B Warrants will expire on June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Exercisability </w:t>
      </w:r>
    </w:p>
    <w:p>
      <w:pPr>
        <w:pStyle w:val="TextBody"/>
        <w:bidi w:val="0"/>
        <w:spacing w:before="120" w:after="0"/>
        <w:jc w:val="left"/>
        <w:rPr>
          <w:rFonts w:ascii="Times New Roman" w:hAnsi="Times New Roman"/>
          <w:sz w:val="20"/>
        </w:rPr>
      </w:pPr>
      <w:r>
        <w:rPr>
          <w:rFonts w:ascii="Times New Roman" w:hAnsi="Times New Roman"/>
          <w:sz w:val="20"/>
        </w:rPr>
        <w:t xml:space="preserve">The Series B Warrants are exercisable at any time on or after their original issuance. The Series B Warrants will be exercisable, at the option of each holder, in whole or in part by delivering to us a duly executed exercise notice and by payment in full in immediately available funds for the number of shares of common stock purchased upon such exercise. No fractional shares of common stock will be issued in connection with the exercise of a Series B Warrant. In lieu of fractional shares, the number of shares shall be rounded down to the next whole number and we will pay the holder an amount in cash equal to the fair market value of the common stock on the exercise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Limitations </w:t>
      </w:r>
    </w:p>
    <w:p>
      <w:pPr>
        <w:pStyle w:val="TextBody"/>
        <w:bidi w:val="0"/>
        <w:spacing w:before="120" w:after="0"/>
        <w:jc w:val="left"/>
        <w:rPr>
          <w:rFonts w:ascii="Times New Roman" w:hAnsi="Times New Roman"/>
          <w:sz w:val="20"/>
        </w:rPr>
      </w:pPr>
      <w:r>
        <w:rPr>
          <w:rFonts w:ascii="Times New Roman" w:hAnsi="Times New Roman"/>
          <w:sz w:val="20"/>
        </w:rPr>
        <w:t xml:space="preserve">We may not effect the exercise of any Series B Warrant, and a holder will not be entitled to exercise any portion of any Series B Warrant that, upon giving effect to such exercise, would cause: (i) the aggregate number of shares of our common stock beneficially owned by such holder (together with its affiliates) to exceed 4.99% or, at the election of the holder prior to the issuance of the warrant, 9.99% of the number of shares of our common stock outstanding immediately after giving effect to the exercise; or (ii) the combined voting power of our securities beneficially owned by such holder (together with its affiliates) to exceed 4.99% or, at the election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holder prior to the issuance of the warrant, 9.99% of the combined voting power of all of our securities outstanding immediately after giving effect to the exercise, as such percentage ownership is determined in accordance with the terms of the Series B Warrants. However, any holder of a Series B Warrant may increase or decrease such percentage to any other percentage not in excess of 19.99% (or at the election of the holder prior to the issuance of the Series B Warrant, 9.99%) upon at least 61 days prior notice from the holder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Price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per whole share of our common stock purchasable upon the exercise of the Series B Warrants is $   per share of common stock. The exercise price of the Series B Warrants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Cashless Exercise </w:t>
      </w:r>
    </w:p>
    <w:p>
      <w:pPr>
        <w:pStyle w:val="TextBody"/>
        <w:bidi w:val="0"/>
        <w:spacing w:before="120" w:after="0"/>
        <w:jc w:val="left"/>
        <w:rPr>
          <w:rFonts w:ascii="Times New Roman" w:hAnsi="Times New Roman"/>
          <w:sz w:val="20"/>
        </w:rPr>
      </w:pPr>
      <w:r>
        <w:rPr>
          <w:rFonts w:ascii="Times New Roman" w:hAnsi="Times New Roman"/>
          <w:sz w:val="20"/>
        </w:rPr>
        <w:t xml:space="preserve">If, at the time a holder exercises its Series B Warrants, a registration statement registering the issuance of the shares of common stock underlying the Series B Warrants under the Securities Act is not then effective or available,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Series B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laws, the Series B Warrants may be offered for sale, sold, transferred or assigned without our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Delivery of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Upon exercise of the Series B Warrants, upon the request of the holder, we will credit such aggregate number of shares of common stock to which the holder is entitled pursuant to such exercise to the holders or its designees balance account with DTC.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w:t>
      </w:r>
    </w:p>
    <w:p>
      <w:pPr>
        <w:pStyle w:val="TextBody"/>
        <w:bidi w:val="0"/>
        <w:spacing w:before="120" w:after="0"/>
        <w:jc w:val="left"/>
        <w:rPr>
          <w:rFonts w:ascii="Times New Roman" w:hAnsi="Times New Roman"/>
          <w:sz w:val="20"/>
        </w:rPr>
      </w:pPr>
      <w:r>
        <w:rPr>
          <w:rFonts w:ascii="Times New Roman" w:hAnsi="Times New Roman"/>
          <w:sz w:val="20"/>
        </w:rPr>
        <w:t xml:space="preserve">The Series B Warrants may be amended only with the written consent of the holder.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There is no established trading market for the pre-funded warrants, Series A Warrants or Series B Warrants, and we do not expect a market to develop. We do not plan on applying to list the pre-funded warrants, Series A Warrants or Series B Warrants on the Nasdaq Global Select Market, any other national securities exchange or any other nationally recognized trading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Fundamental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fundamental transaction, as described in the Series A Warrants, Series B Warrants and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Series A Warrants, Series B Warrants and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be entitled to receive upon exercise of the Series A Warrants, Series B Warrants and pre-funded warrants the kind and amount of securities, cash or other property that the holders would have received had they exercised the Series A Warrants, Series B Warrants or pre-funded warrants immediately prior to such fundamental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a holder does not exercise its Series B Warrants or pre-funded warrants in connection with a fundamental transaction, such holders Series B Warrants or pre-funded warrants will be deemed exercised in full pursuant to the cashless exercise mechanism described above upon the consummation of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a holder does not exercise its Series A Warrants in connection with a fundamental transaction, we or our successor or acquiring corporation shall, at such holders option, exercisable at any time concurrently with, or within thirty days after, the consummation of the fundamental transaction (or, if later, the date of the public announcement of the applicable fundamental transaction), purchase the Series A Warrant from the holder by paying to the holder an amount of cash equal to the Black Scholes value of the remaining unexercised portion of the Series A Warrants on the date of the consummation of such fundamental transaction, subject to certain limitations and conditions as set forth in the Series A Warrant. </w:t>
      </w:r>
    </w:p>
    <w:p>
      <w:pPr>
        <w:pStyle w:val="TextBody"/>
        <w:bidi w:val="0"/>
        <w:spacing w:before="360" w:after="0"/>
        <w:jc w:val="left"/>
        <w:rPr>
          <w:rFonts w:ascii="Times New Roman" w:hAnsi="Times New Roman"/>
          <w:b/>
          <w:sz w:val="20"/>
        </w:rPr>
      </w:pPr>
      <w:r>
        <w:rPr>
          <w:rFonts w:ascii="Times New Roman" w:hAnsi="Times New Roman"/>
          <w:b/>
          <w:sz w:val="20"/>
        </w:rPr>
        <w:t xml:space="preserve">Rights as a Stockholder </w:t>
      </w:r>
    </w:p>
    <w:p>
      <w:pPr>
        <w:pStyle w:val="TextBody"/>
        <w:bidi w:val="0"/>
        <w:spacing w:before="120" w:after="0"/>
        <w:jc w:val="left"/>
        <w:rPr>
          <w:rFonts w:ascii="Times New Roman" w:hAnsi="Times New Roman"/>
          <w:sz w:val="20"/>
        </w:rPr>
      </w:pPr>
      <w:r>
        <w:rPr>
          <w:rFonts w:ascii="Times New Roman" w:hAnsi="Times New Roman"/>
          <w:sz w:val="20"/>
        </w:rPr>
        <w:t xml:space="preserve">Except by virtue of such holders ownership of shares of our common stock, the holder of a pre-funded warrant or warrant does not have the rights or privileges of a holder of our common stock, including any voting rights, until the holder exercises the pre-funded warrant or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oc868429_9"/>
      <w:bookmarkEnd w:id="11"/>
      <w:r>
        <w:rPr>
          <w:rFonts w:ascii="Times New Roman" w:hAnsi="Times New Roman"/>
          <w:b/>
          <w:sz w:val="20"/>
        </w:rPr>
        <w:t xml:space="preserve">MATERIAL U.S. FEDERAL INCOME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U.S. federal income tax consequences of the ownership and disposition of our common stock, pre-funded warrants, Series A Warrants and Series B warrants acquired in this offering, but does not purport to be a complete analysis of all the potential tax considerations relating thereto. In this section titled Material U.S. Federal Income Tax Consequences, we refer to the Series A Warrants and Series B Warrants issued in this offering, collectively, as the warrants. Because the components of a unit or pre-funded unit are generally separable at the option of the holder, you will be treated for U.S. federal income tax purposes as the owner of the applicable underlying common stock, pre-funded warrants and/or warrants. As a result, the discussion below with respect to beneficial owners of common stock, pre-funded warrants or warrants will also apply to beneficial owners of units or pre-funded units, as applicable. This summary is based upon the provisions of the United States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or IRS, with respect to the statements made and the conclusions reached in the following summary, and there can be no assurance that the IRS or a court will agree with such statements and conclusions. </w:t>
      </w:r>
    </w:p>
    <w:p>
      <w:pPr>
        <w:pStyle w:val="TextBody"/>
        <w:bidi w:val="0"/>
        <w:spacing w:before="240" w:after="0"/>
        <w:jc w:val="left"/>
        <w:rPr>
          <w:rFonts w:ascii="Times New Roman" w:hAnsi="Times New Roman"/>
          <w:sz w:val="20"/>
        </w:rPr>
      </w:pPr>
      <w:r>
        <w:rPr>
          <w:rFonts w:ascii="Times New Roman" w:hAnsi="Times New Roman"/>
          <w:sz w:val="20"/>
        </w:rPr>
        <w:t xml:space="preserve">This summary also does not address the tax considerations arising under the laws of any non-U.S., state or local jurisdiction, under U.S. federal gift and estate tax rules nor does it address any aspects of the alternative minimum tax, the special tax accounting rules under Section 451(b) of the Code, or the Medicare tax on net investment income. In addition, this discussion does not address tax considerations applicable to an investors particular circumstances or to investors that may be subject to special tax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regulated investment companies, real estate investment trusts or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pension plans and 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or dealers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elect to use a mark-to-market method of tax accounting for their securities holdings;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are deemed to own, more than five percent of our capital stock and/or pre-funded warrants (except to the extent specifically set forth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our common stock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our common stock, pre-funded warrants or warrants as a position in a hedging transaction, straddle, conversion transaction or other risk reduction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do not hold our common stock, pre-funded warrants or warrants as a capital asset within the meaning of Section 1221 of the Code (generally, property held for investment);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pre-funded warrants or warrants under the constructive sale provisions of the Code.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a partnership, entity or arrangement classified as a partnership or flow-through entity for U.S. federal income tax purposes holds our common stock, pre-funded warrants or warrants, the tax treatment of a partner (or an owner) in such partnership or other entity generally will depend on the status of the partner and upon the activities of the partnership or other entity. A partner (or an owner) in a partnership or other such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will hold our common stock, pre-funded warrants or warrants should consult his, her or its own tax advisor regarding the tax consequences of the ownership and disposition of our common stock, pre-funded warrants or warrants through a partnership or other such entity, as applicable. </w:t>
      </w:r>
    </w:p>
    <w:p>
      <w:pPr>
        <w:pStyle w:val="TextBody"/>
        <w:bidi w:val="0"/>
        <w:spacing w:before="240" w:after="0"/>
        <w:jc w:val="left"/>
        <w:rPr>
          <w:rFonts w:ascii="Times New Roman" w:hAnsi="Times New Roman"/>
          <w:b/>
          <w:sz w:val="20"/>
        </w:rPr>
      </w:pPr>
      <w:r>
        <w:rPr>
          <w:rFonts w:ascii="Times New Roman" w:hAnsi="Times New Roman"/>
          <w:b/>
          <w:sz w:val="20"/>
        </w:rPr>
        <w:t xml:space="preserve">You are urged to consult your tax advisor with respect to the application of the U.S. federal income tax laws to your particular situation, as well as any tax consequences of the purchase, ownership and disposition of our common stock, pre-funded warrants or warrants, arising under the U.S. federal gift or estate tax rules or under the laws of any state, local, non-U.S. or other taxing jurisdiction or under any applicable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 and Non-U.S. Holder Defined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you are a U.S. holder if you are a beneficial owner (other than a partnership or other entity or arrangement classified as a partnership for U.S. federal income tax purposes) of our common stock, pre-funded warrants or warrants that, for U.S.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created or organized in the United States or under the laws of the United States or any political subdivision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whose income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(1) whose administration is subject to the primary supervision of a U.S. court and that has one or more U.S. persons (within the meaning of the Code) who have the authority to control all substantial decisions of the trust or (2) that has made a valid election under applicable Treasury regulations to be treated as a U.S.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you are a non-U.S. holder if you are a beneficial owner of our common stock, pre-funded warrants or warrants that is not a U.S. holder or a partnership (or other entity or arrangement classified as a partnership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Treatment of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Although the law in this area is not completely settled, the pre-funded warrants are generally expected to be treated as outstanding stock for U.S. federal income tax purposes. Accordingly, upon exercise, no income, gain or loss should be recognized upon the exercise of a pre-funded warrant except to the extent of cash received in exchange for a fractional share, which will be treated as a sale subject to the rules described below under Tax Consequences Applicable to U.S. HoldersGain on Disposition of Common Stock Pre-Funded Warrants or Warrants, and Tax Consequences Applicable to Non-U.S. HoldersGain on Disposition of Common Stock, Pre-Funded Warrants, or Warrants and the holding period of a pre-funded warrant should carry over to the share of common stock received. The tax basis of the pre-funded warrant should carry over to the share of common stock received upon exercise of the pre-funded warrant increased by the exercise price. If you are contemplating the acquisition of pre-funded warrants, you should discuss with your personal tax advisor the consequences of the purchase, ownership and disposition of the pre-funded warrants, as well as the exercise of, certain adjustments to, and any payments in respect of the pre-funded warrants (including potential alternative characterizations).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Allocation of Purchase Price </w:t>
      </w:r>
    </w:p>
    <w:p>
      <w:pPr>
        <w:pStyle w:val="TextBody"/>
        <w:bidi w:val="0"/>
        <w:spacing w:before="120" w:after="0"/>
        <w:jc w:val="left"/>
        <w:rPr>
          <w:rFonts w:ascii="Times New Roman" w:hAnsi="Times New Roman"/>
          <w:sz w:val="20"/>
        </w:rPr>
      </w:pPr>
      <w:r>
        <w:rPr>
          <w:rFonts w:ascii="Times New Roman" w:hAnsi="Times New Roman"/>
          <w:sz w:val="20"/>
        </w:rPr>
        <w:t xml:space="preserve">No statutory, administrative or judicial authority directly addresses the treatment of a unit or pre-funded unit, or instruments similar to them, for federal income tax purposes, and therefore, that treatment is not entirely clear. Under general U.S. federal income tax principles, the acquisition of a unit or pre-funded unit should be treated as the acquisition of, respectively, (i) one share of common stock, one Series A Warrant to acquire    share of our common stock, and one Series B Warrant to acquire    share of our common stock, or (ii) one pre-funded warrant, one Series A Warrant to acquire    share of our common stock, and one Series B Warrant to acquire    share of our common stock. The purchase price for each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unit must be allocated by you between these three components in proportion to their relative fair market values at the time you purchase the unit or pre-funded units. Under U.S. federal income tax law, each investor must make his or her own determination of these values based on all the facts and circumstances. Therefore, you should consult your tax advisor regarding the determination of value for these purposes. This allocation of the purchase price for each unit or pre-funded unit will establish your initial tax basis for U.S. federal income tax purposes in the share of common stock or pre-funded warrant and the warrants included in each unit or pre-funded unit,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Any disposition of a unit or pre-funded unit will be treated for U.S. federal income tax purposes as a disposition of the share of common stock or pre-funded warrant and the warrants, as applicable, and the amount realized on the disposition must be allocated by you between the components according to their respective relative fair market values (as determined by you based on all the relevant facts and circumstances) at the time of disposition. The separation of the share of common stock or pre-funded warrant and the warrants included in each unit or pre-funded unit, as applicable, should not be a taxable event for U.S. federal income tax purposes. You should consult your own tax advisor regarding the allocation of the purchase price for a unit or pre-funded unit.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treatment of the units, pre-funded units, common stock, pre-funded warrants and warrants, and your purchase price allocation, are not binding on the IRS or the courts. Because there are no authorities that directly address instruments that are similar to the units or pre-funded units, no assurance can be given that the IRS or a court will agree with the characterization described above or the discussion below. The remainder of this discussion assumes that the characterization of the units and pre-funded units described above is respected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Applicable to 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cash dividends on our common stock. We currently intend to retain all of our future earnings, if any, to finance the growth and development of our business. We do not intend to pay cash dividends to holders of our common stock in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as described below under Tax Consequences Applicable to U.S. HoldersGain on Disposition of Common Stock, Pre-Funded Warrants or Warrants. If you are a non-corporate U.S. holder, and certain requirements are met, a preferential U.S. federal income tax rate will apply to any dividends paid to you if you meet certain holding period requirements. </w:t>
      </w:r>
    </w:p>
    <w:p>
      <w:pPr>
        <w:pStyle w:val="TextBody"/>
        <w:bidi w:val="0"/>
        <w:spacing w:before="240" w:after="0"/>
        <w:jc w:val="left"/>
        <w:rPr>
          <w:rFonts w:ascii="Times New Roman" w:hAnsi="Times New Roman"/>
          <w:sz w:val="20"/>
        </w:rPr>
      </w:pPr>
      <w:r>
        <w:rPr>
          <w:rFonts w:ascii="Times New Roman" w:hAnsi="Times New Roman"/>
          <w:sz w:val="20"/>
        </w:rPr>
        <w:t xml:space="preserve">If you are a corporate shareholder, distributions constituting dividends for U.S. federal income tax purposes will generally be eligible for the dividends received deduction, or DRD. No assurance can be given that we will have sufficient earnings and profits (as determined under U.S. federal income tax principles) to cause any distributions to be eligible for a DRD. In addition, a DRD is available only if certain holding periods and other taxable income requirements are satisfied. </w:t>
      </w:r>
    </w:p>
    <w:p>
      <w:pPr>
        <w:pStyle w:val="TextBody"/>
        <w:bidi w:val="0"/>
        <w:spacing w:before="240" w:after="0"/>
        <w:jc w:val="left"/>
        <w:rPr>
          <w:rFonts w:ascii="Times New Roman" w:hAnsi="Times New Roman"/>
          <w:sz w:val="20"/>
        </w:rPr>
      </w:pPr>
      <w:r>
        <w:rPr>
          <w:rFonts w:ascii="Times New Roman" w:hAnsi="Times New Roman"/>
          <w:sz w:val="20"/>
        </w:rPr>
        <w:t xml:space="preserve">The taxation of a distribution received with respect to a pre-funded warrant or warrants is unclear. It is possible such a distribution would be treated as a distribution as described in this section, although other treatments may also be possible. You should consult your tax advisors regarding the proper treatment of any payments in respect of the pre-funded warrants or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Gain on Disposition of Common Stock, Pre-Funded Warrants or Warrants </w:t>
      </w:r>
    </w:p>
    <w:p>
      <w:pPr>
        <w:pStyle w:val="TextBody"/>
        <w:bidi w:val="0"/>
        <w:spacing w:before="120" w:after="0"/>
        <w:jc w:val="left"/>
        <w:rPr>
          <w:rFonts w:ascii="Times New Roman" w:hAnsi="Times New Roman"/>
          <w:sz w:val="20"/>
        </w:rPr>
      </w:pPr>
      <w:r>
        <w:rPr>
          <w:rFonts w:ascii="Times New Roman" w:hAnsi="Times New Roman"/>
          <w:sz w:val="20"/>
        </w:rPr>
        <w:t xml:space="preserve">Upon a sale or other taxable disposition of common stock, pre-funded warrants or warrants, you generally will recognize capital gain or loss in an amount equal to the difference between the amount realized and your adjusted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tax basis in the common stock, pre-funded warrant or warrant. Your adjusted tax basis will generally equal your acquisition cost, and will be determined as discussed above under Allocation of Purchase Price, and if the common stock, pre-funded warrants or warrants were sold as part of units or pre-funded units, the portion of amount realized allocable to each component will be determined as discussed under that section. Capital gain or loss will constitute long-term capital gain or loss if your holding period for the common stock, pre-funded warrant or warrant exceeds one year. The deductibility of capital losses is subject to certain limitations. U.S. holders who recognize losses with respect to a disposition of our common stock, pre-funded warrants or warrants should consult their own tax advisors regarding the tax treatment of such losses.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and Expiration of Warrants </w:t>
      </w:r>
    </w:p>
    <w:p>
      <w:pPr>
        <w:pStyle w:val="TextBody"/>
        <w:bidi w:val="0"/>
        <w:spacing w:before="120" w:after="0"/>
        <w:jc w:val="left"/>
        <w:rPr>
          <w:rFonts w:ascii="Times New Roman" w:hAnsi="Times New Roman"/>
          <w:sz w:val="20"/>
        </w:rPr>
      </w:pPr>
      <w:r>
        <w:rPr>
          <w:rFonts w:ascii="Times New Roman" w:hAnsi="Times New Roman"/>
          <w:sz w:val="20"/>
        </w:rPr>
        <w:t xml:space="preserve">In general, you will not recognize gain or loss for U.S. federal income tax purposes upon exercise of a warrant. You will take a tax basis in the common stock acquired on the exercise of a warrant equal to the exercise price of the warrant, increased by your adjusted tax basis (determined as discussed above under Allocation of Purchase Price) in the warrant exercised. It is unclear whether your holding period for the common stock acquired on the exercise of warrants will begin on the date following the date of exercise or on the date of exercise of the warrants; in either case, the holding period will not include the period during which you held the warrants. </w:t>
      </w:r>
    </w:p>
    <w:p>
      <w:pPr>
        <w:pStyle w:val="TextBody"/>
        <w:bidi w:val="0"/>
        <w:spacing w:before="240" w:after="0"/>
        <w:jc w:val="left"/>
        <w:rPr>
          <w:rFonts w:ascii="Times New Roman" w:hAnsi="Times New Roman"/>
          <w:sz w:val="20"/>
        </w:rPr>
      </w:pPr>
      <w:r>
        <w:rPr>
          <w:rFonts w:ascii="Times New Roman" w:hAnsi="Times New Roman"/>
          <w:sz w:val="20"/>
        </w:rPr>
        <w:t xml:space="preserve">In certain limited circumstances, you may be permitted to undertake a cashless exercise of warrants into our common stock. The U.S. federal income tax treatment of a cashless exercise of warrants into our common stock is unclear, and the tax consequences of a cashless exercise could differ from the consequences upon the exercise of a warrant described in the preceding paragraph. You should consult their own tax advisors regarding the U.S. federal income tax consequences of a cashless exercise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lapse or expiration of a warrant will be treated as if you sold or exchanged the warrant and recognized a capital loss equal to your tax basis in the warrant. The deductibility of capital losses is subject to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Adjustments to Pre-Funded Warrants or Warrants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305 of the Code, an adjustment to the number of shares of common stock that will be issued on the exercise of the pre-funded warrants or warrants, or an adjustment to the exercise price of the pre-funded warrants or warrants, may be treated as a constructive distribution to you of the pre-funded warrants or warrants if, and to the extent that, such adjustment has the effect of increasing your proportionate interest in our earnings and profits or assets, depending on the circumstances of such adjustment (for example, if such adjustment is to compensate for a distribution of cash or other property to our shareholders). Any such adjustment that is treated as a constructive distribution would be treated as a dividend, to the extent described above under Tax Consequences Applicable to U.S. HoldersDistributions. You should consult your tax advisor regarding the proper tax treatment of any such adjustment.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requirements generally will apply to payments of dividends (including constructive dividends) on the common stock, pre-funded warrants or warrants and to the proceeds of a sale or other disposition of common stock, pre-funded warrants or warrants paid to you unless you are an exempt recipient, such as certain corporations. Backup withholding at a current rate of 24% will apply to those payments if you fail to provide your taxpayer identification number (generally in the form of a properly completed and executed IRS Form W-9), or certification of exempt status or if you otherwise fail to comply with applicable requirements to establish an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Tax Consequences Applicable to Non-U.S.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cash dividends on our common stock. We currently intend to retain all of our future earnings, if any, to finance the growth and development of our business. We do not intend to pay cash dividends to holders of our common stock in the foreseeable future. However, if we do make distributions on our common stock, those payments generally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treated as described below in Tax Consequences Applicable to Non-U.S. HoldersGain on Disposition of Common Stock, Pre-Funded Warrants or Warrants.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discussions below on effectively connected income and provisions of the Code referred to as the Foreign Account Tax Compliance Act, or FATCA,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the applicable withholding agent with an IRS Form W-8BEN or W-8BEN-E or other appropriate version of IRS Form W-8 certifying qualification for the reduced rate. A non-U.S. holder of shares of our common stock, pre-funded warrants or warrants eligible for a reduced rate of U.S. federal withholding tax pursuant to an income tax treaty may obtain a refund of any excess amounts withheld by timely filing an appropriate claim for refund with the IRS. If the non-U.S. holder holds our common stock, pre-funded warrants or warrants through a financial institution or other agent acting on the non-U.S. holders behalf, the non-U.S. holder will be required to provide appropriate documentation to the agent, which then will be required to provide certification to the applicable withholding agent, either directly or through other intermediaries. </w:t>
      </w:r>
    </w:p>
    <w:p>
      <w:pPr>
        <w:pStyle w:val="TextBody"/>
        <w:bidi w:val="0"/>
        <w:spacing w:before="240" w:after="0"/>
        <w:jc w:val="left"/>
        <w:rPr>
          <w:rFonts w:ascii="Times New Roman" w:hAnsi="Times New Roman"/>
          <w:sz w:val="20"/>
        </w:rPr>
      </w:pPr>
      <w:r>
        <w:rPr>
          <w:rFonts w:ascii="Times New Roman" w:hAnsi="Times New Roman"/>
          <w:sz w:val="20"/>
        </w:rPr>
        <w:t xml:space="preserve">Dividends received by you that are treated as effectively connected with your conduct of a U.S. trade or business (and, if required by an applicable income tax treaty, such dividends are attributable to a permanent establishment or fixed base maintained by you in the United States) are generally exempt from the 30% U.S. federal withholding tax, subject to the discussion below on backup withholding and FATCA. In order to obtain this exemption, you must provide the applicable withholding agent with a properly executed IRS Form W-8ECI or other applicable IRS Form W-8 properly certifying such exemption. Such effectively connected dividends, although not subject to U.S. federal withholding tax, are taxed at the same rates applicable to U.S. persons, net of certain deductions and credits, subject to an applicable income tax treaty providing otherwise.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pre-funded warrants or warrants including any applicable tax treaties that may provide for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The taxation of a distribution received with respect to a pre-funded warrant or warrant is unclear. It is possible such a distribution would be treated as a distribution as described in this section, although other treatments may also be possible. You should consult your own tax advisors regarding the proper treatment of any payments in respect of the pre-funded warrants or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Gain on Disposition of Common Stock, Pre-funded Warrants or Warrants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regarding backup withholding and FATCA, you generally will not be required to pay U.S. federal income tax on any gain realized upon the sale or other disposition of our common stock, pre-funded warrants or warrants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your conduct of a U.S. trade or business (and, if an applicable income tax treaty so provides, the gain is attributable to a permanent establishment or fixed base maintained by you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an individual who is present in the United States for a period or periods aggregating 183 days or more during the calendar year in which the sale or disposition occurs and certain other conditions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business assets, there can be no assurance that we will not become a USRPHC in the future. Even if we become a USRPHC, however, as long as our common stock is regularly traded on an established securities market, your common stock will be treated as a U.S. real property interest only if you actually (directly or indirectly) or constructively hold more than five percent of such regularly traded common stock at any time during the shorter of the five-year period preceding your disposition of, or your holding period for, our common stock. However, no assurance can be provided that our common stock will be considered to be regularly traded on an established securities market for purposes of the rules described above. Special rules may apply to non-U.S. holders of pre-funded warrants and warrants, who should consult their tax advisors. </w:t>
      </w:r>
    </w:p>
    <w:p>
      <w:pPr>
        <w:pStyle w:val="TextBody"/>
        <w:bidi w:val="0"/>
        <w:spacing w:before="240" w:after="0"/>
        <w:jc w:val="left"/>
        <w:rPr>
          <w:rFonts w:ascii="Times New Roman" w:hAnsi="Times New Roman"/>
          <w:sz w:val="20"/>
        </w:rPr>
      </w:pPr>
      <w:r>
        <w:rPr>
          <w:rFonts w:ascii="Times New Roman" w:hAnsi="Times New Roman"/>
          <w:sz w:val="20"/>
        </w:rPr>
        <w:t xml:space="preserve">If you are a non-U.S. holder described in the first bullet above, you generally will be required to pay tax on the gain derived from the sale (net of certain deductions and credits) under regular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treaties or other agreements that may provide for different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and Expiration of Warrants </w:t>
      </w:r>
    </w:p>
    <w:p>
      <w:pPr>
        <w:pStyle w:val="TextBody"/>
        <w:bidi w:val="0"/>
        <w:spacing w:before="120" w:after="0"/>
        <w:jc w:val="left"/>
        <w:rPr>
          <w:rFonts w:ascii="Times New Roman" w:hAnsi="Times New Roman"/>
          <w:sz w:val="20"/>
        </w:rPr>
      </w:pPr>
      <w:r>
        <w:rPr>
          <w:rFonts w:ascii="Times New Roman" w:hAnsi="Times New Roman"/>
          <w:sz w:val="20"/>
        </w:rPr>
        <w:t xml:space="preserve">In general, you will not recognize gain or loss for U.S. federal income tax purposes upon the exercise of warrants into shares of common stock. The U.S. federal income tax treatment of a cashless exercise of warrants into our common stock is unclear. A Non-U.S. Holder should consult his, her, or its own tax advisor regarding the U.S. federal income tax consequences of a cashless exercise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expiration of a warrant will be treated as if you sold or exchanged the warrant and recognized a capital loss equal to your tax basis in the warrant. However, you will not be able to utilize a loss recognized upon expiration of a warrant against the your U.S. federal income tax liability unless the loss is effectively connected with your conduct of a trade or business within the United States (and, if an income tax treaty applies, is attributable to a permanent establishment or fixed base in the United States) or is treated as a U.S.-source loss and you are present in the United States for 183 days or more in the taxable year of disposition and certain other conditions are met.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Certain Adjustments to Pre-Funded Warrants or Warrants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305 of the Code, an adjustment to the number of shares of common stock that will be issued on the exercise of the pre-funded warrants or warrants, or an adjustment to the exercise price of the pre-funded warrants or warrants, may be treated as a constructive distribution to you of the pre-funded warrants or warrants if, and to the extent that, such adjustment has the effect of increasing your proportionate interest in our earnings and profits or assets, depending on the circumstances of such adjustment (for example, if such adjustment is to compensate for a distribution of cash or other property to our shareholders). Any such adjustment that is treated as a constructive distribution would be treated as a dividend, subject to withholding, to the extent described above under Tax Consequences Applicable to Non-U.S. HoldersDistributions. You should consult your tax advisor regarding the proper tax treatment of any such adjustment.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Generally, we or the applicable paying agent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 </w:t>
      </w:r>
    </w:p>
    <w:p>
      <w:pPr>
        <w:pStyle w:val="TextBody"/>
        <w:bidi w:val="0"/>
        <w:spacing w:before="240" w:after="0"/>
        <w:jc w:val="left"/>
        <w:rPr>
          <w:rFonts w:ascii="Times New Roman" w:hAnsi="Times New Roman"/>
          <w:sz w:val="20"/>
        </w:rPr>
      </w:pPr>
      <w:r>
        <w:rPr>
          <w:rFonts w:ascii="Times New Roman" w:hAnsi="Times New Roman"/>
          <w:sz w:val="20"/>
        </w:rPr>
        <w:t xml:space="preserve">Payments of dividends on or of proceeds from the disposition of our common stock, pre-funded warrants or warrants made to you will generally be subject to information reporting and backup withholding at a current rate of 24% unless you establish an exemption, for example, by properly certifying your non-U.S. status on a properly completed IRS Form W-8BEN or W-8BEN-E, or W-8ECI or another appropriate version of IRS Form W-8 or you otherwise meet the documentary evidence requirements for establishing that you are not a U.S. person or otherwise establish an exemption. Notwithstanding the foregoing, backup withholding and information reporting may apply if the applicable withholding agent has actual knowledge, or reason to know, that you are a U.S. person.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Account Tax Compliance Act </w:t>
      </w:r>
    </w:p>
    <w:p>
      <w:pPr>
        <w:pStyle w:val="TextBody"/>
        <w:bidi w:val="0"/>
        <w:spacing w:before="120" w:after="0"/>
        <w:jc w:val="left"/>
        <w:rPr>
          <w:rFonts w:ascii="Times New Roman" w:hAnsi="Times New Roman"/>
          <w:sz w:val="20"/>
        </w:rPr>
      </w:pPr>
      <w:r>
        <w:rPr>
          <w:rFonts w:ascii="Times New Roman" w:hAnsi="Times New Roman"/>
          <w:sz w:val="20"/>
        </w:rPr>
        <w:t xml:space="preserve">Provisions of the Code commonly referred to as FATCA, Treasury regulations issued thereunder and official IRS guidance generally impose a U.S. federal withholding tax of 30% on dividends on, and, subject to the discussion of certain proposed Treasury regulations below, the gross proceeds from a sale or other disposition of our common stock, pre-funded warrants or warrants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from FATCA withholding. FATCA also generally imposes a U.S. federal withholding tax of 30% on dividends on, and, subject to the discussion of certain proposed Treasury regulations below, the gross proceeds from, a sale or other disposition of our common stock, pre-funded warrants or warrants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The withholding obligations under FATCA generally apply to dividends on our common stock, pre-funded warrants or warrants. The Treasury Department has released proposed Treasury regulations (the preamble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specifies that taxpayers are permitted to rely on them pending finalization) that, if finalized in their present form, would eliminate the federal withholding tax of 30% applicable to the gross proceeds of a disposition of our common stock, pre-funded warrants or warrants. The withholding tax on dividends could apply regardless of whether the payment otherwise would be exempt from U.S. non-resident and backup withholding tax, including under the exemptions described above. Under certain circumstances, a non-U.S. holder might be eligible for refunds or credits of such taxes. An intergovernmental agreement between the United States and an applicable foreign country may modify the requirements described in this section. Prospective investors are encouraged to consult with their own tax advisors regarding the application of FATCA withholding to their investment in, and ownership and disposition of, our common stock, pre-funded warrants or warrants. </w:t>
      </w:r>
    </w:p>
    <w:p>
      <w:pPr>
        <w:pStyle w:val="TextBody"/>
        <w:bidi w:val="0"/>
        <w:spacing w:before="240" w:after="0"/>
        <w:jc w:val="left"/>
        <w:rPr>
          <w:rFonts w:ascii="Times New Roman" w:hAnsi="Times New Roman"/>
          <w:b/>
          <w:sz w:val="20"/>
        </w:rPr>
      </w:pPr>
      <w:r>
        <w:rPr>
          <w:rFonts w:ascii="Times New Roman" w:hAnsi="Times New Roman"/>
          <w:b/>
          <w:sz w:val="20"/>
        </w:rPr>
        <w:t xml:space="preserve">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pre-funded warrants or warrants including the consequences of any proposed change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oc868429_10"/>
      <w:bookmarkEnd w:id="12"/>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and Piper Sandler &amp; Co. are acting as representatives of each of the underwriters named below and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units and pre-funded units set forth opposite its name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62"/>
        <w:gridCol w:w="387"/>
        <w:gridCol w:w="84"/>
        <w:gridCol w:w="1047"/>
        <w:gridCol w:w="60"/>
        <w:gridCol w:w="387"/>
        <w:gridCol w:w="93"/>
        <w:gridCol w:w="1171"/>
        <w:gridCol w:w="64"/>
      </w:tblGrid>
      <w:tr>
        <w:trPr/>
        <w:tc>
          <w:tcPr>
            <w:tcW w:w="4462"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462" w:type="dxa"/>
            <w:tcBorders/>
            <w:vAlign w:val="bottom"/>
          </w:tcPr>
          <w:p>
            <w:pPr>
              <w:pStyle w:val="TableContents"/>
              <w:bidi w:val="0"/>
              <w:spacing w:before="0" w:after="283"/>
              <w:jc w:val="left"/>
              <w:rPr>
                <w:b/>
              </w:rPr>
            </w:pPr>
            <w:r>
              <w:rPr>
                <w:b/>
              </w:rPr>
              <w:t>Underwriter</w:t>
            </w:r>
          </w:p>
        </w:tc>
        <w:tc>
          <w:tcPr>
            <w:tcW w:w="387"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Units</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Pre-Funded</w:t>
              <w:br/>
              <w:t>Units</w:t>
            </w:r>
          </w:p>
        </w:tc>
        <w:tc>
          <w:tcPr>
            <w:tcW w:w="64" w:type="dxa"/>
            <w:tcBorders/>
            <w:vAlign w:val="bottom"/>
          </w:tcPr>
          <w:p>
            <w:pPr>
              <w:pStyle w:val="TableContents"/>
              <w:bidi w:val="0"/>
              <w:spacing w:before="0" w:after="283"/>
              <w:jc w:val="left"/>
              <w:rPr/>
            </w:pPr>
            <w:r>
              <w:rPr/>
              <w:t> </w:t>
            </w:r>
          </w:p>
        </w:tc>
      </w:tr>
      <w:tr>
        <w:trPr/>
        <w:tc>
          <w:tcPr>
            <w:tcW w:w="44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38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462" w:type="dxa"/>
            <w:tcBorders/>
          </w:tcPr>
          <w:p>
            <w:pPr>
              <w:pStyle w:val="TableContents"/>
              <w:bidi w:val="0"/>
              <w:spacing w:before="0" w:after="0"/>
              <w:jc w:val="left"/>
              <w:rPr>
                <w:rFonts w:ascii="Times New Roman" w:hAnsi="Times New Roman"/>
                <w:sz w:val="20"/>
              </w:rPr>
            </w:pPr>
            <w:r>
              <w:rPr>
                <w:rFonts w:ascii="Times New Roman" w:hAnsi="Times New Roman"/>
                <w:sz w:val="20"/>
              </w:rPr>
              <w:t>Piper Sandler &amp; Co.</w:t>
            </w:r>
          </w:p>
        </w:tc>
        <w:tc>
          <w:tcPr>
            <w:tcW w:w="38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462"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4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8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7"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462"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04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the underwriters have agreed, severally and not jointly, to purchase all of the units and pre-funded units sold under the underwriting agreement if any of the units or pre-funded units are purchased.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units and pre-funded units, subject to prior sale, when, as and if issued to and accepted by them, subject to approval of legal matters by their counsel, including the validity of the units and pre-funded units,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before="360" w:after="0"/>
        <w:jc w:val="left"/>
        <w:rPr>
          <w:rFonts w:ascii="Times New Roman" w:hAnsi="Times New Roman"/>
          <w:b/>
          <w:sz w:val="20"/>
        </w:rPr>
      </w:pPr>
      <w:r>
        <w:rPr>
          <w:rFonts w:ascii="Times New Roman" w:hAnsi="Times New Roman"/>
          <w:b/>
          <w:sz w:val="20"/>
        </w:rPr>
        <w:t xml:space="preserve">Discounts and Commissions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representatives have advised us that the underwriters propose initially to offer the units and pre-funded units to the public at the initial public offering price set forth on the cover page of this prospectus supplement and to dealers at that price less a concession not in excess of $    per unit or pre-funded unit. After the initial offering of the units and pre-funded units, the public offering price, concession or any other term of this offering may be changed by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initial public offering price, underwriting discounts and commissions and proceeds, before expenses, to us.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177"/>
        <w:gridCol w:w="298"/>
        <w:gridCol w:w="153"/>
        <w:gridCol w:w="842"/>
        <w:gridCol w:w="60"/>
        <w:gridCol w:w="298"/>
        <w:gridCol w:w="187"/>
        <w:gridCol w:w="1139"/>
        <w:gridCol w:w="60"/>
        <w:gridCol w:w="298"/>
        <w:gridCol w:w="153"/>
        <w:gridCol w:w="842"/>
        <w:gridCol w:w="65"/>
      </w:tblGrid>
      <w:tr>
        <w:trPr/>
        <w:tc>
          <w:tcPr>
            <w:tcW w:w="4177"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177"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Unit</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3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Pre-Funded</w:t>
              <w:br/>
              <w:t>Unit</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4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price</w:t>
            </w:r>
          </w:p>
        </w:tc>
        <w:tc>
          <w:tcPr>
            <w:tcW w:w="29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8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1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842"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177"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w:t>
            </w:r>
          </w:p>
        </w:tc>
        <w:tc>
          <w:tcPr>
            <w:tcW w:w="298"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8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11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842"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29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8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1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842"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expenses payable by us in connection with this offering, other than the underwriting discounts and commissions referred to above, will be approximately $500,000.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 Sales of Similar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our executive officers and directors and certain of our other existing security holders have agreed not to sell or transfer any common stock or securities convertible into or exchangeable or exercisable for common stock, for 60 days after the date of this prospectus supplement without first obtaining the written consent of the representatives on behalf of the underwriters. Specifically, we and these other persons have agreed, with certain limited exceptions,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offer, pledge, sell or contract to sell 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any option or contract to purchase 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any option or contract to sell 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any option, right or warrant for the sale of 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dispose of or transfer 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request or demand that we file a registration statement related to the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swap or other agreement or any transaction that transfers, in whole or in part, the economic consequence of ownership of any common stock, whether any such swap, agreement or transaction is to be settled by delivery of shares or other securities, in cash or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lock-up provisions apply to common stock and to securities convertible into or exchangeable or exercisable for common stock. They also apply to common stock owned now or acquired later by the person executing the lock-up agreement or for which the person executing the lock-up agreement later acquires the power of disposition. </w:t>
      </w:r>
    </w:p>
    <w:p>
      <w:pPr>
        <w:pStyle w:val="TextBody"/>
        <w:bidi w:val="0"/>
        <w:spacing w:before="240" w:after="0"/>
        <w:jc w:val="left"/>
        <w:rPr>
          <w:rFonts w:ascii="Times New Roman" w:hAnsi="Times New Roman"/>
          <w:sz w:val="20"/>
        </w:rPr>
      </w:pPr>
      <w:r>
        <w:rPr>
          <w:rFonts w:ascii="Times New Roman" w:hAnsi="Times New Roman"/>
          <w:sz w:val="20"/>
        </w:rPr>
        <w:t xml:space="preserve">The lock-up provisions do not limit our ability to issue and sell shares of our common stock pursuant to placements under our at-the-market offering program. </w:t>
      </w:r>
    </w:p>
    <w:p>
      <w:pPr>
        <w:pStyle w:val="TextBody"/>
        <w:bidi w:val="0"/>
        <w:spacing w:before="360" w:after="0"/>
        <w:jc w:val="left"/>
        <w:rPr>
          <w:rFonts w:ascii="Times New Roman" w:hAnsi="Times New Roman"/>
          <w:b/>
          <w:sz w:val="20"/>
        </w:rPr>
      </w:pPr>
      <w:r>
        <w:rPr>
          <w:rFonts w:ascii="Times New Roman" w:hAnsi="Times New Roman"/>
          <w:b/>
          <w:sz w:val="20"/>
        </w:rPr>
        <w:t xml:space="preserve">Nasdaq Global Select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TNYA. </w:t>
      </w:r>
    </w:p>
    <w:p>
      <w:pPr>
        <w:pStyle w:val="TextBody"/>
        <w:bidi w:val="0"/>
        <w:spacing w:before="360" w:after="0"/>
        <w:jc w:val="left"/>
        <w:rPr>
          <w:rFonts w:ascii="Times New Roman" w:hAnsi="Times New Roman"/>
          <w:b/>
          <w:sz w:val="20"/>
        </w:rPr>
      </w:pPr>
      <w:r>
        <w:rPr>
          <w:rFonts w:ascii="Times New Roman" w:hAnsi="Times New Roman"/>
          <w:b/>
          <w:sz w:val="20"/>
        </w:rPr>
        <w:t xml:space="preserve">Price Stabilization, Short Positions and Penalty Bids </w:t>
      </w:r>
    </w:p>
    <w:p>
      <w:pPr>
        <w:pStyle w:val="TextBody"/>
        <w:bidi w:val="0"/>
        <w:spacing w:before="120" w:after="0"/>
        <w:jc w:val="left"/>
        <w:rPr>
          <w:rFonts w:ascii="Times New Roman" w:hAnsi="Times New Roman"/>
          <w:sz w:val="20"/>
        </w:rPr>
      </w:pPr>
      <w:r>
        <w:rPr>
          <w:rFonts w:ascii="Times New Roman" w:hAnsi="Times New Roman"/>
          <w:sz w:val="20"/>
        </w:rPr>
        <w:t xml:space="preserve">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 Syndicate covering transactions involve purchases of common stock in the open market after the distribution has been completed in order to cover syndicate short positions. If the underwriters sell more shares in excess of the number of shares the underwriters are obligated to purchase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Stabilizing transactions consist of various bids for or purchases of shares of common stock made by the underwriters in the open market prior to the closing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Select Market,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also engage in passive market making transactions in our common stock on the Nasdaq Global Select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Distribution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certain of the underwriters or securities dealers may distribute prospectuses by electronic means, such as e-mail.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is the sales agent for us under our at-the-market program. Under our at-the-market program, we may offer and sell, from time to time, shares of our common stock through Leerink Partners LLC through an at-the-market offering, as defined in Rule 415(a)(4) promulgated under the Securities Act (provided we file a new prospectus, prospectus supplement or registration statement to register these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sz w:val="20"/>
        </w:rPr>
      </w:pPr>
      <w:r>
        <w:rPr>
          <w:rFonts w:ascii="Times New Roman" w:hAnsi="Times New Roman"/>
          <w:sz w:val="20"/>
        </w:rPr>
        <w:t xml:space="preserve">Other than in the United States, no action has been taken by us or the underwriters that would permit a public offering of the securities offered by this prospectus supplement and the accompanying prospectus in any jurisdiction where action for that purpose is required. The securities offered by this prospectus supplement and the accompanying prospectus may not be offered or sold, directly or indirectly, nor may this prospectus supplement, the accompanying prospectus or any other offering material or advertisements in connection with the offer and sale of any such securities, or any documents incorporated by reference herein, be distributed or published in any jurisdiction, except under circumstances that will result in compliance with the applicable rules and regulations of that jurisdiction. Persons into whose possession this prospectus supplement or the accompanying prospectus comes are advised to inform themselves about and to observe any restrictions relating to the offering and the distribution of this prospectus supplement and the accompanying prospectus. This prospectus supplement and the accompanying prospectus, including any documents incorporated by reference herein, does not constitute an offer to sell or a solicitation of an offer to buy any securities offered by this prospectus supplement and the accompanying prospectus in any jurisdiction in which such an offer or a solicitation is unlawful.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underwriter;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securities shall require us or any underwriter to publish a prospectus pursuant to Article 3 of the Prospectus Regulation or supplement a prospectus pursuant to Article 23 of the Prospectus Regulation and each person who initially acquires any securities or to whom any offer is made will be deemed to have represented, acknowledged and agreed to and with the underwriter and the Company that it is a qualified investor within the meaning of Article 2(e) of the Prospectus Regulation. In the case of any securities being offered to a financial intermediary as that term is used in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 or in circumstances in which the prior consent of the underwriter has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the United Kingdom, no securities have been offered or will be offered pursuant to the offering to the public in the United Kingdom prior to the publication of a prospectus in relation to the securities that either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have been approved by the Financial Conduct Authority or is to be treated as if it had been approved by the Financial Conduct Authority in accordance with the transitional provisions in Article 74 (transitional provisions) of the Prospectus Amendment etc (EU Exit) Regulations 2019/1234, except that the securities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underwriter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Section 86 of the Financial Services and Markets Act 2000 (the FSMA).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the securities shall require us or any underwriter to publish a prospectus pursuant to Section 85 of the FSMA or supplement a prospectus pursuant to Article 23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FSMA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 </w:t>
      </w:r>
    </w:p>
    <w:p>
      <w:pPr>
        <w:pStyle w:val="TextBody"/>
        <w:bidi w:val="0"/>
        <w:spacing w:before="240" w:after="0"/>
        <w:jc w:val="left"/>
        <w:rPr>
          <w:rFonts w:ascii="Times New Roman" w:hAnsi="Times New Roman"/>
          <w:sz w:val="20"/>
        </w:rPr>
      </w:pPr>
      <w:r>
        <w:rPr>
          <w:rFonts w:ascii="Times New Roman" w:hAnsi="Times New Roman"/>
          <w:sz w:val="20"/>
        </w:rPr>
        <w:t xml:space="preserve">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units and pre-funded units of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units or pre-funded units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 is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does not constitute an offer to the public or a solicitation to purchase or invest in any units or pre-funded units. No units or pre-funded units have been offered or will be offered to the public in Switzerland, except that offers of units or pre-funded units may be made to the public in Switzerland at any time under the following exemptions under the Swiss Financial Services Act (FinSA): </w:t>
      </w:r>
    </w:p>
    <w:p>
      <w:pPr>
        <w:pStyle w:val="TextBody"/>
        <w:bidi w:val="0"/>
        <w:spacing w:before="120" w:after="0"/>
        <w:jc w:val="left"/>
        <w:rPr>
          <w:rFonts w:ascii="Times New Roman" w:hAnsi="Times New Roman"/>
          <w:sz w:val="20"/>
        </w:rPr>
      </w:pPr>
      <w:r>
        <w:rPr>
          <w:rFonts w:ascii="Times New Roman" w:hAnsi="Times New Roman"/>
          <w:sz w:val="20"/>
        </w:rPr>
        <w:t xml:space="preserve">(a) to any person which is a professional client as defined under the FinSA; </w:t>
      </w:r>
    </w:p>
    <w:p>
      <w:pPr>
        <w:pStyle w:val="TextBody"/>
        <w:bidi w:val="0"/>
        <w:spacing w:before="120" w:after="0"/>
        <w:jc w:val="left"/>
        <w:rPr>
          <w:rFonts w:ascii="Times New Roman" w:hAnsi="Times New Roman"/>
          <w:sz w:val="20"/>
        </w:rPr>
      </w:pPr>
      <w:r>
        <w:rPr>
          <w:rFonts w:ascii="Times New Roman" w:hAnsi="Times New Roman"/>
          <w:sz w:val="20"/>
        </w:rPr>
        <w:t xml:space="preserve">(b) to fewer than 500 persons (other than professional clients as defined under the FinSA), subject to obtaining the prior consent of the underwriter for any such offer; or </w:t>
      </w:r>
    </w:p>
    <w:p>
      <w:pPr>
        <w:pStyle w:val="TextBody"/>
        <w:bidi w:val="0"/>
        <w:spacing w:before="120" w:after="0"/>
        <w:jc w:val="left"/>
        <w:rPr>
          <w:rFonts w:ascii="Times New Roman" w:hAnsi="Times New Roman"/>
          <w:sz w:val="20"/>
        </w:rPr>
      </w:pPr>
      <w:r>
        <w:rPr>
          <w:rFonts w:ascii="Times New Roman" w:hAnsi="Times New Roman"/>
          <w:sz w:val="20"/>
        </w:rPr>
        <w:t xml:space="preserve">(c) in any other circumstances falling within Article 36 FinSA in connection with Article 44 of the Swiss Financial Services Ordinance, </w:t>
      </w:r>
    </w:p>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units or pre-funded units shall require the Company or any investment bank to publish a prospectus pursuant to Article 35 FinSA. </w:t>
      </w:r>
    </w:p>
    <w:p>
      <w:pPr>
        <w:pStyle w:val="TextBody"/>
        <w:bidi w:val="0"/>
        <w:spacing w:before="240" w:after="0"/>
        <w:jc w:val="left"/>
        <w:rPr>
          <w:rFonts w:ascii="Times New Roman" w:hAnsi="Times New Roman"/>
          <w:sz w:val="20"/>
        </w:rPr>
      </w:pPr>
      <w:r>
        <w:rPr>
          <w:rFonts w:ascii="Times New Roman" w:hAnsi="Times New Roman"/>
          <w:sz w:val="20"/>
        </w:rPr>
        <w:t xml:space="preserve">The units and pre-funded units have not been and will not be listed or admitted to trading on a trading venue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document nor any other offering or marketing material relating to the units or pre-funded units constitutes a prospectus as such term is understood pursuant to the FinSA and neither this document nor any other offering or marketing material relating to the units or pre-funded units may be publicly distributed or otherwise made publicly available in Switzerland.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document relates to an Exempt Offer in accordance with the Markets Law, DIFC Law No. 1 of 2012, as amended. This document is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a disclosure document or a prospectus under Chapter 6D.2 of the Corporations Act 2001 (Cth)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only be provided in Australia to select investors who are able to demonstrate that they fall within one or more of the categories of investors, available under section 708 of the Corporations Act (Exempt Investors).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units and pre-funded units may not be directly or indirectly offered for subscription or purchased or sold, and no invitations to subscribe for or buy the units or pre-funded units may be issued, and no draft or definitive offering memorandum, advertisement or other offering material relating to any units or pre-funded units may be distributed in Australia, except where disclosure to investors is not required under Chapter 6D of the Corporations Act or is otherwise in compliance with all applicable Australian laws and regulations. By submitting an application for the units or pre-funded units, you represent and warrant to us that you are an Exempt Investor. </w:t>
      </w:r>
    </w:p>
    <w:p>
      <w:pPr>
        <w:pStyle w:val="TextBody"/>
        <w:bidi w:val="0"/>
        <w:spacing w:before="240" w:after="0"/>
        <w:jc w:val="left"/>
        <w:rPr>
          <w:rFonts w:ascii="Times New Roman" w:hAnsi="Times New Roman"/>
          <w:sz w:val="20"/>
        </w:rPr>
      </w:pPr>
      <w:r>
        <w:rPr>
          <w:rFonts w:ascii="Times New Roman" w:hAnsi="Times New Roman"/>
          <w:sz w:val="20"/>
        </w:rPr>
        <w:t xml:space="preserve">As any offer of units and pre-funded units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units and pre-funded units, you undertake to us that you will not, for a period of 12 months from the date of sale of the units or pre-funded units, offer, transfer, assign or otherwise alienate those units or pre-funded units to investors in Australia except in circumstances where disclosure to investors is not required under Chapter 6D.2 of the Corporations Act or where a compliant disclosure document is prepared and lodged with ASIC.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units and pre-funded units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units or pre-funded units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units or pre-funded units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units and pre-funded units have not been and will not be registered pursuant to Article 4, Paragraph 1 of the Financial Instruments and Exchange Act. Accordingly, none of the units or pre-funded units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has not been registered as a prospectus with the Monetary Authority of Singapore. Accordingly, the units and pre-funded units have not been offered or sold or caused to be made the subject of an invitation for subscription or purchase and will not be offered or sold or caused to be made the subject of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invitation for subscription or purchase, and this prospectus or any other document or material in connection with the offer or sale, or invitation for subscription or purchase, of the units and pre-funded units,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units or pre-funded units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units or pre-funded units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32 of the Securities and Futures (Offers of Investments) (Shares and Debentures) Regulations of 2005 of Singapore (Regulation 32).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Singapore SFA </w:t>
      </w:r>
      <w:r>
        <w:rPr>
          <w:rFonts w:ascii="Times New Roman" w:hAnsi="Times New Roman"/>
          <w:i/>
          <w:sz w:val="20"/>
        </w:rPr>
        <w:t>product classification</w:t>
      </w:r>
      <w:r>
        <w:rPr>
          <w:rFonts w:ascii="Times New Roman" w:hAnsi="Times New Roman"/>
          <w:sz w:val="20"/>
        </w:rPr>
        <w:t xml:space="preserve">. In connection with Section 309B of the SFA and the CMP Regulations 2018, unless otherwise specified before an offer of units or pre-funded units, we have determined, and hereby notify all relevant persons (as defined in Section 309A(1) of the SFA), that the units or pre-funded units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oc868429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in this prospectus supplement will be passed upon for us by Wilson Sonsini Goodrich &amp; Rosati, Professional Corporation, Palo Alto, California. Davis Polk &amp; Wardwell LLP, Redwood City, California, is acting as counsel for the underwriters. </w:t>
      </w:r>
    </w:p>
    <w:p>
      <w:pPr>
        <w:pStyle w:val="TextBody"/>
        <w:bidi w:val="0"/>
        <w:spacing w:before="480" w:after="0"/>
        <w:jc w:val="center"/>
        <w:rPr>
          <w:rFonts w:ascii="Times New Roman" w:hAnsi="Times New Roman"/>
          <w:b/>
          <w:sz w:val="20"/>
        </w:rPr>
      </w:pPr>
      <w:bookmarkStart w:id="14" w:name="supptoc868429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Tenaya Therapeutics, Inc., incorporated by reference in this prospectus supplement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480" w:after="0"/>
        <w:jc w:val="center"/>
        <w:rPr>
          <w:rFonts w:ascii="Times New Roman" w:hAnsi="Times New Roman"/>
          <w:b/>
          <w:sz w:val="20"/>
        </w:rPr>
      </w:pPr>
      <w:bookmarkStart w:id="15" w:name="supptoc868429_13"/>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 registration statement on Form S-3 that we filed with the SEC and do not contain all of the information in the registration statement. The full registration statement may be obtained from the SEC or us, as provided below. You may inspect a copy of the registration statement through the SECs website, as provided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toc868429_14"/>
      <w:bookmarkEnd w:id="16"/>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after the date of the initial registration statement of which this prospectus supplement forms a part and prior to the effectiveness of the registration statement, as well as subsequent to the effectiveness of the registration statement, until the offering of the securities under the registration statement of which this prospectus supplement forms a part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2023, filed with the SEC on March 18,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w:t>
            </w:r>
            <w:hyperlink r:id="rId4">
              <w:r>
                <w:rPr>
                  <w:rStyle w:val="InternetLink"/>
                  <w:rFonts w:ascii="Times New Roman" w:hAnsi="Times New Roman"/>
                  <w:sz w:val="20"/>
                </w:rPr>
                <w:t>March 31, 2024</w:t>
              </w:r>
            </w:hyperlink>
            <w:r>
              <w:rPr>
                <w:rFonts w:ascii="Times New Roman" w:hAnsi="Times New Roman"/>
                <w:sz w:val="20"/>
              </w:rPr>
              <w:t xml:space="preserve">, </w:t>
            </w:r>
            <w:hyperlink r:id="rId5">
              <w:r>
                <w:rPr>
                  <w:rStyle w:val="InternetLink"/>
                  <w:rFonts w:ascii="Times New Roman" w:hAnsi="Times New Roman"/>
                  <w:sz w:val="20"/>
                </w:rPr>
                <w:t>June  30, 2024</w:t>
              </w:r>
            </w:hyperlink>
            <w:r>
              <w:rPr>
                <w:rFonts w:ascii="Times New Roman" w:hAnsi="Times New Roman"/>
                <w:sz w:val="20"/>
              </w:rPr>
              <w:t xml:space="preserve">, and </w:t>
            </w:r>
            <w:hyperlink r:id="rId6">
              <w:r>
                <w:rPr>
                  <w:rStyle w:val="InternetLink"/>
                  <w:rFonts w:ascii="Times New Roman" w:hAnsi="Times New Roman"/>
                  <w:sz w:val="20"/>
                </w:rPr>
                <w:t>September 30, 2024</w:t>
              </w:r>
            </w:hyperlink>
            <w:r>
              <w:rPr>
                <w:rFonts w:ascii="Times New Roman" w:hAnsi="Times New Roman"/>
                <w:sz w:val="20"/>
              </w:rPr>
              <w:t xml:space="preserve">, filed with the SEC on May 14, 2024, August 8, 2024 and November 6, 2024,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portions of our </w:t>
            </w:r>
            <w:hyperlink r:id="rId7">
              <w:r>
                <w:rPr>
                  <w:rStyle w:val="InternetLink"/>
                  <w:rFonts w:ascii="Times New Roman" w:hAnsi="Times New Roman"/>
                  <w:sz w:val="20"/>
                </w:rPr>
                <w:t>Definitive Proxy Statement</w:t>
              </w:r>
            </w:hyperlink>
            <w:r>
              <w:rPr>
                <w:rFonts w:ascii="Times New Roman" w:hAnsi="Times New Roman"/>
                <w:sz w:val="20"/>
              </w:rPr>
              <w:t xml:space="preserve"> on Schedule 14A (other than information furnished rather than filed) that are incorporated by reference into our Annual Report on Form 10-K, filed with the SEC on April 17,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8">
              <w:r>
                <w:rPr>
                  <w:rStyle w:val="InternetLink"/>
                  <w:rFonts w:ascii="Times New Roman" w:hAnsi="Times New Roman"/>
                  <w:sz w:val="20"/>
                </w:rPr>
                <w:t>May 14, 2024</w:t>
              </w:r>
            </w:hyperlink>
            <w:r>
              <w:rPr>
                <w:rFonts w:ascii="Times New Roman" w:hAnsi="Times New Roman"/>
                <w:sz w:val="20"/>
              </w:rPr>
              <w:t xml:space="preserve">, </w:t>
            </w:r>
            <w:hyperlink r:id="rId9">
              <w:r>
                <w:rPr>
                  <w:rStyle w:val="InternetLink"/>
                  <w:rFonts w:ascii="Times New Roman" w:hAnsi="Times New Roman"/>
                  <w:sz w:val="20"/>
                </w:rPr>
                <w:t>May  31, 2024</w:t>
              </w:r>
            </w:hyperlink>
            <w:r>
              <w:rPr>
                <w:rFonts w:ascii="Times New Roman" w:hAnsi="Times New Roman"/>
                <w:sz w:val="20"/>
              </w:rPr>
              <w:t xml:space="preserve">, </w:t>
            </w:r>
            <w:hyperlink r:id="rId10">
              <w:r>
                <w:rPr>
                  <w:rStyle w:val="InternetLink"/>
                  <w:rFonts w:ascii="Times New Roman" w:hAnsi="Times New Roman"/>
                  <w:sz w:val="20"/>
                </w:rPr>
                <w:t>June  27, 2024</w:t>
              </w:r>
            </w:hyperlink>
            <w:r>
              <w:rPr>
                <w:rFonts w:ascii="Times New Roman" w:hAnsi="Times New Roman"/>
                <w:sz w:val="20"/>
              </w:rPr>
              <w:t xml:space="preserve">, </w:t>
            </w:r>
            <w:hyperlink r:id="rId11">
              <w:r>
                <w:rPr>
                  <w:rStyle w:val="InternetLink"/>
                  <w:rFonts w:ascii="Times New Roman" w:hAnsi="Times New Roman"/>
                  <w:sz w:val="20"/>
                </w:rPr>
                <w:t>July  25, 2024</w:t>
              </w:r>
            </w:hyperlink>
            <w:r>
              <w:rPr>
                <w:rFonts w:ascii="Times New Roman" w:hAnsi="Times New Roman"/>
                <w:sz w:val="20"/>
              </w:rPr>
              <w:t xml:space="preserve">, </w:t>
            </w:r>
            <w:hyperlink r:id="rId12">
              <w:r>
                <w:rPr>
                  <w:rStyle w:val="InternetLink"/>
                  <w:rFonts w:ascii="Times New Roman" w:hAnsi="Times New Roman"/>
                  <w:sz w:val="20"/>
                </w:rPr>
                <w:t>August  8, 2024</w:t>
              </w:r>
            </w:hyperlink>
            <w:r>
              <w:rPr>
                <w:rFonts w:ascii="Times New Roman" w:hAnsi="Times New Roman"/>
                <w:sz w:val="20"/>
              </w:rPr>
              <w:t xml:space="preserve">, </w:t>
            </w:r>
            <w:hyperlink r:id="rId13">
              <w:r>
                <w:rPr>
                  <w:rStyle w:val="InternetLink"/>
                  <w:rFonts w:ascii="Times New Roman" w:hAnsi="Times New Roman"/>
                  <w:sz w:val="20"/>
                </w:rPr>
                <w:t>September  16, 2024</w:t>
              </w:r>
            </w:hyperlink>
            <w:r>
              <w:rPr>
                <w:rFonts w:ascii="Times New Roman" w:hAnsi="Times New Roman"/>
                <w:sz w:val="20"/>
              </w:rPr>
              <w:t xml:space="preserve">, </w:t>
            </w:r>
            <w:hyperlink r:id="rId14">
              <w:r>
                <w:rPr>
                  <w:rStyle w:val="InternetLink"/>
                  <w:rFonts w:ascii="Times New Roman" w:hAnsi="Times New Roman"/>
                  <w:sz w:val="20"/>
                </w:rPr>
                <w:t>December  17, 2024</w:t>
              </w:r>
            </w:hyperlink>
            <w:r>
              <w:rPr>
                <w:rFonts w:ascii="Times New Roman" w:hAnsi="Times New Roman"/>
                <w:sz w:val="20"/>
              </w:rPr>
              <w:t xml:space="preserve">, </w:t>
            </w:r>
            <w:hyperlink r:id="rId15">
              <w:r>
                <w:rPr>
                  <w:rStyle w:val="InternetLink"/>
                  <w:rFonts w:ascii="Times New Roman" w:hAnsi="Times New Roman"/>
                  <w:sz w:val="20"/>
                </w:rPr>
                <w:t>January  28, 2025</w:t>
              </w:r>
            </w:hyperlink>
            <w:r>
              <w:rPr>
                <w:rFonts w:ascii="Times New Roman" w:hAnsi="Times New Roman"/>
                <w:sz w:val="20"/>
              </w:rPr>
              <w:t xml:space="preserve">, and </w:t>
            </w:r>
            <w:hyperlink r:id="rId16">
              <w:r>
                <w:rPr>
                  <w:rStyle w:val="InternetLink"/>
                  <w:rFonts w:ascii="Times New Roman" w:hAnsi="Times New Roman"/>
                  <w:sz w:val="20"/>
                </w:rPr>
                <w:t>February 7,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the Registration Statement on </w:t>
            </w:r>
            <w:hyperlink r:id="rId17">
              <w:r>
                <w:rPr>
                  <w:rStyle w:val="InternetLink"/>
                  <w:rFonts w:ascii="Times New Roman" w:hAnsi="Times New Roman"/>
                  <w:sz w:val="20"/>
                </w:rPr>
                <w:t>Form 8-A</w:t>
              </w:r>
            </w:hyperlink>
            <w:r>
              <w:rPr>
                <w:rFonts w:ascii="Times New Roman" w:hAnsi="Times New Roman"/>
                <w:sz w:val="20"/>
              </w:rPr>
              <w:t xml:space="preserve"> relating thereto, filed on July 23, 2021, including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furnish without charge to each person to whom this prospectus supplement is delivered, upon written or oral request, a copy of any or all of the documents incorporated by reference, including exhibits to these documents. You can request a copy of these filings by writing or telephoning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Tenaya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171 Oyster Point Boulevard, Suite 500 </w:t>
      </w:r>
    </w:p>
    <w:p>
      <w:pPr>
        <w:pStyle w:val="TextBody"/>
        <w:bidi w:val="0"/>
        <w:spacing w:before="0" w:after="0"/>
        <w:jc w:val="center"/>
        <w:rPr>
          <w:rFonts w:ascii="Times New Roman" w:hAnsi="Times New Roman"/>
          <w:sz w:val="20"/>
        </w:rPr>
      </w:pPr>
      <w:r>
        <w:rPr>
          <w:rFonts w:ascii="Times New Roman" w:hAnsi="Times New Roman"/>
          <w:sz w:val="20"/>
        </w:rPr>
        <w:t xml:space="preserve">South San Francisco, California 94080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(650) 825-6990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accessible through any website referred to in this prospectus supplement or any document incorporated therein is not, and should not be deemed to be, a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867025" cy="1076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2867025" cy="10763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0"/>
        </w:rPr>
      </w:pPr>
      <w:r>
        <w:rPr>
          <w:rFonts w:ascii="Times New Roman" w:hAnsi="Times New Roman"/>
          <w:b/>
          <w:sz w:val="40"/>
        </w:rPr>
        <w:t xml:space="preserve">Tenaya Therapeutics, Inc. </w:t>
      </w:r>
    </w:p>
    <w:p>
      <w:pPr>
        <w:pStyle w:val="TextBody"/>
        <w:bidi w:val="0"/>
        <w:spacing w:before="240" w:after="0"/>
        <w:jc w:val="center"/>
        <w:rPr>
          <w:rFonts w:ascii="Times New Roman" w:hAnsi="Times New Roman"/>
          <w:b/>
          <w:sz w:val="24"/>
        </w:rPr>
      </w:pPr>
      <w:r>
        <w:rPr>
          <w:rFonts w:ascii="Times New Roman" w:hAnsi="Times New Roman"/>
          <w:b/>
          <w:sz w:val="24"/>
        </w:rPr>
        <w:t xml:space="preserve">$300,000,000 </w:t>
      </w:r>
    </w:p>
    <w:p>
      <w:pPr>
        <w:pStyle w:val="TextBody"/>
        <w:bidi w:val="0"/>
        <w:spacing w:before="120" w:after="0"/>
        <w:jc w:val="center"/>
        <w:rPr>
          <w:rFonts w:ascii="Times New Roman" w:hAnsi="Times New Roman"/>
          <w:b/>
          <w:sz w:val="24"/>
        </w:rPr>
      </w:pPr>
      <w:r>
        <w:rPr>
          <w:rFonts w:ascii="Times New Roman" w:hAnsi="Times New Roman"/>
          <w:b/>
          <w:sz w:val="24"/>
        </w:rPr>
        <w:t xml:space="preserve">Common Stock </w:t>
      </w:r>
    </w:p>
    <w:p>
      <w:pPr>
        <w:pStyle w:val="TextBody"/>
        <w:bidi w:val="0"/>
        <w:spacing w:before="0" w:after="0"/>
        <w:jc w:val="center"/>
        <w:rPr>
          <w:rFonts w:ascii="Times New Roman" w:hAnsi="Times New Roman"/>
          <w:b/>
          <w:sz w:val="24"/>
        </w:rPr>
      </w:pPr>
      <w:r>
        <w:rPr>
          <w:rFonts w:ascii="Times New Roman" w:hAnsi="Times New Roman"/>
          <w:b/>
          <w:sz w:val="24"/>
        </w:rPr>
        <w:t xml:space="preserve">Preferred Stock </w:t>
      </w:r>
    </w:p>
    <w:p>
      <w:pPr>
        <w:pStyle w:val="TextBody"/>
        <w:bidi w:val="0"/>
        <w:spacing w:before="0" w:after="0"/>
        <w:jc w:val="center"/>
        <w:rPr>
          <w:rFonts w:ascii="Times New Roman" w:hAnsi="Times New Roman"/>
          <w:b/>
          <w:sz w:val="24"/>
        </w:rPr>
      </w:pPr>
      <w:r>
        <w:rPr>
          <w:rFonts w:ascii="Times New Roman" w:hAnsi="Times New Roman"/>
          <w:b/>
          <w:sz w:val="24"/>
        </w:rPr>
        <w:t xml:space="preserve">Debt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Depositary Shares </w:t>
      </w:r>
    </w:p>
    <w:p>
      <w:pPr>
        <w:pStyle w:val="TextBody"/>
        <w:bidi w:val="0"/>
        <w:spacing w:before="0" w:after="0"/>
        <w:jc w:val="center"/>
        <w:rPr>
          <w:rFonts w:ascii="Times New Roman" w:hAnsi="Times New Roman"/>
          <w:b/>
          <w:sz w:val="24"/>
        </w:rPr>
      </w:pPr>
      <w:r>
        <w:rPr>
          <w:rFonts w:ascii="Times New Roman" w:hAnsi="Times New Roman"/>
          <w:b/>
          <w:sz w:val="24"/>
        </w:rPr>
        <w:t xml:space="preserve">Warrants </w:t>
      </w:r>
    </w:p>
    <w:p>
      <w:pPr>
        <w:pStyle w:val="TextBody"/>
        <w:bidi w:val="0"/>
        <w:spacing w:before="0" w:after="0"/>
        <w:jc w:val="center"/>
        <w:rPr>
          <w:rFonts w:ascii="Times New Roman" w:hAnsi="Times New Roman"/>
          <w:b/>
          <w:sz w:val="24"/>
        </w:rPr>
      </w:pPr>
      <w:r>
        <w:rPr>
          <w:rFonts w:ascii="Times New Roman" w:hAnsi="Times New Roman"/>
          <w:b/>
          <w:sz w:val="24"/>
        </w:rPr>
        <w:t xml:space="preserve">Subscription Rights </w:t>
      </w:r>
    </w:p>
    <w:p>
      <w:pPr>
        <w:pStyle w:val="TextBody"/>
        <w:bidi w:val="0"/>
        <w:spacing w:before="0" w:after="0"/>
        <w:jc w:val="center"/>
        <w:rPr>
          <w:rFonts w:ascii="Times New Roman" w:hAnsi="Times New Roman"/>
          <w:b/>
          <w:sz w:val="24"/>
        </w:rPr>
      </w:pPr>
      <w:r>
        <w:rPr>
          <w:rFonts w:ascii="Times New Roman" w:hAnsi="Times New Roman"/>
          <w:b/>
          <w:sz w:val="24"/>
        </w:rPr>
        <w:t xml:space="preserve">Purchase Contracts </w:t>
      </w:r>
    </w:p>
    <w:p>
      <w:pPr>
        <w:pStyle w:val="TextBody"/>
        <w:bidi w:val="0"/>
        <w:spacing w:before="0" w:after="0"/>
        <w:jc w:val="center"/>
        <w:rPr>
          <w:rFonts w:ascii="Times New Roman" w:hAnsi="Times New Roman"/>
          <w:b/>
          <w:sz w:val="24"/>
        </w:rPr>
      </w:pPr>
      <w:r>
        <w:rPr>
          <w:rFonts w:ascii="Times New Roman" w:hAnsi="Times New Roman"/>
          <w:b/>
          <w:sz w:val="24"/>
        </w:rPr>
        <w:t xml:space="preserve">Units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$300,000,000.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TNYA. Each prospectus supplement will indicate whether the securities offered thereby will be listed on any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and smaller reporting company as defined under the federal securities laws, and, as such, may elect to comply with certain reduced public company reporting requirements for this and future filings. We will provide information in any applicable prospectus supplement regarding any listing of securities other than shares of our common stock on any securities exchange. </w:t>
      </w:r>
    </w:p>
    <w:p>
      <w:pPr>
        <w:pStyle w:val="TextBody"/>
        <w:bidi w:val="0"/>
        <w:spacing w:before="240" w:after="0"/>
        <w:jc w:val="left"/>
        <w:rPr/>
      </w:pPr>
      <w:r>
        <w:rPr>
          <w:rFonts w:ascii="Times New Roman" w:hAnsi="Times New Roman"/>
          <w:b/>
          <w:sz w:val="24"/>
        </w:rPr>
        <w:t>Investing in these securities involves risks. Please carefully read the information under the headings </w:t>
      </w:r>
      <w:hyperlink w:anchor="rom868429_3">
        <w:r>
          <w:rPr>
            <w:rStyle w:val="InternetLink"/>
            <w:rFonts w:ascii="Times New Roman" w:hAnsi="Times New Roman"/>
            <w:b/>
            <w:sz w:val="24"/>
          </w:rPr>
          <w:t>Risk Factors</w:t>
        </w:r>
      </w:hyperlink>
      <w:r>
        <w:rPr>
          <w:rFonts w:ascii="Times New Roman" w:hAnsi="Times New Roman"/>
          <w:b/>
          <w:sz w:val="24"/>
        </w:rPr>
        <w:t xml:space="preserve"> beginning on page 5 of this prospectus, any similar section contained in the applicable prospectus supplement, and Item 1ARisk Factors of our most recent report on Form 10-K or 10-Q that is incorporated by reference in this prospectus before you invest in our securities.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240" w:after="0"/>
        <w:jc w:val="center"/>
        <w:rPr>
          <w:rFonts w:ascii="Times New Roman" w:hAnsi="Times New Roman"/>
          <w:sz w:val="20"/>
        </w:rPr>
      </w:pPr>
      <w:r>
        <w:rPr>
          <w:rFonts w:ascii="Times New Roman" w:hAnsi="Times New Roman"/>
          <w:sz w:val="20"/>
        </w:rPr>
        <w:t xml:space="preserve">The date of this prospectus is August 17, 2022.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868429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868429_2">
              <w:r>
                <w:rPr>
                  <w:rStyle w:val="InternetLink"/>
                  <w:rFonts w:ascii="Times New Roman" w:hAnsi="Times New Roman"/>
                  <w:sz w:val="20"/>
                </w:rPr>
                <w:t>Prospectus Summary</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868429_3">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868429_4">
              <w:r>
                <w:rPr>
                  <w:rStyle w:val="InternetLink"/>
                  <w:rFonts w:ascii="Times New Roman" w:hAnsi="Times New Roman"/>
                  <w:sz w:val="20"/>
                </w:rPr>
                <w:t>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868429_5">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868429_6">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868429_7">
              <w:r>
                <w:rPr>
                  <w:rStyle w:val="InternetLink"/>
                  <w:rFonts w:ascii="Times New Roman" w:hAnsi="Times New Roman"/>
                  <w:sz w:val="20"/>
                </w:rPr>
                <w:t>Description of Debt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868429_8">
              <w:r>
                <w:rPr>
                  <w:rStyle w:val="InternetLink"/>
                  <w:rFonts w:ascii="Times New Roman" w:hAnsi="Times New Roman"/>
                  <w:sz w:val="20"/>
                </w:rPr>
                <w:t>Description of Depositary Shares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868429_9">
              <w:r>
                <w:rPr>
                  <w:rStyle w:val="InternetLink"/>
                  <w:rFonts w:ascii="Times New Roman" w:hAnsi="Times New Roman"/>
                  <w:sz w:val="20"/>
                </w:rPr>
                <w:t>Description of Warrants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868429_10">
              <w:r>
                <w:rPr>
                  <w:rStyle w:val="InternetLink"/>
                  <w:rFonts w:ascii="Times New Roman" w:hAnsi="Times New Roman"/>
                  <w:sz w:val="20"/>
                </w:rPr>
                <w:t>Description of Subscription Rights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868429_11">
              <w:r>
                <w:rPr>
                  <w:rStyle w:val="InternetLink"/>
                  <w:rFonts w:ascii="Times New Roman" w:hAnsi="Times New Roman"/>
                  <w:sz w:val="20"/>
                </w:rPr>
                <w:t>Description of Purchase Contracts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868429_12">
              <w:r>
                <w:rPr>
                  <w:rStyle w:val="InternetLink"/>
                  <w:rFonts w:ascii="Times New Roman" w:hAnsi="Times New Roman"/>
                  <w:sz w:val="20"/>
                </w:rPr>
                <w:t>Description of Units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868429_13">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868429_14">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868429_15">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868429_16">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868429_17">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supptoc868429_15"/>
      <w:bookmarkStart w:id="18" w:name="rom868429_1"/>
      <w:bookmarkEnd w:id="17"/>
      <w:bookmarkEnd w:id="18"/>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(SEC), using a shelf registration process. Under this shelf registration process, we may from time to time sell any combination of the securities described in this prospectus in one or more offerings for an aggregate offering price of up to $300,000,000.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that may be offered.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You should read both this prospectus and any applicable prospectus supplement and free writing prospectus together with the additional information described under the heading Where You Can Find More Information and Incorporation by Reference. If there is any inconsistency between the information in this prospectus and the applicable prospectus supplement or free writing prospectus, you should rely on the prospectus supplement or free writing prospectus,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9" w:name="supptoc868429_16"/>
      <w:bookmarkStart w:id="20" w:name="rom868429_2"/>
      <w:bookmarkEnd w:id="19"/>
      <w:bookmarkEnd w:id="20"/>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Annual Report on Form 10-K and our Quarterly Reports on Form 10-Q. Unless the context indicates otherwise, references in this prospectus to Tenaya Therapeutics, Inc., we, our and us refer, collectively, to Tenaya Therapeutics, Inc., a Delaware corporation.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biotechnology company focused on discovering, designing, developing and delivering curative therapies that address the underlying drivers of heart disease. Our vision is to change the treatment paradigm for heart disease, and in doing so improve and extend the lives of millions of individuals and families.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advancing a deep and diverse pipeline of disease-modifying therapies that includes both gene therapies and small molecules discovered internally and developed using our product platforms and core capabilities to target defined sub-populations of patients with rare or highly prevalent forms of heart disease. All of our programs are currently in the preclinical stage; we do not have any products approved for sale and have not generated any revenue to date.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most advanced product candidate from our Gene Therapy Platform is TN-201. TN-201 is an adeno-associated virus (AAV)-based gene therapy that addresses genetic hypertrophic cardiomyopathy (HCM) caused by Myosin Binding Protein C3 (</w:t>
      </w:r>
      <w:r>
        <w:rPr>
          <w:rFonts w:ascii="Times New Roman" w:hAnsi="Times New Roman"/>
          <w:i/>
          <w:sz w:val="20"/>
          <w:bdr w:val="single" w:sz="8" w:space="1" w:color="000000"/>
        </w:rPr>
        <w:t>MYBPC3</w:t>
      </w:r>
      <w:r>
        <w:rPr>
          <w:rFonts w:ascii="Times New Roman" w:hAnsi="Times New Roman"/>
          <w:sz w:val="20"/>
          <w:bdr w:val="single" w:sz="8" w:space="1" w:color="000000"/>
        </w:rPr>
        <w:t xml:space="preserve">) gene mutations. These mutations can cause the heart walls of affected individuals to become significantly thickened, leading to fibrosis, abnormal heart rhythms, cardiac dysfunction, heart failure, and sudden cardiac death in some adults and children. TN-201 is designed to deliver a fully functional </w:t>
      </w:r>
      <w:r>
        <w:rPr>
          <w:rFonts w:ascii="Times New Roman" w:hAnsi="Times New Roman"/>
          <w:i/>
          <w:sz w:val="20"/>
          <w:bdr w:val="single" w:sz="8" w:space="1" w:color="000000"/>
        </w:rPr>
        <w:t xml:space="preserve">MYBPC3 </w:t>
      </w:r>
      <w:r>
        <w:rPr>
          <w:rFonts w:ascii="Times New Roman" w:hAnsi="Times New Roman"/>
          <w:sz w:val="20"/>
          <w:bdr w:val="single" w:sz="8" w:space="1" w:color="000000"/>
        </w:rPr>
        <w:t xml:space="preserve">gene driven by our proprietary heart-specific promoter to restore normal levels of MYBPC3 protein. We remain on track with our Investigational New Drug (IND) submission plans for TN-201 in the second half of 2022 and plan to focus on initial clinical development in adult </w:t>
      </w:r>
      <w:r>
        <w:rPr>
          <w:rFonts w:ascii="Times New Roman" w:hAnsi="Times New Roman"/>
          <w:i/>
          <w:sz w:val="20"/>
          <w:bdr w:val="single" w:sz="8" w:space="1" w:color="000000"/>
        </w:rPr>
        <w:t xml:space="preserve">MYBPC3 </w:t>
      </w:r>
      <w:r>
        <w:rPr>
          <w:rFonts w:ascii="Times New Roman" w:hAnsi="Times New Roman"/>
          <w:sz w:val="20"/>
          <w:bdr w:val="single" w:sz="8" w:space="1" w:color="000000"/>
        </w:rPr>
        <w:t xml:space="preserve">gene mutation carriers with symptomatic non-obstructive HCM. TN-201 has been granted orphan drug designation by both the U.S. Food and Drug Administration (FDA) and the European Commission for the potential treatment of HCM due to mutations in the </w:t>
      </w:r>
      <w:r>
        <w:rPr>
          <w:rFonts w:ascii="Times New Roman" w:hAnsi="Times New Roman"/>
          <w:i/>
          <w:sz w:val="20"/>
          <w:bdr w:val="single" w:sz="8" w:space="1" w:color="000000"/>
        </w:rPr>
        <w:t xml:space="preserve">MYBPC3 </w:t>
      </w:r>
      <w:r>
        <w:rPr>
          <w:rFonts w:ascii="Times New Roman" w:hAnsi="Times New Roman"/>
          <w:sz w:val="20"/>
          <w:bdr w:val="single" w:sz="8" w:space="1" w:color="000000"/>
        </w:rPr>
        <w:t xml:space="preserve">gene.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2021, we initiated a global natural history study to improve our understanding of disease progression and unmet need in individuals carrying mutations in the </w:t>
      </w:r>
      <w:r>
        <w:rPr>
          <w:rFonts w:ascii="Times New Roman" w:hAnsi="Times New Roman"/>
          <w:i/>
          <w:sz w:val="20"/>
          <w:bdr w:val="single" w:sz="8" w:space="1" w:color="000000"/>
        </w:rPr>
        <w:t xml:space="preserve">MYBPC3 </w:t>
      </w:r>
      <w:r>
        <w:rPr>
          <w:rFonts w:ascii="Times New Roman" w:hAnsi="Times New Roman"/>
          <w:sz w:val="20"/>
          <w:bdr w:val="single" w:sz="8" w:space="1" w:color="000000"/>
        </w:rPr>
        <w:t xml:space="preserve">gene, with an initial focus on pediatric patients under the age of 18. We continue site activation and patient enrollment in the global natural history study to support the future clinical evaluation of TN-201 in pediatric patients after early safety has been established in adults. The natural history study complements existing disease registries focused primarily on adult patient HCM populations and may support and expedite the development of TN-201 in the pediatric patient population.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TN-301, the most advanced product candidate from our Precision Medicine Platform, is a highly specific small molecule inhibitor of histone deacetylase 6 (HDAC6i). It has potentially broad utility in both heart failure with preserved ejection fraction (HFpEF) as well as genetic dilated cardiomyopathy. HFpEF is one of the greatest areas of unmet need in heart disease, and is characterized by systemic inflammation, left ventricular hypertrophy, fibrosis, and diastolic dysfunction resulting in high morbidity and mortality in affected individuals. We remain on track with our IND submission plans for TN-301 in the second half of 2022.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TN-401, another product candidate from our Gene Therapy Platform, uses an AAV-based gene therapy to address genetic arrhythmogenic right ventricular cardiomyopathy (ARVC) caused by plakophilin 2 (</w:t>
      </w:r>
      <w:r>
        <w:rPr>
          <w:rFonts w:ascii="Times New Roman" w:hAnsi="Times New Roman"/>
          <w:i/>
          <w:sz w:val="20"/>
          <w:bdr w:val="single" w:sz="8" w:space="1" w:color="000000"/>
        </w:rPr>
        <w:t>PKP2</w:t>
      </w:r>
      <w:r>
        <w:rPr>
          <w:rFonts w:ascii="Times New Roman" w:hAnsi="Times New Roman"/>
          <w:sz w:val="20"/>
          <w:bdr w:val="single" w:sz="8" w:space="1" w:color="000000"/>
        </w:rPr>
        <w:t xml:space="preserve">) gene mutations. ARVC is characterized by enlargement of the right ventricle in affected individuals, replacement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of heart muscle with fibrotic tissue and fatty deposits, and severely abnormal heart rhythms (arrhythmia) that can make it difficult for the heart to function properly and result in sudden cardiac death in some adults and children. We have scaled up production of TN-401 to 200L and are initiating IND-enabling studies. We also intend to support establishment of a global natural history study in 2022 and expect to submit an IND for TN-401 in 2023.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Our earlier-stage discovery programs include an AAV-based gene therapy designed to express the Dwarf Open Reading Frame (</w:t>
      </w:r>
      <w:r>
        <w:rPr>
          <w:rFonts w:ascii="Times New Roman" w:hAnsi="Times New Roman"/>
          <w:i/>
          <w:sz w:val="20"/>
          <w:bdr w:val="single" w:sz="8" w:space="1" w:color="000000"/>
        </w:rPr>
        <w:t>DWORF</w:t>
      </w:r>
      <w:r>
        <w:rPr>
          <w:rFonts w:ascii="Times New Roman" w:hAnsi="Times New Roman"/>
          <w:sz w:val="20"/>
          <w:bdr w:val="single" w:sz="8" w:space="1" w:color="000000"/>
        </w:rPr>
        <w:t xml:space="preserve">) gene in the heart, which has potentially broad utility in dilated cardiomyopathy and heart failure with reduced ejection fraction (HFrEF) and is currently at the candidate selection stage. Another program is an AAV-approach based on science from our founders that involves converting (or reprogramming) cells to replace cardiomyocytes lost due to heart damage, such as myocardial infarction. This program is currently at the candidate selection stage. In addition, we have numerous emerging programs being explored to address other forms of heart failure.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invested in significant gene therapy enabling capabilities, most notably with the build out and operational launch of our Genetic Medicines Manufacturing Center to support the production of our AAV-based programs. In June 2022, this facility obtained a drug manufacturing license from the State of California, Department of Public Health, to enable current Good Manufacturing Practice (cGMP) production of drug product. Located in Union City near our research labs, our Genetic Medicines Manufacturing Center enables scale-up of production to support first-in-human studies. This facility will initially support the production of drug product at multiple scales for clinical studies for all AAV-based programs, including TN-201 and TN-401. We have also initiated cGMP to support the production of TN-301 at a contract development and manufacturing organization (CDMO).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Delaware in August 2016. Our principal executive offices are located at 171 Oyster Point Boulevard, 5th Floor, South San Francisco, CA 94080. Our telephone number is (650) 825-6990. Our website address is www.tenayatherapeutics.com. Information contained on, or accessible through, our website is not incorporated by reference into this prospectus and should not be considered to be part of this prospectus. The inclusion of our website address in this prospectus is an inactive textual reference only.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make available free of charge on or through our website our Securities and Exchange Commission (SEC) filings, including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 The SEC maintains a website that contains reports, proxy and information statements and other information regarding our filings at www.sec.gov.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Securities That May Be Offered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or sell common stock, preferred stock, depositary shares, debt securities, warrants, subscription rights, purchase contracts and units in one or more offerings and in any combination. The aggregate offering price of the securities we sell pursuant to this prospectus will not exceed $300,000,000. Each time securities are offered with this prospectus, we will provide a prospectus supplement that will describe the specific amounts, prices and terms of the securities being offered and the net proceeds we expect to receive from that sale.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securities may be sold to or through underwriters, dealers or agents or directly to purchasers or as otherwise set forth in the section of this prospectus captioned Plan of Distribution. Each prospectus supplement will set forth the names of any underwriters, dealers, agents or other entities involved in the sale of securities described in that prospectus supplement and any applicable fee, commission or discount arrangements with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shares of our common stock, par value $0.0001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Preferred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Depositary Shares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issue fractional shares of preferred stock that will be represented by depositary shares and depositary receipts.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common stock.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Debt Securities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Warrants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warrants for the purchase of common stock, preferred stock, debt securities or depositary shares. We may offer warrants independently or together with other securities.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Subscription Rights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Purchase Contracts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purchase contracts, including contracts obligating holders or us to purchase from the other a specific or variable number of securities at a future date or dates.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Units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units comprised of one or more of the other classes of securities described in this prospectus in any combination. Each unit will be issued so that the holder of the unit is also the holder of each security included in the unit.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supptoc868429_17"/>
      <w:bookmarkStart w:id="22" w:name="rom868429_3"/>
      <w:bookmarkEnd w:id="21"/>
      <w:bookmarkEnd w:id="22"/>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in our most recent Quarterly Reports on Form 10-Q filed subsequent to such Form 10-K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See Where You Can Find More Information and Incorporation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supptoc868429_18"/>
      <w:bookmarkStart w:id="24" w:name="rom868429_4"/>
      <w:bookmarkEnd w:id="23"/>
      <w:bookmarkEnd w:id="24"/>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(Securities Act), and Section 21E of the Securities Exchange Act of 1934, as amended (Exchange Act). The words may, will, should, would, expect, plan, anticipate, could, intend, target, project, contemplate, believe, estimate, predict, potential or continue or the negative of these terms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captioned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 </w:t>
      </w:r>
    </w:p>
    <w:p>
      <w:pPr>
        <w:pStyle w:val="TextBody"/>
        <w:bidi w:val="0"/>
        <w:spacing w:before="240" w:after="0"/>
        <w:jc w:val="left"/>
        <w:rPr>
          <w:rFonts w:ascii="Times New Roman" w:hAnsi="Times New Roman"/>
          <w:sz w:val="20"/>
        </w:rPr>
      </w:pPr>
      <w:r>
        <w:rPr>
          <w:rFonts w:ascii="Times New Roman" w:hAnsi="Times New Roman"/>
          <w:sz w:val="20"/>
        </w:rPr>
        <w:t xml:space="preserve">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supptoc868429_19"/>
      <w:bookmarkStart w:id="26" w:name="rom868429_5"/>
      <w:bookmarkEnd w:id="25"/>
      <w:bookmarkEnd w:id="26"/>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prospectus supplement our intended use for the net proceeds received from the sale of any securities. We will retain broad discretion over the use of the net proceeds to us from the sale of our securities under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supptoc868429_20"/>
      <w:bookmarkStart w:id="28" w:name="rom868429_6"/>
      <w:bookmarkEnd w:id="27"/>
      <w:bookmarkEnd w:id="28"/>
      <w:r>
        <w:rPr>
          <w:rFonts w:ascii="Times New Roman" w:hAnsi="Times New Roman"/>
          <w:b/>
          <w:sz w:val="20"/>
        </w:rPr>
        <w:t xml:space="preserve">DESCRIPTION OF CAPITAL STOCK </w:t>
      </w:r>
    </w:p>
    <w:p>
      <w:pPr>
        <w:pStyle w:val="TextBody"/>
        <w:bidi w:val="0"/>
        <w:spacing w:before="240" w:after="0"/>
        <w:jc w:val="left"/>
        <w:rPr/>
      </w:pPr>
      <w:r>
        <w:rPr>
          <w:rFonts w:ascii="Times New Roman" w:hAnsi="Times New Roman"/>
          <w:sz w:val="20"/>
        </w:rPr>
        <w:t xml:space="preserve">The description of our capital stock is incorporated by reference to </w:t>
      </w:r>
      <w:hyperlink r:id="rId19">
        <w:r>
          <w:rPr>
            <w:rStyle w:val="InternetLink"/>
            <w:rFonts w:ascii="Times New Roman" w:hAnsi="Times New Roman"/>
            <w:sz w:val="20"/>
          </w:rPr>
          <w:t>Exhibit 4.3</w:t>
        </w:r>
      </w:hyperlink>
      <w:r>
        <w:rPr>
          <w:rFonts w:ascii="Times New Roman" w:hAnsi="Times New Roman"/>
          <w:sz w:val="20"/>
        </w:rPr>
        <w:t xml:space="preserve"> to our Annual Report on Form 10-K for the year ended December 31, 2021, filed with the SEC on March 23,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supptoc868429_21"/>
      <w:bookmarkStart w:id="30" w:name="rom868429_7"/>
      <w:bookmarkEnd w:id="29"/>
      <w:bookmarkEnd w:id="30"/>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between us and a trustee to be identified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ranking of the debt securities (including the terms of any subordination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we may redeem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premium and interest on the debt securities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covenants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direct or indirect subsidiaries will guarantee the debt securities of that series, including the terms of subordination, if any, of such guarantees.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any premium and interest on any series of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Certificated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Global Debt Securities and Book-Entry System </w:t>
      </w:r>
    </w:p>
    <w:p>
      <w:pPr>
        <w:pStyle w:val="TextBody"/>
        <w:bidi w:val="0"/>
        <w:spacing w:before="120" w:after="0"/>
        <w:jc w:val="left"/>
        <w:rPr>
          <w:rFonts w:ascii="Times New Roman" w:hAnsi="Times New Roman"/>
          <w:sz w:val="20"/>
        </w:rPr>
      </w:pPr>
      <w:r>
        <w:rPr>
          <w:rFonts w:ascii="Times New Roman" w:hAnsi="Times New Roman"/>
          <w:sz w:val="20"/>
        </w:rPr>
        <w:t xml:space="preserve">Each global debt security representing book-entry debt securities will be deposited with, or on behalf of, the depositary, and registered in the name of the depositary or a nominee of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which we refer to as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corporation or the successor person (if other than us) is a corporation organized and validly existing under the laws of any U.S. domestic jurisdiction and expressly assumes our obligations on the debt securities and under the indenture;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of our subsidiaries may consolidate with, merge into or transfer all or part of its properties to us.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Event of Default means with respect to any series of debt securities,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any security of that series at its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amend or supplement the indenture or the debt securities of any series without the consent of any holder of any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covenants in the indenture described above under the heading Consolidation, Merger and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debt securities of any series or secure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surrender any of our rights or powers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or events of default for the benefit of the holders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applicable procedures of the applicable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240" w:after="0"/>
        <w:jc w:val="left"/>
        <w:rPr>
          <w:rFonts w:ascii="Times New Roman" w:hAnsi="Times New Roman"/>
          <w:i/>
          <w:sz w:val="20"/>
        </w:rPr>
      </w:pPr>
      <w:r>
        <w:rPr>
          <w:rFonts w:ascii="Times New Roman" w:hAnsi="Times New Roman"/>
          <w:i/>
          <w:sz w:val="20"/>
        </w:rPr>
        <w:t xml:space="preserve">Legal Defeasance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unless otherwise provided by the terms of the applicable series of debt securities, we may be discharged from any and all obligations in respect of the debt securities of any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w:t>
      </w:r>
    </w:p>
    <w:p>
      <w:pPr>
        <w:pStyle w:val="TextBody"/>
        <w:bidi w:val="0"/>
        <w:spacing w:before="360" w:after="0"/>
        <w:jc w:val="left"/>
        <w:rPr>
          <w:rFonts w:ascii="Times New Roman" w:hAnsi="Times New Roman"/>
          <w:i/>
          <w:sz w:val="20"/>
        </w:rPr>
      </w:pPr>
      <w:r>
        <w:rPr>
          <w:rFonts w:ascii="Times New Roman" w:hAnsi="Times New Roman"/>
          <w:i/>
          <w:sz w:val="20"/>
        </w:rPr>
        <w:t xml:space="preserve">Defeasance of 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 Consolidation, Merger and Sale of Assets and certain other covenants set forth in the indenture, as well as any additional covenants which may be set forth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refer to this as covenant defeasance. 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deposit will not result in a breach or violation of, or constitute a default under the indenture or any other agreement to which we are a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the applicable series of debt securities shall have occurred or is continuing on the date of such deposit;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 Personal Liability of Directors, Officers, Employees or Stockholders </w:t>
      </w:r>
    </w:p>
    <w:p>
      <w:pPr>
        <w:pStyle w:val="TextBody"/>
        <w:bidi w:val="0"/>
        <w:spacing w:before="120" w:after="0"/>
        <w:jc w:val="left"/>
        <w:rPr>
          <w:rFonts w:ascii="Times New Roman" w:hAnsi="Times New Roman"/>
          <w:sz w:val="20"/>
        </w:rPr>
      </w:pPr>
      <w:r>
        <w:rPr>
          <w:rFonts w:ascii="Times New Roman" w:hAnsi="Times New Roman"/>
          <w:sz w:val="20"/>
        </w:rPr>
        <w:t xml:space="preserve">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securities, will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supptoc868429_22"/>
      <w:bookmarkStart w:id="32" w:name="rom868429_8"/>
      <w:bookmarkEnd w:id="31"/>
      <w:bookmarkEnd w:id="32"/>
      <w:r>
        <w:rPr>
          <w:rFonts w:ascii="Times New Roman" w:hAnsi="Times New Roman"/>
          <w:b/>
          <w:sz w:val="20"/>
        </w:rPr>
        <w:t xml:space="preserve">DESCRIPTION OF DEPOSITARY SHARES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at our option, elect to offer fractional shares of preferred stock, or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 </w:t>
      </w:r>
    </w:p>
    <w:p>
      <w:pPr>
        <w:pStyle w:val="TextBody"/>
        <w:bidi w:val="0"/>
        <w:spacing w:before="240" w:after="0"/>
        <w:jc w:val="left"/>
        <w:rPr>
          <w:rFonts w:ascii="Times New Roman" w:hAnsi="Times New Roman"/>
          <w:sz w:val="20"/>
        </w:rPr>
      </w:pPr>
      <w:r>
        <w:rPr>
          <w:rFonts w:ascii="Times New Roman" w:hAnsi="Times New Roman"/>
          <w:sz w:val="20"/>
        </w:rPr>
        <w:t xml:space="preserve">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 </w:t>
      </w:r>
    </w:p>
    <w:p>
      <w:pPr>
        <w:pStyle w:val="TextBody"/>
        <w:bidi w:val="0"/>
        <w:spacing w:before="240" w:after="0"/>
        <w:jc w:val="left"/>
        <w:rPr>
          <w:rFonts w:ascii="Times New Roman" w:hAnsi="Times New Roman"/>
          <w:sz w:val="20"/>
        </w:rPr>
      </w:pPr>
      <w:r>
        <w:rPr>
          <w:rFonts w:ascii="Times New Roman" w:hAnsi="Times New Roman"/>
          <w:sz w:val="20"/>
        </w:rPr>
        <w:t xml:space="preserve">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of Stock </w:t>
      </w:r>
    </w:p>
    <w:p>
      <w:pPr>
        <w:pStyle w:val="TextBody"/>
        <w:bidi w:val="0"/>
        <w:spacing w:before="120" w:after="0"/>
        <w:jc w:val="left"/>
        <w:rPr>
          <w:rFonts w:ascii="Times New Roman" w:hAnsi="Times New Roman"/>
          <w:sz w:val="20"/>
        </w:rPr>
      </w:pPr>
      <w:r>
        <w:rPr>
          <w:rFonts w:ascii="Times New Roman" w:hAnsi="Times New Roman"/>
          <w:sz w:val="20"/>
        </w:rPr>
        <w:t xml:space="preserve">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of Depositary Shares </w:t>
      </w:r>
    </w:p>
    <w:p>
      <w:pPr>
        <w:pStyle w:val="TextBody"/>
        <w:bidi w:val="0"/>
        <w:spacing w:before="120" w:after="0"/>
        <w:jc w:val="left"/>
        <w:rPr>
          <w:rFonts w:ascii="Times New Roman" w:hAnsi="Times New Roman"/>
          <w:sz w:val="20"/>
        </w:rPr>
      </w:pPr>
      <w:r>
        <w:rPr>
          <w:rFonts w:ascii="Times New Roman" w:hAnsi="Times New Roman"/>
          <w:sz w:val="20"/>
        </w:rPr>
        <w:t xml:space="preserve">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Voting the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Charges of the Depositary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Termination of the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form of depositary receipt evidencing the depositary shares and any provision of the deposit agreement may be amended by agreement between us and the depositary. However, any amendment that materially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depositary shares have been redeemed;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a final distribution of the preferred stock in connection with our dissolution and such distribution has been made to all the holders of depositary shares.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Resignation and Removal of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Notices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of Liability </w:t>
      </w:r>
    </w:p>
    <w:p>
      <w:pPr>
        <w:pStyle w:val="TextBody"/>
        <w:bidi w:val="0"/>
        <w:spacing w:before="120" w:after="0"/>
        <w:jc w:val="left"/>
        <w:rPr>
          <w:rFonts w:ascii="Times New Roman" w:hAnsi="Times New Roman"/>
          <w:sz w:val="20"/>
        </w:rPr>
      </w:pPr>
      <w:r>
        <w:rPr>
          <w:rFonts w:ascii="Times New Roman" w:hAnsi="Times New Roman"/>
          <w:sz w:val="20"/>
        </w:rPr>
        <w:t xml:space="preserve">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supptoc868429_23"/>
      <w:bookmarkStart w:id="34" w:name="rom868429_9"/>
      <w:bookmarkEnd w:id="33"/>
      <w:bookmarkEnd w:id="34"/>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debt securities, preferred stock, depositary shares or common stock. We may offer warrants separately or together with one or more additional warrants, debt securities, preferred stock, depositary shares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designation and aggregate number of, and the offering price at which we will issue,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begin and the date on which that right will expire or, if you may not continuously exercise the warrants throughout that period, the specific date or dates on which you may exercise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are to be sold separately or with other securities as parts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definitive or global form or in any combination of these forms, although, in any case, the form of a warrant included in a unit will correspond to the form of the unit and of any security included in that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warrant agent for the warrants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listing, if any, of the warrants or any securities purchasable upon exercise of the warrants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any equity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aggregate principal amount, currency and terms of any debt securities that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debt securities, preferred stock, depositary shares or common stock with which the warrants are issued and the number of warrants issued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any warrants issued as part of a unit and the related debt securities, preferred stock, depositary shares or common stock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preferred stock, the number of depositary shares or the number of shares of common stock purchasable upon exercise of a warrant and the price at which those shares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and other provisions for changes to or adjustment in the exercise price,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call provisions;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or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5" w:name="supptoc868429_24"/>
      <w:bookmarkStart w:id="36" w:name="rom868429_10"/>
      <w:bookmarkEnd w:id="35"/>
      <w:bookmarkEnd w:id="36"/>
      <w:r>
        <w:rPr>
          <w:rFonts w:ascii="Times New Roman" w:hAnsi="Times New Roman"/>
          <w:b/>
          <w:sz w:val="20"/>
        </w:rPr>
        <w:t xml:space="preserve">DESCRIPTION OF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subscription rights we offer, if any, will, to the extent applicable, include specific terms relating to the offering, including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if any, for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payable for our common stock, preferred stock, debt securities, depositary shares, warrants or units consisting of some or all of these securities upon the exercise of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subscription rights to be issued to each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terms of our common stock, preferred stock, debt securities, depositary shares, warrants or units consisting of some or all of these securities which may be purchased per each subscription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the subscription rights are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subscription rights, including the terms, procedures and limitations relating to the exchange and exercise of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subscription rights shall commence, and the date on which the subscription rights shall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the subscription rights may include an over-subscription privilege with respect to unsubscribed securities or an over-allotment privilege to the extent the securities are fully subscribed;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material terms of any standby underwriting or purchase arrangement which may be entered into by us in connection with the offering of subscription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of this prospectus captioned Where You Can Find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7" w:name="supptoc868429_25"/>
      <w:bookmarkStart w:id="38" w:name="rom868429_11"/>
      <w:bookmarkEnd w:id="37"/>
      <w:bookmarkEnd w:id="38"/>
      <w:r>
        <w:rPr>
          <w:rFonts w:ascii="Times New Roman" w:hAnsi="Times New Roman"/>
          <w:b/>
          <w:sz w:val="20"/>
        </w:rPr>
        <w:t xml:space="preserve">DESCRIPTION OF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may issue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If we offer any purchase contracts, certain terms of that series of purchase contracts will be described in the applicable prospectus supplement, including, without limitation,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of the securities or other property subject to the purchase contracts (which may be determined by reference to a specific formula described in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are issued separately, or as a part of units each consisting of a purchase contract and one or more of our other securities, including U.S. Treasury securities, securing the holders obligations under the purchase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any requirement for us to make periodic payments to holders or vice versa, and whether the payments are unsecured or pre-funded;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obligate the holder or us to purchase or sell, or both purchase and sell, the securities subject to purchase under the purchase contract, and the nature and amount of each of those securities, or the method of determining those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are to be prepaid or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are to be settled by delivery, or by reference or linkage to the value, performance or level of the securities subject to purchase under the purchase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acceleration, cancellation, termination or other provisions relating to the settlement of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U.S. federal income tax considerations applicable to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will be issued in fully registered or global form;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purchase contracts and any securities subject to such purchase contracts.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9" w:name="supptoc868429_26"/>
      <w:bookmarkStart w:id="40" w:name="rom868429_12"/>
      <w:bookmarkEnd w:id="39"/>
      <w:bookmarkEnd w:id="40"/>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particular issuance of units will describe the terms of those units, including, to the extent applicable,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 for the issuance, payment, settlement, transfer or exchange of the units or of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units will be issued in fully registered or global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1" w:name="supptoc868429_27"/>
      <w:bookmarkStart w:id="42" w:name="rom868429_13"/>
      <w:bookmarkEnd w:id="41"/>
      <w:bookmarkEnd w:id="4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issue the securities as a dividend or distribution or in a subscription rights offering to our existing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securities may be effected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that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prospectus supplement will describe the method of distribution of the securities and any applicable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with respect to the securities of a particular series will describe the terms of the offering of the securities,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agent or any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or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names of any selling securityholders;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the agent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items constituting underwriting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exchanges on which the securities will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w:t>
      </w:r>
    </w:p>
    <w:p>
      <w:pPr>
        <w:pStyle w:val="TextBody"/>
        <w:bidi w:val="0"/>
        <w:spacing w:before="240" w:after="0"/>
        <w:jc w:val="left"/>
        <w:rPr>
          <w:rFonts w:ascii="Times New Roman" w:hAnsi="Times New Roman"/>
          <w:sz w:val="20"/>
        </w:rPr>
      </w:pPr>
      <w:r>
        <w:rPr>
          <w:rFonts w:ascii="Times New Roman" w:hAnsi="Times New Roman"/>
          <w:sz w:val="20"/>
        </w:rPr>
        <w:t xml:space="preserve">Agents, underwriters, dealers and other persons may be entitled under agreements that they may enter into with us to indemnification by us against certain civil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by an institution of the securities covered under that contract shall not at the time of delivery be prohibited under the laws of the jurisdiction to which that institution is subject;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also being sold to underwriters acting as principals for their own account, the underwriters shall have purchased such securities not sold for delayed delivery.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and other persons acting as agents will not have any responsibility in respect of the validity or performance of delayed delivery contracts. </w:t>
      </w:r>
    </w:p>
    <w:p>
      <w:pPr>
        <w:pStyle w:val="TextBody"/>
        <w:bidi w:val="0"/>
        <w:spacing w:before="240" w:after="0"/>
        <w:jc w:val="left"/>
        <w:rPr>
          <w:rFonts w:ascii="Times New Roman" w:hAnsi="Times New Roman"/>
          <w:sz w:val="20"/>
        </w:rPr>
      </w:pPr>
      <w:r>
        <w:rPr>
          <w:rFonts w:ascii="Times New Roman" w:hAnsi="Times New Roman"/>
          <w:sz w:val="20"/>
        </w:rPr>
        <w:t xml:space="preserve">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securities may be new issues of securities and may have no established trading market. Any common stock will be listed on The Nasdaq Global Select Market, but any other securities may or may not be listed on a national securities exchange. We can make no assurance as to the liquidity of or the existence of trading markets for any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any lock-up provisions in respect of any given offering will be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3" w:name="supptoc868429_28"/>
      <w:bookmarkStart w:id="44" w:name="rom868429_14"/>
      <w:bookmarkEnd w:id="43"/>
      <w:bookmarkEnd w:id="4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issuance of our common stock offered in this prospectus supplement will be passed upon for us by Wilson Sonsini Goodrich &amp; Rosati, Professional Corporation, Palo Alto, California. Additional legal matters may be passed on for us, or any underwriters, dealers or agents by counsel we will name in the applicable prospectus supplement. </w:t>
      </w:r>
    </w:p>
    <w:p>
      <w:pPr>
        <w:pStyle w:val="TextBody"/>
        <w:bidi w:val="0"/>
        <w:spacing w:before="480" w:after="0"/>
        <w:jc w:val="center"/>
        <w:rPr>
          <w:rFonts w:ascii="Times New Roman" w:hAnsi="Times New Roman"/>
          <w:b/>
          <w:sz w:val="20"/>
        </w:rPr>
      </w:pPr>
      <w:bookmarkStart w:id="45" w:name="supptoc868429_29"/>
      <w:bookmarkStart w:id="46" w:name="rom868429_15"/>
      <w:bookmarkEnd w:id="45"/>
      <w:bookmarkEnd w:id="4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Tenaya Therapeutics, Inc. as of December 31, 2021 and 2020, and for each of the two years in the period ended December 31, 2021, incorporated by reference in this Prospectus by reference to the Annual Report on Form 10-K for the year ended December 31, 2021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480" w:after="0"/>
        <w:jc w:val="center"/>
        <w:rPr>
          <w:rFonts w:ascii="Times New Roman" w:hAnsi="Times New Roman"/>
          <w:b/>
          <w:sz w:val="20"/>
        </w:rPr>
      </w:pPr>
      <w:bookmarkStart w:id="47" w:name="supptoc868429_30"/>
      <w:bookmarkStart w:id="48" w:name="rom868429_16"/>
      <w:bookmarkEnd w:id="47"/>
      <w:bookmarkEnd w:id="4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t>
      </w:r>
      <w:r>
        <w:rPr>
          <w:rFonts w:ascii="Times New Roman" w:hAnsi="Times New Roman"/>
          <w:i/>
          <w:sz w:val="20"/>
        </w:rPr>
        <w:t>www.sec.gov</w:t>
      </w:r>
      <w:r>
        <w:rPr>
          <w:rFonts w:ascii="Times New Roman" w:hAnsi="Times New Roman"/>
          <w:sz w:val="20"/>
        </w:rPr>
        <w:t xml:space="preserve">. Copies of certain information filed by us with the SEC are also available on our website at </w:t>
      </w:r>
      <w:r>
        <w:rPr>
          <w:rFonts w:ascii="Times New Roman" w:hAnsi="Times New Roman"/>
          <w:i/>
          <w:sz w:val="20"/>
        </w:rPr>
        <w:t>www.tenayatherapeutics.com</w:t>
      </w:r>
      <w:r>
        <w:rPr>
          <w:rFonts w:ascii="Times New Roman" w:hAnsi="Times New Roman"/>
          <w:sz w:val="20"/>
        </w:rPr>
        <w:t xml:space="preserve">. Information accessible on or through our website is not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9" w:name="supptoc868429_31"/>
      <w:bookmarkStart w:id="50" w:name="rom868429_17"/>
      <w:bookmarkEnd w:id="49"/>
      <w:bookmarkEnd w:id="50"/>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20">
              <w:r>
                <w:rPr>
                  <w:rStyle w:val="InternetLink"/>
                  <w:rFonts w:ascii="Times New Roman" w:hAnsi="Times New Roman"/>
                  <w:sz w:val="20"/>
                </w:rPr>
                <w:t>Form 10-K</w:t>
              </w:r>
            </w:hyperlink>
            <w:r>
              <w:rPr>
                <w:rFonts w:ascii="Times New Roman" w:hAnsi="Times New Roman"/>
                <w:sz w:val="20"/>
              </w:rPr>
              <w:t xml:space="preserve"> for the year ended December 31,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w:t>
            </w:r>
            <w:hyperlink r:id="rId21">
              <w:r>
                <w:rPr>
                  <w:rStyle w:val="InternetLink"/>
                  <w:rFonts w:ascii="Times New Roman" w:hAnsi="Times New Roman"/>
                  <w:sz w:val="20"/>
                </w:rPr>
                <w:t>March 31, 2022</w:t>
              </w:r>
            </w:hyperlink>
            <w:r>
              <w:rPr>
                <w:rFonts w:ascii="Times New Roman" w:hAnsi="Times New Roman"/>
                <w:sz w:val="20"/>
              </w:rPr>
              <w:t xml:space="preserve"> and </w:t>
            </w:r>
            <w:hyperlink r:id="rId22">
              <w:r>
                <w:rPr>
                  <w:rStyle w:val="InternetLink"/>
                  <w:rFonts w:ascii="Times New Roman" w:hAnsi="Times New Roman"/>
                  <w:sz w:val="20"/>
                </w:rPr>
                <w:t>June 30, 2022</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portions of our </w:t>
            </w:r>
            <w:hyperlink r:id="rId23">
              <w:r>
                <w:rPr>
                  <w:rStyle w:val="InternetLink"/>
                  <w:rFonts w:ascii="Times New Roman" w:hAnsi="Times New Roman"/>
                  <w:sz w:val="20"/>
                </w:rPr>
                <w:t>Definitive Proxy Statement</w:t>
              </w:r>
            </w:hyperlink>
            <w:r>
              <w:rPr>
                <w:rFonts w:ascii="Times New Roman" w:hAnsi="Times New Roman"/>
                <w:sz w:val="20"/>
              </w:rPr>
              <w:t xml:space="preserve"> on Schedule 14A (other than information furnished rather than filed) that are incorporated by reference into our Annual Report on Form 10-K, filed with the SEC on April 28,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24">
              <w:r>
                <w:rPr>
                  <w:rStyle w:val="InternetLink"/>
                  <w:rFonts w:ascii="Times New Roman" w:hAnsi="Times New Roman"/>
                  <w:sz w:val="20"/>
                </w:rPr>
                <w:t>June 10, 2022</w:t>
              </w:r>
            </w:hyperlink>
            <w:r>
              <w:rPr>
                <w:rFonts w:ascii="Times New Roman" w:hAnsi="Times New Roman"/>
                <w:sz w:val="20"/>
              </w:rPr>
              <w:t xml:space="preserve"> and </w:t>
            </w:r>
            <w:hyperlink r:id="rId25">
              <w:r>
                <w:rPr>
                  <w:rStyle w:val="InternetLink"/>
                  <w:rFonts w:ascii="Times New Roman" w:hAnsi="Times New Roman"/>
                  <w:sz w:val="20"/>
                </w:rPr>
                <w:t>August 10, 2022</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the Registration Statement on </w:t>
            </w:r>
            <w:hyperlink r:id="rId26">
              <w:r>
                <w:rPr>
                  <w:rStyle w:val="InternetLink"/>
                  <w:rFonts w:ascii="Times New Roman" w:hAnsi="Times New Roman"/>
                  <w:sz w:val="20"/>
                </w:rPr>
                <w:t>Form 8-A</w:t>
              </w:r>
            </w:hyperlink>
            <w:r>
              <w:rPr>
                <w:rFonts w:ascii="Times New Roman" w:hAnsi="Times New Roman"/>
                <w:sz w:val="20"/>
              </w:rPr>
              <w:t xml:space="preserve"> relating thereto, filed on July 23, 2021, including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Tenaya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171 Oyster Point Boulevard, 5th Floor </w:t>
      </w:r>
    </w:p>
    <w:p>
      <w:pPr>
        <w:pStyle w:val="TextBody"/>
        <w:bidi w:val="0"/>
        <w:spacing w:before="0" w:after="0"/>
        <w:jc w:val="center"/>
        <w:rPr>
          <w:rFonts w:ascii="Times New Roman" w:hAnsi="Times New Roman"/>
          <w:sz w:val="20"/>
        </w:rPr>
      </w:pPr>
      <w:r>
        <w:rPr>
          <w:rFonts w:ascii="Times New Roman" w:hAnsi="Times New Roman"/>
          <w:sz w:val="20"/>
        </w:rPr>
        <w:t xml:space="preserve">South San Francisco, California 94080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(650) 825-6990</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180590" cy="796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7"/>
                    <a:stretch>
                      <a:fillRect/>
                    </a:stretch>
                  </pic:blipFill>
                  <pic:spPr bwMode="auto">
                    <a:xfrm>
                      <a:off x="0" y="0"/>
                      <a:ext cx="2180590" cy="79692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6"/>
        </w:rPr>
      </w:pPr>
      <w:r>
        <w:rPr>
          <w:rFonts w:ascii="Times New Roman" w:hAnsi="Times New Roman"/>
          <w:b/>
          <w:sz w:val="26"/>
        </w:rPr>
        <w:t xml:space="preserve">UNITS CONSISTING OF ONE SHARE OF COMMON STOCK, ONE SERIES A WARRANT TO PURCHASE COMMON STOCK AND ONE SERIES B WARRANT TO PURCHASE COMMON STOCK </w:t>
      </w:r>
    </w:p>
    <w:p>
      <w:pPr>
        <w:pStyle w:val="TextBody"/>
        <w:bidi w:val="0"/>
        <w:spacing w:before="240" w:after="0"/>
        <w:jc w:val="center"/>
        <w:rPr>
          <w:rFonts w:ascii="Times New Roman" w:hAnsi="Times New Roman"/>
          <w:b/>
          <w:sz w:val="26"/>
        </w:rPr>
      </w:pPr>
      <w:r>
        <w:rPr>
          <w:rFonts w:ascii="Times New Roman" w:hAnsi="Times New Roman"/>
          <w:b/>
          <w:sz w:val="26"/>
        </w:rPr>
        <w:t xml:space="preserve">PRE-FUNDED UNITS CONSISTING OF ONE PRE-FUNDED WARRANT TO PURCHASE ONE SHARE OF COMMON STOCK, ONE SERIES A WARRANT TO PURCHASE COMMON STOCK AND ONE SERIES B WARRANT TO PURCHASE COMMON STOCK </w:t>
      </w:r>
    </w:p>
    <w:p>
      <w:pPr>
        <w:pStyle w:val="TextBody"/>
        <w:bidi w:val="0"/>
        <w:spacing w:before="240" w:after="0"/>
        <w:jc w:val="center"/>
        <w:rPr>
          <w:rFonts w:ascii="Times New Roman" w:hAnsi="Times New Roman"/>
          <w:b/>
          <w:sz w:val="26"/>
        </w:rPr>
      </w:pPr>
      <w:r>
        <w:rPr>
          <w:rFonts w:ascii="Times New Roman" w:hAnsi="Times New Roman"/>
          <w:b/>
          <w:sz w:val="26"/>
        </w:rPr>
        <w:t xml:space="preserve">SHARES OF COMMON STOCK ISSUABLE UPON THE EXERCISE OF THE PRE-FUNDED WARRANTS, SERIES A WARRANTS AND SERIES B WARRANTS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07"/>
        <w:gridCol w:w="101"/>
        <w:gridCol w:w="4797"/>
      </w:tblGrid>
      <w:tr>
        <w:trPr/>
        <w:tc>
          <w:tcPr>
            <w:tcW w:w="53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307" w:type="dxa"/>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r>
      <w:tr>
        <w:trPr/>
        <w:tc>
          <w:tcPr>
            <w:tcW w:w="5307" w:type="dxa"/>
            <w:tcBorders/>
          </w:tcPr>
          <w:p>
            <w:pPr>
              <w:pStyle w:val="TableContents"/>
              <w:bidi w:val="0"/>
              <w:spacing w:before="0" w:after="283"/>
              <w:jc w:val="left"/>
              <w:rPr>
                <w:b/>
              </w:rPr>
            </w:pPr>
            <w:r>
              <w:rPr>
                <w:b/>
              </w:rPr>
              <w:t>Leerink Partners</w:t>
            </w:r>
          </w:p>
        </w:tc>
        <w:tc>
          <w:tcPr>
            <w:tcW w:w="101"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b/>
              </w:rPr>
            </w:pPr>
            <w:r>
              <w:rPr>
                <w:b/>
              </w:rPr>
              <w:t>Piper Sandler</w:t>
            </w:r>
          </w:p>
        </w:tc>
      </w:tr>
    </w:tbl>
    <w:p>
      <w:pPr>
        <w:pStyle w:val="TextBody"/>
        <w:bidi w:val="0"/>
        <w:spacing w:before="480" w:after="0"/>
        <w:jc w:val="center"/>
        <w:rPr/>
      </w:pPr>
      <w:r>
        <w:rPr/>
        <w:t>    </w:t>
      </w:r>
      <w:r>
        <w:rPr>
          <w:rFonts w:ascii="Times New Roman" w:hAnsi="Times New Roman"/>
          <w:b/>
          <w:sz w:val="20"/>
        </w:rPr>
        <w:t xml:space="preserve">, 2025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58848/000095017024032828/tnya-20231231.htm" TargetMode="External"/><Relationship Id="rId4" Type="http://schemas.openxmlformats.org/officeDocument/2006/relationships/hyperlink" Target="http://www.sec.gov/Archives/edgar/data/../../../ix?doc=/Archives/edgar/data/1858848/000095017024059576/tnya-20240331.htm" TargetMode="External"/><Relationship Id="rId5" Type="http://schemas.openxmlformats.org/officeDocument/2006/relationships/hyperlink" Target="http://www.sec.gov/Archives/edgar/data/../../../ix?doc=/Archives/edgar/data/1858848/000095017023040651/tnya-20230630.htm" TargetMode="External"/><Relationship Id="rId6" Type="http://schemas.openxmlformats.org/officeDocument/2006/relationships/hyperlink" Target="http://www.sec.gov/Archives/edgar/data/../../../ix?doc=/Archives/edgar/data/1858848/000095017023061162/tnya-20230930.htm" TargetMode="External"/><Relationship Id="rId7" Type="http://schemas.openxmlformats.org/officeDocument/2006/relationships/hyperlink" Target="http://www.sec.gov/Archives/edgar/data/1858848/000119312524099107/d656970ddef14a.htm" TargetMode="External"/><Relationship Id="rId8" Type="http://schemas.openxmlformats.org/officeDocument/2006/relationships/hyperlink" Target="http://www.sec.gov/Archives/edgar/data/../../../ix?doc=/Archives/edgar/data/1858848/000095017024059539/tnya-20240513.htm" TargetMode="External"/><Relationship Id="rId9" Type="http://schemas.openxmlformats.org/officeDocument/2006/relationships/hyperlink" Target="http://www.sec.gov/Archives/edgar/data/../../../ix?doc=/Archives/edgar/data/1858848/000095017024067318/tnya-20240530.htm" TargetMode="External"/><Relationship Id="rId10" Type="http://schemas.openxmlformats.org/officeDocument/2006/relationships/hyperlink" Target="http://www.sec.gov/Archives/edgar/data/../../../ix?doc=/Archives/edgar/data/1858848/000095017024078585/tnya-20240625.htm" TargetMode="External"/><Relationship Id="rId11" Type="http://schemas.openxmlformats.org/officeDocument/2006/relationships/hyperlink" Target="http://www.sec.gov/Archives/edgar/data/../../../ix?doc=/Archives/edgar/data/1858848/000119312524184817/d868248d8k.htm" TargetMode="External"/><Relationship Id="rId12" Type="http://schemas.openxmlformats.org/officeDocument/2006/relationships/hyperlink" Target="http://www.sec.gov/Archives/edgar/data/../../../ix?doc=/Archives/edgar/data/1858848/000095017024093991/tnya-20240808.htm" TargetMode="External"/><Relationship Id="rId13" Type="http://schemas.openxmlformats.org/officeDocument/2006/relationships/hyperlink" Target="http://www.sec.gov/Archives/edgar/data/../../../ix?doc=/Archives/edgar/data/1858848/000095017024106817/tnya-20240912.htm" TargetMode="External"/><Relationship Id="rId14" Type="http://schemas.openxmlformats.org/officeDocument/2006/relationships/hyperlink" Target="http://www.sec.gov/Archives/edgar/data/../../../ix?doc=/Archives/edgar/data/1858848/000119312524280112/d883027d8k.htm" TargetMode="External"/><Relationship Id="rId15" Type="http://schemas.openxmlformats.org/officeDocument/2006/relationships/hyperlink" Target="http://www.sec.gov/Archives/edgar/data/../../../ix?doc=/Archives/edgar/data/1858848/000095017025009946/tnya-20250124.htm" TargetMode="External"/><Relationship Id="rId16" Type="http://schemas.openxmlformats.org/officeDocument/2006/relationships/hyperlink" Target="http://www.sec.gov/Archives/edgar/data/../../../ix?doc=/Archives/edgar/data/1858848/000095017025016378/tnya-20250206.htm" TargetMode="External"/><Relationship Id="rId17" Type="http://schemas.openxmlformats.org/officeDocument/2006/relationships/hyperlink" Target="http://www.sec.gov/Archives/edgar/data/1858848/000119312521223152/d170858d8a12b.htm" TargetMode="External"/><Relationship Id="rId18" Type="http://schemas.openxmlformats.org/officeDocument/2006/relationships/image" Target="media/image2.jpeg"/><Relationship Id="rId19" Type="http://schemas.openxmlformats.org/officeDocument/2006/relationships/hyperlink" Target="http://www.sec.gov/Archives/edgar/data/1858848/000095017022004426/tnya-ex4_3.htm" TargetMode="External"/><Relationship Id="rId20" Type="http://schemas.openxmlformats.org/officeDocument/2006/relationships/hyperlink" Target="http://www.sec.gov/Archives/edgar/data/../../../ix?doc=/Archives/edgar/data/1858848/000095017022004426/tnya-20211231.htm" TargetMode="External"/><Relationship Id="rId21" Type="http://schemas.openxmlformats.org/officeDocument/2006/relationships/hyperlink" Target="http://www.sec.gov/Archives/edgar/data/../../../ix?doc=/Archives/edgar/data/1858848/000095017022009363/tnya-20220331.htm" TargetMode="External"/><Relationship Id="rId22" Type="http://schemas.openxmlformats.org/officeDocument/2006/relationships/hyperlink" Target="http://www.sec.gov/Archives/edgar/data/../../../ix?doc=/Archives/edgar/data/1858848/000095017022016478/tnya-20220630.htm" TargetMode="External"/><Relationship Id="rId23" Type="http://schemas.openxmlformats.org/officeDocument/2006/relationships/hyperlink" Target="http://www.sec.gov/Archives/edgar/data/1858848/000119312522127693/d263092ddef14a.htm" TargetMode="External"/><Relationship Id="rId24" Type="http://schemas.openxmlformats.org/officeDocument/2006/relationships/hyperlink" Target="http://www.sec.gov/Archives/edgar/data/../../../ix?doc=/Archives/edgar/data/1858848/000095017022011496/tnya-20220609.htm" TargetMode="External"/><Relationship Id="rId25" Type="http://schemas.openxmlformats.org/officeDocument/2006/relationships/hyperlink" Target="http://www.sec.gov/Archives/edgar/data/../../../ix?doc=/Archives/edgar/data/1858848/000119312522217452/d301698d8k.htm" TargetMode="External"/><Relationship Id="rId26" Type="http://schemas.openxmlformats.org/officeDocument/2006/relationships/hyperlink" Target="http://www.sec.gov/Archives/edgar/data/1858848/000119312521223152/d170858d8a12b.htm" TargetMode="External"/><Relationship Id="rId27" Type="http://schemas.openxmlformats.org/officeDocument/2006/relationships/image" Target="media/image3.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98</Pages>
  <Words>40083</Words>
  <Characters>208919</Characters>
  <CharactersWithSpaces>249533</CharactersWithSpaces>
  <Paragraphs>2453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