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November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81-3789973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171 Oyster Point Boulevard, 5th Floor</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exchange on</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TNYA</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On November 16, 2022, Tenaya Therapeutics, Inc. (the “Company”) entered into an underwriting agreement (the “Underwriting Agreement”) with Morgan Stanley &amp; Co. LLC and Piper Sandler &amp; Co., as representatives (the “Representatives”) of the several underwriters named therein (collectively, the “Underwriters”), relating to the issuance and sale (the “Offering”) of 22,613,307 shares of the Company’s common stock, par value $0.0001 per share, at a price to the public of $2.60 per share (the “Underwritten Shares”) and pre-funded warrants (the “Pre-Funded Warrants”) to purchase 6,236,693 shares of the Company’s common stock at a price to the public of $2.599 per underlying share. Under the terms of the Underwriting Agreement, the Underwriters have agreed to purchase the Underwritten Shares from the Company at a price of $2.444 per share and the Pre-Funded Warrants at a price of $2.443 per underlying share. The Company also granted the Underwriters an option exercisable for 30 days from the date of the Underwriting Agreement to purchase up to an additional 4,327,500 shares of common stock solely for the purpose of covering over-allotments (together with the Underwritten Shares, the “Shares”). All of the Shares and Pre-Funded Warrants in the Offering are being sold by the Company.</w:t>
      </w:r>
    </w:p>
    <w:p>
      <w:pPr>
        <w:spacing w:after="0" w:line="188" w:lineRule="exact"/>
        <w:rPr>
          <w:sz w:val="20"/>
          <w:szCs w:val="20"/>
          <w:color w:val="auto"/>
        </w:rPr>
      </w:pPr>
    </w:p>
    <w:p>
      <w:pPr>
        <w:jc w:val="both"/>
        <w:ind w:left="4" w:right="220"/>
        <w:spacing w:after="0" w:line="266" w:lineRule="auto"/>
        <w:rPr>
          <w:sz w:val="20"/>
          <w:szCs w:val="20"/>
          <w:color w:val="auto"/>
        </w:rPr>
      </w:pPr>
      <w:r>
        <w:rPr>
          <w:rFonts w:ascii="Times New Roman" w:cs="Times New Roman" w:eastAsia="Times New Roman" w:hAnsi="Times New Roman"/>
          <w:sz w:val="18"/>
          <w:szCs w:val="18"/>
          <w:color w:val="auto"/>
        </w:rPr>
        <w:t>The gross proceeds from the Offering are expected to be approximately $75.0 million before deducting underwriting discounts and commissions and other offering expenses payable by the Company and assuming no exercise of the Underwriters’ option to purchase additional shares. The Offering is expected to close on November 21, 2022, subject to the satisfaction of customary closing conditions.</w:t>
      </w:r>
    </w:p>
    <w:p>
      <w:pPr>
        <w:spacing w:after="0" w:line="176" w:lineRule="exact"/>
        <w:rPr>
          <w:sz w:val="20"/>
          <w:szCs w:val="20"/>
          <w:color w:val="auto"/>
        </w:rPr>
      </w:pPr>
    </w:p>
    <w:p>
      <w:pPr>
        <w:ind w:left="4" w:right="280"/>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such parties.</w:t>
      </w:r>
    </w:p>
    <w:p>
      <w:pPr>
        <w:spacing w:after="0" w:line="183" w:lineRule="exact"/>
        <w:rPr>
          <w:sz w:val="20"/>
          <w:szCs w:val="20"/>
          <w:color w:val="auto"/>
        </w:rPr>
      </w:pPr>
    </w:p>
    <w:p>
      <w:pPr>
        <w:ind w:left="4" w:right="800"/>
        <w:spacing w:after="0" w:line="312" w:lineRule="auto"/>
        <w:rPr>
          <w:sz w:val="20"/>
          <w:szCs w:val="20"/>
          <w:color w:val="auto"/>
        </w:rPr>
      </w:pPr>
      <w:r>
        <w:rPr>
          <w:rFonts w:ascii="Times New Roman" w:cs="Times New Roman" w:eastAsia="Times New Roman" w:hAnsi="Times New Roman"/>
          <w:sz w:val="17"/>
          <w:szCs w:val="17"/>
          <w:color w:val="auto"/>
        </w:rPr>
        <w:t>The Offering is being made pursuant to the Company’s effective registration statement on Form S-3 (File No. 333-266741) (the “Registration Statement”) and a related prospectus and prospectus supplement, in each case filed with the Securities and Exchange Commission.</w:t>
      </w:r>
    </w:p>
    <w:p>
      <w:pPr>
        <w:spacing w:after="0" w:line="140"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17"/>
          <w:szCs w:val="17"/>
          <w:color w:val="auto"/>
        </w:rPr>
        <w:t>Each Pre-Funded Warrant will have an exercise price per share of common stock equal to $0.001 per share. The exercise price and the number of shares of common stock issuable upon exercise of each Pre-Funded Warrant is subject to appropriate adjustments in the event of certain stock dividends and distributions, stock splits, stock combinations, reclassifications or similar events affecting the common stock. Each Pre-Funded Warrant will be exercisable on or after the date of issuance until the date the Pre-Funded Warrant is exercised in full. Each Pre-Funded Warrant will be exercisable, in the holder’s discretion, by (i) payment in full in immediately available funds for the number of shares of common stock purchased upon such exercise or</w:t>
      </w:r>
    </w:p>
    <w:p>
      <w:pPr>
        <w:spacing w:after="0" w:line="3" w:lineRule="exact"/>
        <w:rPr>
          <w:sz w:val="20"/>
          <w:szCs w:val="20"/>
          <w:color w:val="auto"/>
        </w:rPr>
      </w:pPr>
    </w:p>
    <w:p>
      <w:pPr>
        <w:ind w:left="4" w:hanging="4"/>
        <w:spacing w:after="0" w:line="251"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cashless exercise, in which case the holder would receive upon such exercise the net number of shares of common stock determined according to the formula set forth in the Pre-Funded Warrant. Under the Pre-Funded Warrants, the Company may not effect the exercise of any Pre-Funded Warrant, and a holder will not be entitled to exercise any portion of any Pre-Funded Warrant that, upon giving effect to such exercise, would cause: (i) the aggregate number of shares of common stock beneficially owned by such holder (together with its affiliates) to exceed 9.99% of the total number of shares of common stock outstanding immediately after giving effect to the exercise; or (ii) the combined voting power of the Company’s securities beneficially owned by such holder (together with its affiliates) to exceed 9.99% of the combined voting power of all of the Company’s securities immediately outstanding after giving effect to the exercise, as such percentage ownership is determined in accordance with the terms of the Pre-Funded Warrant, which percentage may be changed at the holder’s election to a higher or lower percentage not in excess of 19.99% upon at least 61 days’ notice to the Company.</w:t>
      </w:r>
    </w:p>
    <w:p>
      <w:pPr>
        <w:spacing w:after="0" w:line="193"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In the event of certain fundamental transactions, a holder of Pre-Funded Warrants will be entitled to receive, upon exercise of the Pre-Funded Warrants, the kind and amount of securities, cash or other property that such holder would have received had they exercised the Pre-Funded Warrants immediately prior to the fundamental transaction without regard to any limitations on exercise contained in the Pre-Funded Warrants.</w:t>
      </w:r>
    </w:p>
    <w:p>
      <w:pPr>
        <w:sectPr>
          <w:pgSz w:w="11900" w:h="16838" w:orient="portrait"/>
          <w:cols w:equalWidth="0" w:num="1">
            <w:col w:w="10984"/>
          </w:cols>
          <w:pgMar w:left="436" w:top="293" w:right="479" w:bottom="1440" w:gutter="0" w:footer="0" w:header="0"/>
        </w:sectPr>
      </w:pPr>
    </w:p>
    <w:bookmarkStart w:id="2" w:name="page3"/>
    <w:bookmarkEnd w:id="2"/>
    <w:p>
      <w:pPr>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descriptions of the terms of the Underwriting Agreement and the Pre-Funded Warrants do not purport to be complete and are each qualified in their entirety by reference to the Underwriting Agreement and the Form of Pre-Funded Warrant, respectively, which are filed as Exhibit 1.1 and Exhibit 4.1 hereto and are incorporated herein by reference.</w:t>
      </w:r>
    </w:p>
    <w:p>
      <w:pPr>
        <w:spacing w:after="0" w:line="176"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color w:val="auto"/>
        </w:rPr>
        <w:t>A copy of the opinion of Wilson Sonsini Goodrich &amp; Rosati, P.C. relating to the validity of the Shares, the Pre-Funded Warrants and the shares underlying the Pre-Funded Warrants is filed as Exhibit 5.1 hereto and is incorporated by reference into the Registration Statement.</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copy of the press release announcing the pricing of the Offering is attached to this Current Report on Form 8-K as Exhibit 99.1.</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Certain of the statements made in this report are forward looking, such as those, among others, relating to the Company’s expectations regarding the timing and completion of the Offering. Actual results or developments may differ materially from those projected or implied in these forward-looking statements. Factors that may cause such a difference include risks and uncertainties related to completion of the public offering on the anticipated terms or at all, market conditions and the satisfaction of customary closing conditions related to the Offering. More information about the risks and uncertainties faced by the Company is contained under the caption “Risk Factors” in the Company’s Quarterly Report on Form 10-Q filed with the SEC on November 10, 2022. The Company disclaims any intention or obligation to update or revise any forward-looking statements, whether as a result of new information, future events or otherwise.</w:t>
      </w:r>
    </w:p>
    <w:p>
      <w:pPr>
        <w:spacing w:after="0" w:line="333"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384" w:hanging="384"/>
        <w:spacing w:after="0"/>
        <w:tabs>
          <w:tab w:leader="none" w:pos="3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0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24"/>
                <w:szCs w:val="24"/>
                <w:color w:val="auto"/>
              </w:rPr>
            </w:pPr>
          </w:p>
        </w:tc>
        <w:tc>
          <w:tcPr>
            <w:tcW w:w="84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Underwriting Agreement, dated as of November 16, 2022, among Tenaya Therapeutics, Inc. and the Representatives.</w:t>
            </w:r>
          </w:p>
        </w:tc>
        <w:tc>
          <w:tcPr>
            <w:tcW w:w="0" w:type="dxa"/>
            <w:vAlign w:val="bottom"/>
          </w:tcPr>
          <w:p>
            <w:pPr>
              <w:spacing w:after="0"/>
              <w:rPr>
                <w:sz w:val="1"/>
                <w:szCs w:val="1"/>
                <w:color w:val="auto"/>
              </w:rPr>
            </w:pPr>
          </w:p>
        </w:tc>
      </w:tr>
      <w:tr>
        <w:trPr>
          <w:trHeight w:val="30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84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Form of Pre-Funded Warrant.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3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Opinion of Wilson Sonsini Goodrich &amp; Rosati, P.C.</w:t>
            </w:r>
          </w:p>
        </w:tc>
        <w:tc>
          <w:tcPr>
            <w:tcW w:w="47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95"/>
              </w:rPr>
              <w:t>23.1</w:t>
            </w:r>
          </w:p>
        </w:tc>
        <w:tc>
          <w:tcPr>
            <w:tcW w:w="420" w:type="dxa"/>
            <w:vAlign w:val="bottom"/>
          </w:tcPr>
          <w:p>
            <w:pPr>
              <w:spacing w:after="0"/>
              <w:rPr>
                <w:sz w:val="24"/>
                <w:szCs w:val="24"/>
                <w:color w:val="auto"/>
              </w:rPr>
            </w:pPr>
          </w:p>
        </w:tc>
        <w:tc>
          <w:tcPr>
            <w:tcW w:w="5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Wilson Sonsini Goodrich &amp; Rosati, P.C. (included in Exhibit 5.1).</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95"/>
              </w:rPr>
              <w:t>99.1</w:t>
            </w:r>
          </w:p>
        </w:tc>
        <w:tc>
          <w:tcPr>
            <w:tcW w:w="420" w:type="dxa"/>
            <w:vAlign w:val="bottom"/>
          </w:tcPr>
          <w:p>
            <w:pPr>
              <w:spacing w:after="0"/>
              <w:rPr>
                <w:sz w:val="24"/>
                <w:szCs w:val="24"/>
                <w:color w:val="auto"/>
              </w:rPr>
            </w:pPr>
          </w:p>
        </w:tc>
        <w:tc>
          <w:tcPr>
            <w:tcW w:w="29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November 17, 2022.</w:t>
            </w:r>
          </w:p>
        </w:tc>
        <w:tc>
          <w:tcPr>
            <w:tcW w:w="5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8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44"/>
          </w:cols>
          <w:pgMar w:left="436" w:top="297" w:right="51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Leone D. Patterson, M.B.A.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17, 2022</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22,613,307 SHARES OF COMMON STOCK, $0.0001 PAR VALUE PER SHARE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WARRANTS TO PURCHASE 6,236,693 SHARES OF COMMON STOCK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16, 2022</w:t>
      </w:r>
    </w:p>
    <w:p>
      <w:pPr>
        <w:sectPr>
          <w:pgSz w:w="11900" w:h="16838" w:orient="portrait"/>
          <w:cols w:equalWidth="0" w:num="1">
            <w:col w:w="11020"/>
          </w:cols>
          <w:pgMar w:left="440"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November 16,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 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800 Nicollet Mall, Suite 800</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Tenaya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 Schedule 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Morgan Stanley &amp; Co. LLC (“</w:t>
      </w:r>
      <w:r>
        <w:rPr>
          <w:rFonts w:ascii="Times New Roman" w:cs="Times New Roman" w:eastAsia="Times New Roman" w:hAnsi="Times New Roman"/>
          <w:sz w:val="18"/>
          <w:szCs w:val="18"/>
          <w:b w:val="1"/>
          <w:bCs w:val="1"/>
          <w:color w:val="auto"/>
        </w:rPr>
        <w:t>Morgan Stanley</w:t>
      </w:r>
      <w:r>
        <w:rPr>
          <w:rFonts w:ascii="Times New Roman" w:cs="Times New Roman" w:eastAsia="Times New Roman" w:hAnsi="Times New Roman"/>
          <w:sz w:val="18"/>
          <w:szCs w:val="18"/>
          <w:color w:val="auto"/>
        </w:rPr>
        <w:t>”), and Piper Sandler &amp; Co. (“</w:t>
      </w:r>
      <w:r>
        <w:rPr>
          <w:rFonts w:ascii="Times New Roman" w:cs="Times New Roman" w:eastAsia="Times New Roman" w:hAnsi="Times New Roman"/>
          <w:sz w:val="18"/>
          <w:szCs w:val="18"/>
          <w:b w:val="1"/>
          <w:bCs w:val="1"/>
          <w:color w:val="auto"/>
        </w:rPr>
        <w:t>Piper Sandler</w:t>
      </w:r>
      <w:r>
        <w:rPr>
          <w:rFonts w:ascii="Times New Roman" w:cs="Times New Roman" w:eastAsia="Times New Roman" w:hAnsi="Times New Roman"/>
          <w:sz w:val="18"/>
          <w:szCs w:val="18"/>
          <w:color w:val="auto"/>
        </w:rPr>
        <w:t>” and, together with Morgan Stanley are acting as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(i) 22,613,307 shares of its common stock, $0.0001 par value per share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and (ii) pre-funded warrants to purchase up to 6,236,693 shares of the Company’s common stock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together with the Firm Shares, the “</w:t>
      </w:r>
      <w:r>
        <w:rPr>
          <w:rFonts w:ascii="Times New Roman" w:cs="Times New Roman" w:eastAsia="Times New Roman" w:hAnsi="Times New Roman"/>
          <w:sz w:val="18"/>
          <w:szCs w:val="18"/>
          <w:b w:val="1"/>
          <w:bCs w:val="1"/>
          <w:color w:val="auto"/>
        </w:rPr>
        <w:t>Firm Securities</w:t>
      </w:r>
      <w:r>
        <w:rPr>
          <w:rFonts w:ascii="Times New Roman" w:cs="Times New Roman" w:eastAsia="Times New Roman" w:hAnsi="Times New Roman"/>
          <w:sz w:val="18"/>
          <w:szCs w:val="18"/>
          <w:color w:val="auto"/>
        </w:rPr>
        <w:t>”) at an exercise price of $0.001 per share. The Company also proposes to issue and sell to the several Underwriters not more than an additional 4,327,500 shares of its common stock, $0.0001 par value per share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if and to the extent that the Representatives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together with the Pre-Funded Warrants,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shares of the Company’s common stock issuable upon exercise of the Pre-Funded Warrants are herein referred to as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The shares of common stock, $0.0001 par value per share of the Company to be outstanding after giving effect to the sales contemplated hereby are hereinafter referred to as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S-3 (File No. 333-266741), including a preliminary prospectus, relating to the Shares, the Warrants and the Warrant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prospectus in the form first used to confirm sales of Securities (or in the form first made available to the Underwriters by the Company to meet requests of purchasers pursuant to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70" w:right="439" w:bottom="1440" w:gutter="0" w:footer="0" w:header="0"/>
        </w:sectPr>
      </w:pPr>
    </w:p>
    <w:bookmarkStart w:id="6" w:name="page7"/>
    <w:bookmarkEnd w:id="6"/>
    <w:p>
      <w:pPr>
        <w:ind w:right="46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If the Company has filed an abbreviated registration statement to register additional shares of Common Stock pursuant to Rule 462(b) under the Securities Act (a “</w:t>
      </w:r>
      <w:r>
        <w:rPr>
          <w:rFonts w:ascii="Times New Roman" w:cs="Times New Roman" w:eastAsia="Times New Roman" w:hAnsi="Times New Roman"/>
          <w:sz w:val="18"/>
          <w:szCs w:val="18"/>
          <w:b w:val="1"/>
          <w:bCs w:val="1"/>
          <w:color w:val="auto"/>
        </w:rPr>
        <w:t>Rule 462 Registration Statement</w:t>
      </w:r>
      <w:r>
        <w:rPr>
          <w:rFonts w:ascii="Times New Roman" w:cs="Times New Roman" w:eastAsia="Times New Roman" w:hAnsi="Times New Roman"/>
          <w:sz w:val="18"/>
          <w:szCs w:val="18"/>
          <w:color w:val="auto"/>
        </w:rPr>
        <w:t>”), then any reference herein to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be deemed to include such Rule 462 Registration Statement.</w:t>
      </w:r>
    </w:p>
    <w:p>
      <w:pPr>
        <w:spacing w:after="0" w:line="17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each prospectus used prior to the effectiveness of the Registration Statement, and each prospectus that omitted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Rule 430A under the Securities Act that was used after such effectiveness and prior to the execution and delivery of this Agreement, “</w:t>
      </w: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Sale Prospectus</w:t>
      </w:r>
      <w:r>
        <w:rPr>
          <w:rFonts w:ascii="Times New Roman" w:cs="Times New Roman" w:eastAsia="Times New Roman" w:hAnsi="Times New Roman"/>
          <w:sz w:val="18"/>
          <w:szCs w:val="18"/>
          <w:color w:val="auto"/>
        </w:rPr>
        <w:t>” means the preliminary prospectus contained in the Registration Statement at the time of its effectiveness together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free writing prospectuses, if any, and pricing information set forth in Schedule II 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 The terms “supplement,” “amendment” and “amend” as used herein with respect to the Registration Statement, the Prospectus, the Time of Sale Prospectus or the Prospectus shall include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 For purposes of this Agreement, except where otherwise expressly provided, the term “affiliate” has the meaning set forth in Rule 405 under the Securities Act.</w:t>
      </w:r>
    </w:p>
    <w:p>
      <w:pPr>
        <w:spacing w:after="0" w:line="192" w:lineRule="exact"/>
        <w:rPr>
          <w:sz w:val="20"/>
          <w:szCs w:val="20"/>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Company represents and warrants to and agrees with each of the Underwriters that:</w:t>
      </w:r>
    </w:p>
    <w:p>
      <w:pPr>
        <w:spacing w:after="0" w:line="119"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0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w:t>
      </w:r>
    </w:p>
    <w:p>
      <w:pPr>
        <w:spacing w:after="0" w:line="67" w:lineRule="exact"/>
        <w:rPr>
          <w:rFonts w:ascii="Times New Roman" w:cs="Times New Roman" w:eastAsia="Times New Roman" w:hAnsi="Times New Roman"/>
          <w:sz w:val="18"/>
          <w:szCs w:val="18"/>
          <w:color w:val="auto"/>
        </w:rPr>
      </w:pPr>
    </w:p>
    <w:p>
      <w:pPr>
        <w:ind w:left="440" w:firstLine="419"/>
        <w:spacing w:after="0" w:line="274" w:lineRule="auto"/>
        <w:tabs>
          <w:tab w:leader="none" w:pos="1118"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as of the date of such amendment or supplement, will comply in all material respects with</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7" w:name="page8"/>
    <w:bookmarkEnd w:id="7"/>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Act and the applicable rules and regulations of the Commission thereunder, (iv) the Time of Sale Prospectus does not, and at the time of each sale of the Securities in connection with the offering when the Prospectus is not yet available to prospective purchasers and at the Closing Date (as defined in Section 4) and at any Option Closing Date (as defined in Section 2), the Time of Sale Prospectus, as then amended or supplemented by the Company, if applicable, as of the date of such amendment or supplement,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as of its date, does not contain and, as amended or supplemented, if applicable, as of the date of such amendment or supplement and as of the Closing Date and any Option Closing Date,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Underwriter Information (as defined in Section 8(b) herein).</w:t>
      </w:r>
    </w:p>
    <w:p>
      <w:pPr>
        <w:spacing w:after="0" w:line="71" w:lineRule="exact"/>
        <w:rPr>
          <w:sz w:val="20"/>
          <w:szCs w:val="20"/>
          <w:color w:val="auto"/>
        </w:rPr>
      </w:pPr>
    </w:p>
    <w:p>
      <w:pPr>
        <w:ind w:firstLine="419"/>
        <w:spacing w:after="0" w:line="254" w:lineRule="auto"/>
        <w:tabs>
          <w:tab w:leader="none" w:pos="6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Representatives’ prior consent, prepare, use or refer to, any free writing prospectus.</w:t>
      </w:r>
    </w:p>
    <w:p>
      <w:pPr>
        <w:spacing w:after="0" w:line="83" w:lineRule="exact"/>
        <w:rPr>
          <w:rFonts w:ascii="Times New Roman" w:cs="Times New Roman" w:eastAsia="Times New Roman" w:hAnsi="Times New Roman"/>
          <w:sz w:val="18"/>
          <w:szCs w:val="18"/>
          <w:color w:val="auto"/>
        </w:rPr>
      </w:pPr>
    </w:p>
    <w:p>
      <w:pPr>
        <w:jc w:val="both"/>
        <w:ind w:right="80" w:firstLine="419"/>
        <w:spacing w:after="0" w:line="258"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State of Delaware,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70" w:right="479" w:bottom="1440" w:gutter="0" w:footer="0" w:header="0"/>
        </w:sectPr>
      </w:pPr>
    </w:p>
    <w:bookmarkStart w:id="8" w:name="page9"/>
    <w:bookmarkEnd w:id="8"/>
    <w:p>
      <w:pPr>
        <w:ind w:left="660" w:hanging="24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no subsidiaries as defined under the Securities Act.</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conforms as to legal matters to the description thereof contained in each of the Registration Statement, the Time of Sale Prospectus and the Prospectus.</w:t>
      </w:r>
    </w:p>
    <w:p>
      <w:pPr>
        <w:spacing w:after="0" w:line="53" w:lineRule="exact"/>
        <w:rPr>
          <w:rFonts w:ascii="Times New Roman" w:cs="Times New Roman" w:eastAsia="Times New Roman" w:hAnsi="Times New Roman"/>
          <w:sz w:val="18"/>
          <w:szCs w:val="18"/>
          <w:color w:val="auto"/>
        </w:rPr>
      </w:pPr>
    </w:p>
    <w:p>
      <w:pPr>
        <w:ind w:right="160" w:firstLine="419"/>
        <w:spacing w:after="0" w:line="282"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outstanding prior to the issuance of the Securities have been duly authorized and are validly issued, fully paid and non-assessable.</w:t>
      </w:r>
    </w:p>
    <w:p>
      <w:pPr>
        <w:spacing w:after="0" w:line="53" w:lineRule="exact"/>
        <w:rPr>
          <w:rFonts w:ascii="Times New Roman" w:cs="Times New Roman" w:eastAsia="Times New Roman" w:hAnsi="Times New Roman"/>
          <w:sz w:val="18"/>
          <w:szCs w:val="18"/>
          <w:color w:val="auto"/>
        </w:rPr>
      </w:pPr>
    </w:p>
    <w:p>
      <w:pPr>
        <w:jc w:val="both"/>
        <w:ind w:right="160" w:firstLine="419"/>
        <w:spacing w:after="0" w:line="266" w:lineRule="auto"/>
        <w:tabs>
          <w:tab w:leader="none" w:pos="6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delivered and paid for in accordance with the terms of this Agreement, will be validly issued, fully paid and non-assessable, and the issuance of the Shares will not be subject to any preemptive or similar rights not otherwise validly waived or satisfied.</w:t>
      </w:r>
    </w:p>
    <w:p>
      <w:pPr>
        <w:spacing w:after="0" w:line="67" w:lineRule="exact"/>
        <w:rPr>
          <w:rFonts w:ascii="Times New Roman" w:cs="Times New Roman" w:eastAsia="Times New Roman" w:hAnsi="Times New Roman"/>
          <w:sz w:val="18"/>
          <w:szCs w:val="18"/>
          <w:color w:val="auto"/>
        </w:rPr>
      </w:pPr>
    </w:p>
    <w:p>
      <w:pPr>
        <w:ind w:right="180" w:firstLine="419"/>
        <w:spacing w:after="0" w:line="255" w:lineRule="auto"/>
        <w:tabs>
          <w:tab w:leader="none" w:pos="6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Warrants have been duly authorized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will be reserved for issuance upon exercise of the Pre-Funded Warrants in a number sufficient to meet the current exercise requirements. The Warrant Shares, when issued and delivered upon exercise of the Pre-Funded Warrants in accordance therewith, will be validly issued, fully paid and nonassessable, and the issuance of the Warrant Shares is not subject to any preemptive or similar rights not otherwise validly waived or satisfied.</w:t>
      </w:r>
    </w:p>
    <w:p>
      <w:pPr>
        <w:spacing w:after="0" w:line="80"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will not contravene (i) any provision of applicable law, (ii) the certificate of incorporation or bylaws of the Company, (iii) any agreement or other instrument binding upon the Company that is material to the Company, or (iv) any judgment, order or decree of any governmental body, agency or court having jurisdiction over the Company, except, in the cases of clauses (i), (iii) and (iv), as would not, individually or in the aggregate, reasonably be expected to have a material adverse effect on the Company,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in connection with the offer and sale of the Securities or the rules and regulations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9" w:name="page10"/>
    <w:bookmarkEnd w:id="9"/>
    <w:p>
      <w:pPr>
        <w:ind w:right="340" w:firstLine="419"/>
        <w:spacing w:after="0" w:line="312" w:lineRule="auto"/>
        <w:tabs>
          <w:tab w:leader="none" w:pos="63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has not occurred any material adverse change, or any development involving a prospective material adverse change, in the condition, financial or otherwise, or in the earnings, business or operations of the Company, from that set forth in the Time of Sale Prospectus.</w:t>
      </w:r>
    </w:p>
    <w:p>
      <w:pPr>
        <w:spacing w:after="0" w:line="31" w:lineRule="exact"/>
        <w:rPr>
          <w:rFonts w:ascii="Times New Roman" w:cs="Times New Roman" w:eastAsia="Times New Roman" w:hAnsi="Times New Roman"/>
          <w:sz w:val="17"/>
          <w:szCs w:val="17"/>
          <w:color w:val="auto"/>
        </w:rPr>
      </w:pPr>
    </w:p>
    <w:p>
      <w:pPr>
        <w:ind w:firstLine="419"/>
        <w:spacing w:after="0" w:line="254" w:lineRule="auto"/>
        <w:tabs>
          <w:tab w:leader="none" w:pos="7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knowledge of the Company, threatened to which the Company is a party or to which any of the properties of the Company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or on the performance by the Company of its obligations under this Agreement or to consummate the transactions contemplated by the Time of Sale Prospectus or (ii) that are required to be described in the Registration Statement, the Time of Sale Prospectus or the Prospectus and are not so described in all material respects; and there are no statutes, regulations, contracts or other documents that are required to be described in the Registration Statement, the Time of Sale Prospectus or the Prospectus or to be filed as exhibits to the Registration Statement that are not described in all material respects or filed as required.</w:t>
      </w:r>
    </w:p>
    <w:p>
      <w:pPr>
        <w:spacing w:after="0" w:line="83" w:lineRule="exact"/>
        <w:rPr>
          <w:rFonts w:ascii="Times New Roman" w:cs="Times New Roman" w:eastAsia="Times New Roman" w:hAnsi="Times New Roman"/>
          <w:sz w:val="18"/>
          <w:szCs w:val="18"/>
          <w:color w:val="auto"/>
        </w:rPr>
      </w:pPr>
    </w:p>
    <w:p>
      <w:pPr>
        <w:ind w:right="120" w:firstLine="419"/>
        <w:spacing w:after="0" w:line="266" w:lineRule="auto"/>
        <w:tabs>
          <w:tab w:leader="none" w:pos="6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67"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Securities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right="80" w:firstLine="419"/>
        <w:spacing w:after="0" w:line="274" w:lineRule="auto"/>
        <w:tabs>
          <w:tab w:leader="none" w:pos="67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 is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7"/>
          <w:szCs w:val="17"/>
          <w:b w:val="1"/>
          <w:bCs w:val="1"/>
          <w:color w:val="auto"/>
        </w:rPr>
        <w:t>Environmental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Laws</w:t>
      </w:r>
      <w:r>
        <w:rPr>
          <w:rFonts w:ascii="Times New Roman" w:cs="Times New Roman" w:eastAsia="Times New Roman" w:hAnsi="Times New Roman"/>
          <w:sz w:val="17"/>
          <w:szCs w:val="17"/>
          <w:color w:val="auto"/>
        </w:rPr>
        <w:t>”), (ii) has received all permits, licenses or other approvals required of them under applicable Environmental Laws to conduct its respective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businesses and (iii)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w:t>
      </w:r>
    </w:p>
    <w:p>
      <w:pPr>
        <w:spacing w:after="0" w:line="1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80" w:top="270" w:right="439" w:bottom="1440" w:gutter="0" w:footer="0" w:header="0"/>
        </w:sectPr>
      </w:pPr>
    </w:p>
    <w:bookmarkStart w:id="10" w:name="page11"/>
    <w:bookmarkEnd w:id="10"/>
    <w:p>
      <w:pPr>
        <w:jc w:val="both"/>
        <w:ind w:firstLine="419"/>
        <w:spacing w:after="0" w:line="261"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w:t>
      </w:r>
    </w:p>
    <w:p>
      <w:pPr>
        <w:spacing w:after="0" w:line="71" w:lineRule="exact"/>
        <w:rPr>
          <w:rFonts w:ascii="Times New Roman" w:cs="Times New Roman" w:eastAsia="Times New Roman" w:hAnsi="Times New Roman"/>
          <w:sz w:val="18"/>
          <w:szCs w:val="18"/>
          <w:color w:val="auto"/>
        </w:rPr>
      </w:pPr>
    </w:p>
    <w:p>
      <w:pPr>
        <w:ind w:right="40" w:firstLine="419"/>
        <w:spacing w:after="0" w:line="258"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 except those contracts, agreements and understandings described in the Time of Sale Prospectus and the Prospectus, all of which have been validly waived in connection with the issuance and sale of the Securities contemplated hereby.</w:t>
      </w:r>
    </w:p>
    <w:p>
      <w:pPr>
        <w:spacing w:after="0" w:line="75" w:lineRule="exact"/>
        <w:rPr>
          <w:rFonts w:ascii="Times New Roman" w:cs="Times New Roman" w:eastAsia="Times New Roman" w:hAnsi="Times New Roman"/>
          <w:sz w:val="18"/>
          <w:szCs w:val="18"/>
          <w:color w:val="auto"/>
        </w:rPr>
      </w:pPr>
    </w:p>
    <w:p>
      <w:pPr>
        <w:ind w:firstLine="419"/>
        <w:spacing w:after="0" w:line="253" w:lineRule="auto"/>
        <w:tabs>
          <w:tab w:leader="none" w:pos="6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or any of its subsidiaries or any of its controlled affiliates, or any director, officer, or key employee thereof who is named in the Time of Sale Prospectus, or, to the Company’s knowledge, any non-controlled affiliates, or any other employee, agent or representative of the Company or any of its subsidiaries or any of its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(ii) the Company and each of its subsidiaries, if any, and each of its controlled affiliates, and to the Company’s knowledge, each of its non-controlled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20"/>
          </w:cols>
          <w:pgMar w:left="880" w:top="270" w:right="499" w:bottom="1440" w:gutter="0" w:footer="0" w:header="0"/>
        </w:sectPr>
      </w:pPr>
    </w:p>
    <w:bookmarkStart w:id="11" w:name="page12"/>
    <w:bookmarkEnd w:id="11"/>
    <w:p>
      <w:pPr>
        <w:ind w:firstLine="419"/>
        <w:spacing w:after="0" w:line="254" w:lineRule="auto"/>
        <w:tabs>
          <w:tab w:leader="none" w:pos="6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operations of the Company and each of its subsidiaries, if 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if any,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83"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any of its subsidiaries, or any director, officer, or key employee thereof who is named in the Time of Sale Prospectus, or, to the Company’s knowledge, any other employee, agent,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ind w:left="980" w:right="200" w:firstLine="391"/>
        <w:spacing w:after="0" w:line="266" w:lineRule="auto"/>
        <w:tabs>
          <w:tab w:leader="none" w:pos="16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660" w:hanging="289"/>
        <w:spacing w:after="0"/>
        <w:tabs>
          <w:tab w:leader="none" w:pos="1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the</w:t>
      </w:r>
    </w:p>
    <w:p>
      <w:pPr>
        <w:spacing w:after="0" w:line="27"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so-called Donetsk People’s Republic and so-called Luhansk People’s Republic or any other regions of Ukraine as may be identified by the Secretary of the Treasury, in consultation with the Secretary of State, pursuant to Executive Order 14065, Crimea, Cuba, Iran, North Korea and Syria).</w:t>
      </w:r>
    </w:p>
    <w:p>
      <w:pPr>
        <w:spacing w:after="0" w:line="78" w:lineRule="exact"/>
        <w:rPr>
          <w:sz w:val="20"/>
          <w:szCs w:val="20"/>
          <w:color w:val="auto"/>
        </w:rPr>
      </w:pPr>
    </w:p>
    <w:p>
      <w:pPr>
        <w:ind w:left="540" w:right="280" w:firstLine="408"/>
        <w:spacing w:after="0" w:line="282" w:lineRule="auto"/>
        <w:tabs>
          <w:tab w:leader="none" w:pos="12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980" w:right="180" w:firstLine="391"/>
        <w:spacing w:after="0" w:line="282" w:lineRule="auto"/>
        <w:tabs>
          <w:tab w:leader="none" w:pos="165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53" w:lineRule="exact"/>
        <w:rPr>
          <w:rFonts w:ascii="Times New Roman" w:cs="Times New Roman" w:eastAsia="Times New Roman" w:hAnsi="Times New Roman"/>
          <w:sz w:val="18"/>
          <w:szCs w:val="18"/>
          <w:color w:val="auto"/>
        </w:rPr>
      </w:pPr>
    </w:p>
    <w:p>
      <w:pPr>
        <w:ind w:left="980" w:right="300" w:firstLine="391"/>
        <w:spacing w:after="0" w:line="282" w:lineRule="auto"/>
        <w:tabs>
          <w:tab w:leader="none" w:pos="164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53" w:lineRule="exact"/>
        <w:rPr>
          <w:rFonts w:ascii="Times New Roman" w:cs="Times New Roman" w:eastAsia="Times New Roman" w:hAnsi="Times New Roman"/>
          <w:sz w:val="18"/>
          <w:szCs w:val="18"/>
          <w:color w:val="auto"/>
        </w:rPr>
      </w:pPr>
    </w:p>
    <w:p>
      <w:pPr>
        <w:ind w:left="540" w:right="20" w:firstLine="408"/>
        <w:spacing w:after="0" w:line="266" w:lineRule="auto"/>
        <w:tabs>
          <w:tab w:leader="none" w:pos="12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five years, the Company and each of its subsidiaries, if any,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20"/>
          </w:cols>
          <w:pgMar w:left="880" w:top="270" w:right="499" w:bottom="1440" w:gutter="0" w:footer="0" w:header="0"/>
        </w:sectPr>
      </w:pPr>
    </w:p>
    <w:bookmarkStart w:id="12" w:name="page13"/>
    <w:bookmarkEnd w:id="12"/>
    <w:p>
      <w:pPr>
        <w:ind w:right="20" w:firstLine="419"/>
        <w:spacing w:after="0" w:line="253"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Subsequent to the respective dates as of which information is given in each of the Registration Statement, the Time of Sale Prospectus and the Prospectus, (i) the Company has not incurred any material liability or obligation, direct or contingent, nor entered into any material transaction; (ii) the Company has not purchased any of its outstanding capital stock, other than from employees or other service providers in connection with such person’s termination of service from the Company pursuant to the existing terms of the agreements or equity compensation plans described in the Time of Sale Prospectus or in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(other than the exercise or conversion of equity awards, warrants or convertible notes or loans or grants of equity awards or forfeiture of equity awards outstanding as of such respective dates as of which information is given in each of the Registration Statement, the Time of Sale Prospectus and the Prospectus, in each case granted pursuant to the equity compensation plans described in the Time of Sale Prospectus), short-term debt or long-term debt of the Company, except in each case as described in each of the Registration Statement, the Time of Sale Prospectus and the Prospectus.</w:t>
      </w:r>
    </w:p>
    <w:p>
      <w:pPr>
        <w:spacing w:after="0" w:line="83" w:lineRule="exact"/>
        <w:rPr>
          <w:rFonts w:ascii="Times New Roman" w:cs="Times New Roman" w:eastAsia="Times New Roman" w:hAnsi="Times New Roman"/>
          <w:sz w:val="18"/>
          <w:szCs w:val="18"/>
          <w:color w:val="auto"/>
        </w:rPr>
      </w:pPr>
    </w:p>
    <w:p>
      <w:pPr>
        <w:ind w:firstLine="419"/>
        <w:spacing w:after="0" w:line="256" w:lineRule="auto"/>
        <w:tabs>
          <w:tab w:leader="none" w:pos="7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any real property. The Company has good and marketable title to all personal property (excluding intellectual property) owned by it which is material to the business of the Company, in each case free and clear of all liens, encumbrances and defects except such as do not materially affect the value of such property and do not interfere in any material respect with the use made and proposed to be made of such property by the Company; and any real property and buildings held under lease by the Company is held by it under valid, subsisting and, to the knowledge of the Company, enforceable leases with such exceptions as are not material and do not materially interfere with the use made and proposed to be made of such property and buildings by the Company.</w:t>
      </w:r>
    </w:p>
    <w:p>
      <w:pPr>
        <w:spacing w:after="0" w:line="79" w:lineRule="exact"/>
        <w:rPr>
          <w:rFonts w:ascii="Times New Roman" w:cs="Times New Roman" w:eastAsia="Times New Roman" w:hAnsi="Times New Roman"/>
          <w:sz w:val="18"/>
          <w:szCs w:val="18"/>
          <w:color w:val="auto"/>
        </w:rPr>
      </w:pPr>
    </w:p>
    <w:p>
      <w:pPr>
        <w:ind w:right="60" w:firstLine="419"/>
        <w:spacing w:after="0" w:line="255"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set forth in the Registration Statement, the Prospectus or the Time of Sale Prospectus, or as would not, singly or in the aggregate, reasonably be expected to have a material adverse effect on the Company: (i) the Company owns or has a valid and enforceable right or license to use, all patents, inventions, copyrights, know how (including trade secrets and other unpatented and/or unpatentable proprietary or confidential information, systems or procedures), software, domain names, trademarks, service marks, trade names, logos and any and all other worldwide intellectual property and proprietary rights (including all registrations and applications for, and all goodwill associated with, any of the foregoing)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used in, or reasonably necessary or expected to be material to the conduct of, its business as currently conducted and as proposed to be conducted,</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3" w:name="page14"/>
    <w:bookmarkEnd w:id="13"/>
    <w:p>
      <w:pPr>
        <w:ind w:left="4" w:right="1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each case as such business is described in the Registration Statement, the Prospectus, and the Time of Sale Prospectus; (ii) to the Company’s knowledge, the Intellectual Property Rights owned by and exclusively licensed to the Company, are valid, subsisting and enforceable; (iii) no Intellectual Property Rights owned by the Company and, to the Company’s knowledge, no Intellectual Property Rights licensed to the Company, have been held invalid or unenforceable by a final decision of a court or other governmental agency of competent jurisdiction which is unappealable or unappealed within the time allowed for appeal; (iv) all Intellectual Property Rights owned by the Company are owned free and clear of all liens and encumbrances, except such non-exclusive rights and licenses as are granted to third parties (including CROs and other vendors) in the ordinary course of business; (v) to the Company’s knowledge, there are no defects in any of the patents or patent applications within the Intellectual Property Rights owned by and exclusively licensed to the Company; (vi) there is no pending, or to the Company’s knowledge, threatened (in writing) action, suit, proceeding or claim by others, and the Company has not received any written notice,</w:t>
      </w:r>
    </w:p>
    <w:p>
      <w:pPr>
        <w:spacing w:after="0" w:line="6" w:lineRule="exact"/>
        <w:rPr>
          <w:sz w:val="20"/>
          <w:szCs w:val="20"/>
          <w:color w:val="auto"/>
        </w:rPr>
      </w:pPr>
    </w:p>
    <w:p>
      <w:pPr>
        <w:ind w:left="4" w:hanging="4"/>
        <w:spacing w:after="0" w:line="251" w:lineRule="auto"/>
        <w:tabs>
          <w:tab w:leader="none" w:pos="2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challenging the Company’s rights in or to any Intellectual Property Rights, (B) challenging the validity, scope or enforceability of any Intellectual Property Rights owned by or exclusively licensed to the Company, or (C) alleging any infringement, misappropriation or other violation by the Company of any Intellectual Property Rights of others, and in each case, the Company is unaware of any facts which the Company reasonably believes would form a reasonable basis for any such action, suit, proceeding or claim; (vii) to the Company’s knowledge, there is no infringement, misappropriation or other violation, and there has been no infringement, misappropriation or other violation, by third parties of any of the Company’s Intellectual Property Rights, whether owned by, or licensed to, the Company; (viii) to the Company’s knowledge, the Company and the conduct of its business does not infringe, misappropriate or otherwise violate, and has not infringed, misappropriated or otherwise violated, any Intellectual Property Rights of others; (ix) the Company has taken reasonable steps necessary to secure its interests in the Intellectual Property Rights by requiring the execution of appropriate confidentiality and invention assignment agreements from the Company’s current and former employees or contractors engaged in or formerly engaged in the development of Intellectual Property Rights for or on behalf of the Company, and to the Company’s knowledge no such agreement has been breached or violated; and (x) the Company uses, and have used, commercially reasonable efforts in accordance with customary industry practice to appropriately maintain the confidentiality of all confidential information of the Company and all information intended by the Company to be maintained as a trade secret and no such information has been disclosed other than pursuant to written confidentiality agreements.</w:t>
      </w:r>
    </w:p>
    <w:p>
      <w:pPr>
        <w:spacing w:after="0" w:line="83"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68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would not, singly or in the aggregate, reasonably be expected to have a material adverse effect on the Company, and except as disclosed in the Registration Statement, the Time of Sale Prospectus and the Prospectus, the Company has complied and is presently in compliance with all of its internal and external privacy policies, its privacy- and data protection-related</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4"/>
          </w:cols>
          <w:pgMar w:left="876" w:top="270" w:right="459" w:bottom="1440" w:gutter="0" w:footer="0" w:header="0"/>
        </w:sectPr>
      </w:pPr>
    </w:p>
    <w:bookmarkStart w:id="14" w:name="page15"/>
    <w:bookmarkEnd w:id="14"/>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contractual obligations, applicable laws, binding industry standards, statutes, binding rules, regulations, judgments and orders of any court or arbitrator or other governmental or regulatory authority, and any other legal obligations, in each case, relating to the collection, use, transfer, import, export, storage, protection, security, disposal, disclosure and other processing by or on behalf of the Company of personal, personally identifiable, household (in the case of household data, to the extent “Personal Information” under the California Consumer Privacy Act), sensitive or regulated information or data (“</w:t>
      </w:r>
      <w:r>
        <w:rPr>
          <w:rFonts w:ascii="Times New Roman" w:cs="Times New Roman" w:eastAsia="Times New Roman" w:hAnsi="Times New Roman"/>
          <w:sz w:val="18"/>
          <w:szCs w:val="18"/>
          <w:b w:val="1"/>
          <w:bCs w:val="1"/>
          <w:color w:val="auto"/>
        </w:rPr>
        <w:t>Data Security Obligations</w:t>
      </w:r>
      <w:r>
        <w:rPr>
          <w:rFonts w:ascii="Times New Roman" w:cs="Times New Roman" w:eastAsia="Times New Roman" w:hAnsi="Times New Roman"/>
          <w:sz w:val="18"/>
          <w:szCs w:val="18"/>
          <w:color w:val="auto"/>
        </w:rPr>
        <w:t>”, and such information and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(ii) the Company has not received any written notification of or written complaint regarding, and is unaware of any other facts that the Company reasonably believes would indicate, its non-compliance with any Data Security Obligation; and (iii) there is no action, suit, proceeding or claim by or before any court or governmental agency, authority or body pending or, to the Company’s knowledge, threatened in writing against the Company alleging non-compliance with any Data Security Obligation.</w:t>
      </w:r>
    </w:p>
    <w:p>
      <w:pPr>
        <w:spacing w:after="0" w:line="80" w:lineRule="exact"/>
        <w:rPr>
          <w:sz w:val="20"/>
          <w:szCs w:val="20"/>
          <w:color w:val="auto"/>
        </w:rPr>
      </w:pPr>
    </w:p>
    <w:p>
      <w:pPr>
        <w:ind w:firstLine="419"/>
        <w:spacing w:after="0" w:line="253" w:lineRule="auto"/>
        <w:tabs>
          <w:tab w:leader="none" w:pos="6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singly or in the aggregate, reasonably be expected to have a material adverse effect on the Company (i) the Company has established, implemented and maintain technical and organizational measures reasonably designed to protect its information technology systems, assets, equipment, computers, systems, websites, networks, hardware, and associated software, applications and databases used in connection with the operation of the Company’s business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and Data; (ii) the Company has used reasonable efforts to implement, establish and maintain, and have established, implemented and maintained, and complied with, reasonable information technology, information security, cybersecurity and data protection controls, policies and procedures designed to maintain and protect the integrity, redundancy and security of all IT Systems and Data and to protect against and prevent security breaches and incidents resulting in destruction, loss, unauthorized distribution, use, access, disablement, misappropriation or modification, outages, or other compromise or misuse of any IT Systems or Data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(iii) to the knowledge of the Company, there has been no such Breach, and the Company has not been notified in writing of and has no knowledge of any event or condition that would reasonably be expected to result in, any such Breach; and (iv) the IT Systems are adequate in capacity and operation for, and operate and perform in all material respects as required in connection with the operation of the business of the Company and, to the knowledge of the Company, are free and clear of all bugs, errors, defects, Trojan horses, time bombs, malware and other corruptants or malicious code.</w:t>
      </w:r>
    </w:p>
    <w:p>
      <w:pPr>
        <w:spacing w:after="0" w:line="79" w:lineRule="exact"/>
        <w:rPr>
          <w:sz w:val="20"/>
          <w:szCs w:val="20"/>
          <w:color w:val="auto"/>
        </w:rPr>
      </w:pPr>
    </w:p>
    <w:p>
      <w:pPr>
        <w:ind w:right="60" w:firstLine="419"/>
        <w:spacing w:after="0" w:line="266" w:lineRule="auto"/>
        <w:tabs>
          <w:tab w:leader="none" w:pos="7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exists, or, to the knowledge of the Company, is imminent; and the Company is not aware of any existing, threatened or imminent labor disturbance by the employees of any of its principal suppliers, manufacturers or contractors that could, singly or in the aggregate, reasonably be expected to have a material adverse effect on the Company.</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5" w:name="page16"/>
    <w:bookmarkEnd w:id="15"/>
    <w:p>
      <w:pPr>
        <w:ind w:right="160" w:firstLine="419"/>
        <w:spacing w:after="0" w:line="258" w:lineRule="auto"/>
        <w:tabs>
          <w:tab w:leader="none" w:pos="7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insured by insurers of recognized financial responsibility against such losses and risks and in such amounts as in the Company’s reasonable judgment are prudent and customary in the businesses in which they are engaged;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have a material adverse effect on the Company.</w:t>
      </w:r>
    </w:p>
    <w:p>
      <w:pPr>
        <w:spacing w:after="0" w:line="75" w:lineRule="exact"/>
        <w:rPr>
          <w:rFonts w:ascii="Times New Roman" w:cs="Times New Roman" w:eastAsia="Times New Roman" w:hAnsi="Times New Roman"/>
          <w:sz w:val="18"/>
          <w:szCs w:val="18"/>
          <w:color w:val="auto"/>
        </w:rPr>
      </w:pPr>
    </w:p>
    <w:p>
      <w:pPr>
        <w:ind w:firstLine="419"/>
        <w:spacing w:after="0" w:line="254" w:lineRule="auto"/>
        <w:tabs>
          <w:tab w:leader="none" w:pos="7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or incorporated by reference in each of the Registration Statement, the Time of Sale Prospectus and the Prospectus, together with the related schedules and notes thereto, comply as to form in all material respects with the applicable requirements of the Securities Act and present fairly in all material respects the financial position of the Company as of the dates shown and its results of operations and cash flows for the periods shown, and such financial statements have been prepared in conformity with U.S. GAAP applied on a consistent basis throughout the periods covered thereby except for any normal year-end adjustments in the Company’s quarterly financial statements. The other financial information included or incorporated by reference in each of the Registration Statement, the Time of Sale Prospectus and the Prospectus has been derived from the accounting records of the Company and presents fairly in all material respects the information shown thereby.</w:t>
      </w:r>
    </w:p>
    <w:p>
      <w:pPr>
        <w:spacing w:after="0" w:line="83" w:lineRule="exact"/>
        <w:rPr>
          <w:rFonts w:ascii="Times New Roman" w:cs="Times New Roman" w:eastAsia="Times New Roman" w:hAnsi="Times New Roman"/>
          <w:sz w:val="18"/>
          <w:szCs w:val="18"/>
          <w:color w:val="auto"/>
        </w:rPr>
      </w:pPr>
    </w:p>
    <w:p>
      <w:pPr>
        <w:ind w:right="40" w:firstLine="419"/>
        <w:spacing w:after="0" w:line="261" w:lineRule="auto"/>
        <w:tabs>
          <w:tab w:leader="none" w:pos="7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industry-related and market-related data included or incorporated by reference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 and, to the extent required, the Company has obtained the written consent to the use of such data from such sources.</w:t>
      </w:r>
    </w:p>
    <w:p>
      <w:pPr>
        <w:spacing w:after="0" w:line="71" w:lineRule="exact"/>
        <w:rPr>
          <w:rFonts w:ascii="Times New Roman" w:cs="Times New Roman" w:eastAsia="Times New Roman" w:hAnsi="Times New Roman"/>
          <w:sz w:val="18"/>
          <w:szCs w:val="18"/>
          <w:color w:val="auto"/>
        </w:rPr>
      </w:pPr>
    </w:p>
    <w:p>
      <w:pPr>
        <w:ind w:right="260" w:firstLine="419"/>
        <w:spacing w:after="0" w:line="258" w:lineRule="auto"/>
        <w:tabs>
          <w:tab w:leader="none" w:pos="7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Deloitte &amp; Touche LLP, who has certified certain financial statements of the Company and delivered its report with respect to the audited financial statements and schedules filed with the Commission as part of the Registration Statement and included or incorporated by reference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6" w:name="page17"/>
    <w:bookmarkEnd w:id="16"/>
    <w:p>
      <w:pPr>
        <w:ind w:firstLine="419"/>
        <w:spacing w:after="0" w:line="254" w:lineRule="auto"/>
        <w:tabs>
          <w:tab w:leader="none" w:pos="7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80" w:lineRule="exact"/>
        <w:rPr>
          <w:rFonts w:ascii="Times New Roman" w:cs="Times New Roman" w:eastAsia="Times New Roman" w:hAnsi="Times New Roman"/>
          <w:sz w:val="18"/>
          <w:szCs w:val="18"/>
          <w:color w:val="auto"/>
        </w:rPr>
      </w:pPr>
    </w:p>
    <w:p>
      <w:pPr>
        <w:ind w:right="140" w:firstLine="419"/>
        <w:spacing w:after="0" w:line="261"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or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71" w:lineRule="exact"/>
        <w:rPr>
          <w:rFonts w:ascii="Times New Roman" w:cs="Times New Roman" w:eastAsia="Times New Roman" w:hAnsi="Times New Roman"/>
          <w:sz w:val="18"/>
          <w:szCs w:val="18"/>
          <w:color w:val="auto"/>
        </w:rPr>
      </w:pPr>
    </w:p>
    <w:p>
      <w:pPr>
        <w:ind w:right="20" w:firstLine="419"/>
        <w:spacing w:after="0" w:line="254"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United States federal, state, local and foreign tax returns required to be filed through the date of this Agreement or have requested extensions thereof (except where the failure to file would not, singly or in the aggregate, reasonably be expected to have a material adverse effect on the Company) and has paid all taxes required to be paid thereon (except for cases in which the failure to file or pay would not, singly or in the aggregate, reasonably be expected to have a material adverse effect on the Company, or, except as currently being contested in good faith and by appropriate proceedings and for which reserves required by U.S. GAAP have been created and maintained in the financial statements of the Company), and no tax deficiency has been determined adversely to the Company which, singly or in the aggregate, has had (nor does the Company have any notice or knowledge of any tax deficiency which could reasonably be expected to be determined adversely to the Company and which could reasonably be expected to have) a material adverse effect on the Company.</w:t>
      </w:r>
    </w:p>
    <w:p>
      <w:pPr>
        <w:spacing w:after="0" w:line="83" w:lineRule="exact"/>
        <w:rPr>
          <w:rFonts w:ascii="Times New Roman" w:cs="Times New Roman" w:eastAsia="Times New Roman" w:hAnsi="Times New Roman"/>
          <w:sz w:val="18"/>
          <w:szCs w:val="18"/>
          <w:color w:val="auto"/>
        </w:rPr>
      </w:pPr>
    </w:p>
    <w:p>
      <w:pPr>
        <w:ind w:right="80" w:firstLine="419"/>
        <w:spacing w:after="0" w:line="266" w:lineRule="auto"/>
        <w:tabs>
          <w:tab w:leader="none" w:pos="6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right="240" w:firstLine="419"/>
        <w:spacing w:after="0" w:line="266" w:lineRule="auto"/>
        <w:tabs>
          <w:tab w:leader="none" w:pos="6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initial confidential submission of the Company’s Registration Statement on Form S-1 (File No. 333-257820) to the Commission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0"/>
          </w:cols>
          <w:pgMar w:left="880" w:top="270" w:right="479" w:bottom="1440" w:gutter="0" w:footer="0" w:header="0"/>
        </w:sectPr>
      </w:pPr>
    </w:p>
    <w:bookmarkStart w:id="17" w:name="page18"/>
    <w:bookmarkEnd w:id="17"/>
    <w:p>
      <w:pPr>
        <w:ind w:right="60" w:firstLine="419"/>
        <w:spacing w:after="0" w:line="256"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 has not alone engaged in any Testing-the-Waters Communication with any person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other than those listed on Schedule III hereto.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Rule 163B of the Securities Act.</w:t>
      </w:r>
    </w:p>
    <w:p>
      <w:pPr>
        <w:spacing w:after="0" w:line="79" w:lineRule="exact"/>
        <w:rPr>
          <w:rFonts w:ascii="Times New Roman" w:cs="Times New Roman" w:eastAsia="Times New Roman" w:hAnsi="Times New Roman"/>
          <w:sz w:val="18"/>
          <w:szCs w:val="18"/>
          <w:color w:val="auto"/>
        </w:rPr>
      </w:pPr>
    </w:p>
    <w:p>
      <w:pPr>
        <w:ind w:firstLine="419"/>
        <w:spacing w:after="0" w:line="254" w:lineRule="auto"/>
        <w:tabs>
          <w:tab w:leader="none" w:pos="6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time of each sale of the Securities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through or on behalf of the Representatives for use therein it being understood and agreed that the only such information furnished by the Underwriters through the Representatives consists of the information described as such in Section 8(b) below.</w:t>
      </w:r>
    </w:p>
    <w:p>
      <w:pPr>
        <w:spacing w:after="0" w:line="83" w:lineRule="exact"/>
        <w:rPr>
          <w:rFonts w:ascii="Times New Roman" w:cs="Times New Roman" w:eastAsia="Times New Roman" w:hAnsi="Times New Roman"/>
          <w:sz w:val="18"/>
          <w:szCs w:val="18"/>
          <w:color w:val="auto"/>
        </w:rPr>
      </w:pPr>
    </w:p>
    <w:p>
      <w:pPr>
        <w:ind w:right="20" w:firstLine="419"/>
        <w:spacing w:after="0" w:line="282" w:lineRule="auto"/>
        <w:tabs>
          <w:tab w:leader="none" w:pos="8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had any securities rated by any “nationally recognized statistical rating organization,” as such term is defined in Section 3(a)(62) of the Exchange Act.</w:t>
      </w:r>
    </w:p>
    <w:p>
      <w:pPr>
        <w:spacing w:after="0" w:line="53" w:lineRule="exact"/>
        <w:rPr>
          <w:rFonts w:ascii="Times New Roman" w:cs="Times New Roman" w:eastAsia="Times New Roman" w:hAnsi="Times New Roman"/>
          <w:sz w:val="18"/>
          <w:szCs w:val="18"/>
          <w:color w:val="auto"/>
        </w:rPr>
      </w:pPr>
    </w:p>
    <w:p>
      <w:pPr>
        <w:ind w:right="100" w:firstLine="419"/>
        <w:spacing w:after="0" w:line="266"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operated at all times and is currently in compliance in all material respects with all applicable statutes, rules, regulations and policies of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and comparable U.S. and foreign regulatory authorities to which they are subject, including the European Medicines Agency (collectively, the “</w:t>
      </w:r>
      <w:r>
        <w:rPr>
          <w:rFonts w:ascii="Times New Roman" w:cs="Times New Roman" w:eastAsia="Times New Roman" w:hAnsi="Times New Roman"/>
          <w:sz w:val="18"/>
          <w:szCs w:val="18"/>
          <w:b w:val="1"/>
          <w:bCs w:val="1"/>
          <w:color w:val="auto"/>
        </w:rPr>
        <w:t>Regulatory Authorities</w:t>
      </w:r>
      <w:r>
        <w:rPr>
          <w:rFonts w:ascii="Times New Roman" w:cs="Times New Roman" w:eastAsia="Times New Roman" w:hAnsi="Times New Roman"/>
          <w:sz w:val="18"/>
          <w:szCs w:val="18"/>
          <w:color w:val="auto"/>
        </w:rPr>
        <w:t>”), including, without limitation:</w:t>
      </w:r>
    </w:p>
    <w:p>
      <w:pPr>
        <w:spacing w:after="0" w:line="6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and the regulations promulgated thereunder;</w:t>
      </w:r>
    </w:p>
    <w:p>
      <w:pPr>
        <w:spacing w:after="0" w:line="117" w:lineRule="exact"/>
        <w:rPr>
          <w:rFonts w:ascii="Times New Roman" w:cs="Times New Roman" w:eastAsia="Times New Roman" w:hAnsi="Times New Roman"/>
          <w:sz w:val="18"/>
          <w:szCs w:val="18"/>
          <w:color w:val="auto"/>
        </w:rPr>
      </w:pPr>
    </w:p>
    <w:p>
      <w:pPr>
        <w:ind w:left="540" w:right="80" w:firstLine="408"/>
        <w:spacing w:after="0" w:line="261" w:lineRule="auto"/>
        <w:tabs>
          <w:tab w:leader="none" w:pos="120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federal, state, local and foreign health care laws, including, without limitation, the U.S. Anti-Kickback Statute (42 U.S.C. Section 1320a-7b(b)), the Civil Monetary Penalties Law (42 U.S.C. § 1320a-7a), the U.S. Civil False Claims Act (31 U.S.C. Section 3729 et seq.), all applicable federal, state, local and all foreign criminal laws relating to health care fraud and abuse, including but not</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880" w:top="270" w:right="479" w:bottom="1440" w:gutter="0" w:footer="0" w:header="0"/>
        </w:sectPr>
      </w:pPr>
    </w:p>
    <w:bookmarkStart w:id="18" w:name="page19"/>
    <w:bookmarkEnd w:id="18"/>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limited to the U.S. False Statements Law (42 U.S.C. Section 1320a-7b(a)), 18 U.S.C. Sections 286 and 287, and the health care fraud</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criminal provisions under the U.S. Health Insurance Portability and Accountability Act of 1996 (42 U.S.C. Section 1320d et seq.), the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Health Information Technology for Economic and Clinical Health Act (42 U.S.C. Section 17921 et seq.), the exclusion law (42</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U.S.C. Section 1320a-7), the statutes, regulations and directives of applicable government funded or sponsored healthcare programs, and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regulations promulgated pursuant to such statutes;</w:t>
      </w:r>
    </w:p>
    <w:p>
      <w:pPr>
        <w:spacing w:after="0" w:line="99" w:lineRule="exact"/>
        <w:rPr>
          <w:sz w:val="20"/>
          <w:szCs w:val="20"/>
          <w:color w:val="auto"/>
        </w:rPr>
      </w:pPr>
    </w:p>
    <w:p>
      <w:pPr>
        <w:ind w:left="540" w:right="320" w:firstLine="408"/>
        <w:spacing w:after="0" w:line="282" w:lineRule="auto"/>
        <w:tabs>
          <w:tab w:leader="none" w:pos="125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Protection and Affordable Care Act of 2010, as amended by the Health Care and Education Reconciliation Act of 2010, the regulations promulgated thereunder;</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Controlled Substances Act (21 U.S.C. Section 801 et seq.);</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Good Manufacturing Practices and Good Laboratory Practices;</w:t>
      </w:r>
    </w:p>
    <w:p>
      <w:pPr>
        <w:spacing w:after="0" w:line="117" w:lineRule="exact"/>
        <w:rPr>
          <w:rFonts w:ascii="Times New Roman" w:cs="Times New Roman" w:eastAsia="Times New Roman" w:hAnsi="Times New Roman"/>
          <w:sz w:val="18"/>
          <w:szCs w:val="18"/>
          <w:color w:val="auto"/>
        </w:rPr>
      </w:pPr>
    </w:p>
    <w:p>
      <w:pPr>
        <w:ind w:left="540" w:right="540" w:firstLine="408"/>
        <w:spacing w:after="0" w:line="282" w:lineRule="auto"/>
        <w:tabs>
          <w:tab w:leader="none" w:pos="124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licensure, quality, safety and accreditation requirements under applicable federal, state, local or foreign laws or regulatory bodies; and</w:t>
      </w:r>
    </w:p>
    <w:p>
      <w:pPr>
        <w:spacing w:after="0" w:line="53" w:lineRule="exact"/>
        <w:rPr>
          <w:rFonts w:ascii="Times New Roman" w:cs="Times New Roman" w:eastAsia="Times New Roman" w:hAnsi="Times New Roman"/>
          <w:sz w:val="18"/>
          <w:szCs w:val="18"/>
          <w:color w:val="auto"/>
        </w:rPr>
      </w:pPr>
    </w:p>
    <w:p>
      <w:pPr>
        <w:ind w:left="540" w:right="360" w:firstLine="408"/>
        <w:spacing w:after="0" w:line="257"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local, state, federal, national, supranational and foreign laws, relating to the regulation of the Company and the ownership, testing, development, manufacture, packaging, processing, use, distribution, marketing, labeling, promotion, sale, offer for sale, storage, import, export or disposal of any product under development, manufactured or distributed by the Company; (clauses</w:t>
      </w:r>
    </w:p>
    <w:p>
      <w:pPr>
        <w:spacing w:after="0" w:line="1" w:lineRule="exact"/>
        <w:rPr>
          <w:rFonts w:ascii="Times New Roman" w:cs="Times New Roman" w:eastAsia="Times New Roman" w:hAnsi="Times New Roman"/>
          <w:sz w:val="18"/>
          <w:szCs w:val="18"/>
          <w:color w:val="auto"/>
        </w:rPr>
      </w:pPr>
    </w:p>
    <w:p>
      <w:pPr>
        <w:ind w:left="760" w:hanging="213"/>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(vii), collectively,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firstLine="419"/>
        <w:spacing w:after="0" w:line="254" w:lineRule="auto"/>
        <w:tabs>
          <w:tab w:leader="none" w:pos="7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studies, tests and preclinical and clinical trials conducted by or on behalf of or sponsored by the Company or in which the Company has participated, were, and if still pending are, being conducted in all material respects in accordance with legally required standard medical and experimental protocols, procedures and controls pursuant to accepted professional scientific research standards and procedures and all applicable Health Care Laws; (ii) the descriptions of the results of such studies, tests and trials contained in the Registration Statement, the Time of Sale Prospectus or the Prospectus are accurate and complete in all material respects and fairly present the data derived from such trials; (iii) the Company has no knowledge of any other studies not described in the Registration Statement, the Time of Sale Prospectus and the Prospectus, the results of which the Company reasonably believes call into question the results described or referred to in the Registration Statement, the Time of Sale Prospectus and the Prospectus, except where such question would not, singly or in the aggregate, reasonably be expected to have a material adverse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19" w:name="page20"/>
    <w:bookmarkEnd w:id="19"/>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on the Company; (iv) the Company has provided the Representatives with all substantive written notices, correspondence and communications provided to the Company from the Regulatory Authorities; and (v) the Company has not received any written notices, correspondence or other communications from any Regulatory Authority or any other governmental entity requiring or threatening the termination, material modification or suspension of any studies or trials that are described in the Registration Statement, the Time of Sale Prospectus and the Prospectus or the results of which are referred to in the Registration Statement, the Time of Sale Prospectus and the Prospectus, and, to the Company’s knowledge, there are no reasonable grounds for the same.</w:t>
      </w:r>
    </w:p>
    <w:p>
      <w:pPr>
        <w:spacing w:after="0" w:line="79" w:lineRule="exact"/>
        <w:rPr>
          <w:sz w:val="20"/>
          <w:szCs w:val="20"/>
          <w:color w:val="auto"/>
        </w:rPr>
      </w:pPr>
    </w:p>
    <w:p>
      <w:pPr>
        <w:ind w:left="4" w:right="20" w:firstLine="419"/>
        <w:spacing w:after="0" w:line="267" w:lineRule="auto"/>
        <w:tabs>
          <w:tab w:leader="none" w:pos="77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Except as would not, individually or in the aggregate, reasonably be expected to have a material adverse effect on the Company, the Company has filed, obtained,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on the date filed (or were corrected or supplemented by a subsequent submission); (ii) the Company has not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the Company is not a party to any corporate integrity agreements, monitoring agreements, consent decrees, settlement orders, or similar agreements with or imposed by any Regulatory Authority or other governmental entity; and</w:t>
      </w:r>
    </w:p>
    <w:p>
      <w:pPr>
        <w:spacing w:after="0" w:line="2" w:lineRule="exact"/>
        <w:rPr>
          <w:rFonts w:ascii="Times New Roman" w:cs="Times New Roman" w:eastAsia="Times New Roman" w:hAnsi="Times New Roman"/>
          <w:sz w:val="17"/>
          <w:szCs w:val="17"/>
          <w:color w:val="auto"/>
        </w:rPr>
      </w:pPr>
    </w:p>
    <w:p>
      <w:pPr>
        <w:jc w:val="both"/>
        <w:ind w:left="4" w:right="100" w:hanging="4"/>
        <w:spacing w:after="0" w:line="253" w:lineRule="auto"/>
        <w:tabs>
          <w:tab w:leader="none" w:pos="3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80" w:lineRule="exact"/>
        <w:rPr>
          <w:rFonts w:ascii="Times New Roman" w:cs="Times New Roman" w:eastAsia="Times New Roman" w:hAnsi="Times New Roman"/>
          <w:sz w:val="18"/>
          <w:szCs w:val="18"/>
          <w:color w:val="auto"/>
        </w:rPr>
      </w:pPr>
    </w:p>
    <w:p>
      <w:pPr>
        <w:ind w:left="4" w:right="380" w:firstLine="419"/>
        <w:spacing w:after="0" w:line="256" w:lineRule="auto"/>
        <w:tabs>
          <w:tab w:leader="none" w:pos="7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failed to file with the Regulatory Authorities any required filing, declaration, listing, registration, report or submission with respect to the Company’s product candidates that are described or referred to in the Time of Sale Prospectus; all such filings, declarations, listings, registrations, reports or submissions were in material compliance with applicable laws when filed, or amended or supplemented in material compliance with applicable laws; and no material deficiencies regarding compliance with applicable law have been asserted by any applicable regulatory authority with respect to any such filings, declarations, listings, registrations, reports or submissions, or amendments or supplements thereof.</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4"/>
          </w:cols>
          <w:pgMar w:left="876" w:top="270" w:right="459" w:bottom="1440" w:gutter="0" w:footer="0" w:header="0"/>
        </w:sectPr>
      </w:pPr>
    </w:p>
    <w:bookmarkStart w:id="20" w:name="page21"/>
    <w:bookmarkEnd w:id="20"/>
    <w:p>
      <w:pPr>
        <w:ind w:left="440" w:firstLine="419"/>
        <w:spacing w:after="0" w:line="258" w:lineRule="auto"/>
        <w:tabs>
          <w:tab w:leader="none" w:pos="11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possesses all certificates, authorizations and permits issued by the appropriate federal, state or foreign regulatory authorities necessary to conduct its business as currently conducted, including, without limitation, from the Regulatory Authorities, and the Company has not received any notice of proceedings relating to the revocation or material modification of any such certificate, authorization or permit which, singly or in the aggregate, if the subject of an unfavorable decision, ruling or finding, would reasonably be expected have a material adverse effect on the Company, except as described in the Time of Sale Prospectus.</w:t>
      </w:r>
    </w:p>
    <w:p>
      <w:pPr>
        <w:spacing w:after="0" w:line="75" w:lineRule="exact"/>
        <w:rPr>
          <w:rFonts w:ascii="Times New Roman" w:cs="Times New Roman" w:eastAsia="Times New Roman" w:hAnsi="Times New Roman"/>
          <w:sz w:val="18"/>
          <w:szCs w:val="18"/>
          <w:color w:val="auto"/>
        </w:rPr>
      </w:pPr>
    </w:p>
    <w:p>
      <w:pPr>
        <w:ind w:left="440" w:firstLine="419"/>
        <w:spacing w:after="0" w:line="253" w:lineRule="auto"/>
        <w:tabs>
          <w:tab w:leader="none" w:pos="11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on the Company, (i) each employee benefit plan, within the meaning of Section 3(3) of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that is sponsored, maintained, administered or contributed to by the Company has been maintained in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(ii) neither the Company nor any member of its “Controlled Group” (defined as any trade or business, whether or not incorporated, that would be regarded as a single employer with the Company under Section 414 of the Code) (x) has ever sponsored, maintained, contributed to or has had any obligation to contribute to, any employee benefit plan that is subject to Title IV of ERISA or any “multiemployer plan” as defined in Section 3(37) of ERISA or (y) has incurred, or reasonably expects to incur, any liability under Title IV of</w:t>
      </w: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ERISA.</w:t>
      </w:r>
    </w:p>
    <w:p>
      <w:pPr>
        <w:spacing w:after="0" w:line="205" w:lineRule="exact"/>
        <w:rPr>
          <w:sz w:val="20"/>
          <w:szCs w:val="20"/>
          <w:color w:val="auto"/>
        </w:rPr>
      </w:pPr>
    </w:p>
    <w:p>
      <w:pPr>
        <w:jc w:val="both"/>
        <w:ind w:right="120" w:firstLine="436"/>
        <w:spacing w:after="0" w:line="258"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Agreements to Sell and Purchase. </w:t>
      </w:r>
      <w:r>
        <w:rPr>
          <w:rFonts w:ascii="Times New Roman" w:cs="Times New Roman" w:eastAsia="Times New Roman" w:hAnsi="Times New Roman"/>
          <w:sz w:val="18"/>
          <w:szCs w:val="18"/>
          <w:color w:val="auto"/>
        </w:rPr>
        <w:t>The Company hereby agrees to sell to the several Underwriters, and each Underwriter, upon the basis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and warranties herein contained, but subject to the terms and conditions hereinafter stated, agrees, severally and not jointly, to purchase from the Company the respective numbers of Firm Securities set forth in Schedule I hereto opposite its name. The purchase price per Firm Share to be paid by the several Underwriters to the Company shall be $2.444 a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and the purchase price per Pre-Funded Warrant to be paid by the several Underwriters to the Company will equal the Purchase Price minus $0.001 (the “</w:t>
      </w:r>
      <w:r>
        <w:rPr>
          <w:rFonts w:ascii="Times New Roman" w:cs="Times New Roman" w:eastAsia="Times New Roman" w:hAnsi="Times New Roman"/>
          <w:sz w:val="18"/>
          <w:szCs w:val="18"/>
          <w:b w:val="1"/>
          <w:bCs w:val="1"/>
          <w:color w:val="auto"/>
        </w:rPr>
        <w:t>Warrant Purchase Price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4,327,500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1" w:name="page22"/>
    <w:bookmarkEnd w:id="21"/>
    <w:p>
      <w:pPr>
        <w:ind w:right="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Securities 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Times New Roman" w:cs="Times New Roman" w:eastAsia="Times New Roman" w:hAnsi="Times New Roman"/>
          <w:sz w:val="17"/>
          <w:szCs w:val="17"/>
          <w:b w:val="1"/>
          <w:bCs w:val="1"/>
          <w:color w:val="auto"/>
        </w:rPr>
        <w:t>Option Closing Date</w:t>
      </w:r>
      <w:r>
        <w:rPr>
          <w:rFonts w:ascii="Times New Roman" w:cs="Times New Roman" w:eastAsia="Times New Roman" w:hAnsi="Times New Roman"/>
          <w:sz w:val="17"/>
          <w:szCs w:val="17"/>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Securities set forth in Schedule I hereto opposite the name of such Underwriter bears to the total number of Firm Securities.</w:t>
      </w:r>
    </w:p>
    <w:p>
      <w:pPr>
        <w:spacing w:after="0" w:line="170" w:lineRule="exact"/>
        <w:rPr>
          <w:sz w:val="20"/>
          <w:szCs w:val="20"/>
          <w:color w:val="auto"/>
        </w:rPr>
      </w:pPr>
    </w:p>
    <w:p>
      <w:pPr>
        <w:ind w:firstLine="436"/>
        <w:spacing w:after="0" w:line="256"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Public Offering</w:t>
      </w:r>
      <w:r>
        <w:rPr>
          <w:rFonts w:ascii="Times New Roman" w:cs="Times New Roman" w:eastAsia="Times New Roman" w:hAnsi="Times New Roman"/>
          <w:sz w:val="18"/>
          <w:szCs w:val="18"/>
          <w:color w:val="auto"/>
        </w:rPr>
        <w:t>. The Company is advised by the Representatives that the Underwriters propose to make a public offering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portions of the Securities as soon after the Registration Statement and this Agreement have become effective as in the Representatives’ judgment is advisable. The Company is further advised by the Representatives that (i) the Shares are to be offered to the public initially at $2.60 a share (the “</w:t>
      </w:r>
      <w:r>
        <w:rPr>
          <w:rFonts w:ascii="Times New Roman" w:cs="Times New Roman" w:eastAsia="Times New Roman" w:hAnsi="Times New Roman"/>
          <w:sz w:val="18"/>
          <w:szCs w:val="18"/>
          <w:b w:val="1"/>
          <w:bCs w:val="1"/>
          <w:color w:val="auto"/>
        </w:rPr>
        <w:t>Public Offering Price</w:t>
      </w:r>
      <w:r>
        <w:rPr>
          <w:rFonts w:ascii="Times New Roman" w:cs="Times New Roman" w:eastAsia="Times New Roman" w:hAnsi="Times New Roman"/>
          <w:sz w:val="18"/>
          <w:szCs w:val="18"/>
          <w:color w:val="auto"/>
        </w:rPr>
        <w:t>”) and to certain dealers selected by the Representatives at a price that represents a concession not in excess of $0.0936 a share under the Public Offering Price and (ii) the Pre-Funded Warrants are to be offered to the public initially at $2.599 per warrant (the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Offering Price per Warrant</w:t>
      </w:r>
      <w:r>
        <w:rPr>
          <w:rFonts w:ascii="Times New Roman" w:cs="Times New Roman" w:eastAsia="Times New Roman" w:hAnsi="Times New Roman"/>
          <w:sz w:val="18"/>
          <w:szCs w:val="18"/>
          <w:color w:val="auto"/>
        </w:rPr>
        <w:t>”) and to certain dealers selected by the Representatives at a price that represents a concession not in excess of $0.0936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under the Public Offering Price per Warrant.</w:t>
      </w:r>
    </w:p>
    <w:p>
      <w:pPr>
        <w:spacing w:after="0" w:line="18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 Company and the Representatives shall instruct purchasers of the Pre-Funded Warrants in the public offering to make payment for the Pre-Funded Warrants on the Closing Date to the Company by wire transfer in immediately available funds to the account specified by the Company, in lieu of payment by the Underwriters for such Warrants, and the Company shall deliver such Warrants to such purchasers on the Closing Date in definitive form against such payment, in lieu of the Company’s obligation to deliver such Warrants to the Underwriters; provided that the Company shall promptly (but in no event later than the Closing Date) pay $0.156 per such Pre-Funded Warrant to the Underwriters by wire transfer in immediately available funds to the account specified by the Representatives.</w:t>
      </w:r>
    </w:p>
    <w:p>
      <w:pPr>
        <w:spacing w:after="0" w:line="18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the purchasers of the Warrants in the public offering fail to make payment to the Company for all or part of the Warrants on the Closing Date, the Representatives may elect, by written notice to the Company, to receive shares of Common Stock in lieu of all or a portion of such Warrants to be delivered to the Underwriters under this Agreement.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70" w:right="499" w:bottom="1440" w:gutter="0" w:footer="0" w:header="0"/>
        </w:sectPr>
      </w:pPr>
    </w:p>
    <w:bookmarkStart w:id="22" w:name="page23"/>
    <w:bookmarkEnd w:id="22"/>
    <w:p>
      <w:pPr>
        <w:ind w:right="120" w:firstLine="436"/>
        <w:spacing w:after="0" w:line="261"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Payment and Delivery. </w:t>
      </w:r>
      <w:r>
        <w:rPr>
          <w:rFonts w:ascii="Times New Roman" w:cs="Times New Roman" w:eastAsia="Times New Roman" w:hAnsi="Times New Roman"/>
          <w:sz w:val="18"/>
          <w:szCs w:val="18"/>
          <w:color w:val="auto"/>
        </w:rPr>
        <w:t>Payment for the Firm Securities shall be made to the Company in Federal or other funds immediately available in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City against delivery of such Firm Securities for the respective accounts of the several Underwriters at 10:00 a.m., New York City time, on November 21, 2022, or at such other time on the same or such other date, not later than November 28, 2022, as shall be designated in writing by the Representatives.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January 3, 2023, as shall be designated in writing by the Representatives.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Firm Securities and Additional Shares shall be registered in such names and in such denominations as the Representatives shall request, in writing, not later than one full business day prior to the Closing Date or the applicable Option Closing Date, as the case may be. The Firm Securities and Additional Shares shall be delivered to the Representatives on the Closing Date or an Option Closing Date, as the case may be, for the respective accounts of the several Underwriters, with any transfer taxes payable in connection with the transfer of the Securities to the Underwriters duly paid, against payment of the Purchase Price and Warrant Purchase Price therefor. The Warrants will be made available for inspection by the Representatives on the business day prior to the Closing Date.</w:t>
      </w:r>
    </w:p>
    <w:p>
      <w:pPr>
        <w:spacing w:after="0" w:line="185" w:lineRule="exact"/>
        <w:rPr>
          <w:sz w:val="20"/>
          <w:szCs w:val="20"/>
          <w:color w:val="auto"/>
        </w:rPr>
      </w:pPr>
    </w:p>
    <w:p>
      <w:pPr>
        <w:ind w:right="240" w:firstLine="436"/>
        <w:spacing w:after="0" w:line="267" w:lineRule="auto"/>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obligations of the Company to sell the Securities to the Underwriters and the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Underwriters to purchase and pay for the Securities on the Closing Date are subject to the condition that the Registration Statement shall have become effective not later than 5:00 p.m. (New York City time) on the date hereof.</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several obligations of the Underwriters are subject to the following further conditions:</w:t>
      </w:r>
    </w:p>
    <w:p>
      <w:pPr>
        <w:spacing w:after="0" w:line="117" w:lineRule="exact"/>
        <w:rPr>
          <w:sz w:val="20"/>
          <w:szCs w:val="20"/>
          <w:color w:val="auto"/>
        </w:rPr>
      </w:pPr>
    </w:p>
    <w:p>
      <w:pPr>
        <w:ind w:left="1100" w:hanging="241"/>
        <w:spacing w:after="0"/>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w:t>
      </w:r>
    </w:p>
    <w:p>
      <w:pPr>
        <w:spacing w:after="0" w:line="117" w:lineRule="exact"/>
        <w:rPr>
          <w:rFonts w:ascii="Times New Roman" w:cs="Times New Roman" w:eastAsia="Times New Roman" w:hAnsi="Times New Roman"/>
          <w:sz w:val="18"/>
          <w:szCs w:val="18"/>
          <w:color w:val="auto"/>
        </w:rPr>
      </w:pPr>
    </w:p>
    <w:p>
      <w:pPr>
        <w:ind w:left="980" w:right="60" w:firstLine="408"/>
        <w:spacing w:after="0" w:line="266" w:lineRule="auto"/>
        <w:tabs>
          <w:tab w:leader="none" w:pos="15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shall be in effect, and, to the Company’s knowledge, no proceeding for such purpose or pursuant to Section 8A under the Securities Act shall be pending before or threatened by the Commission; and</w:t>
      </w:r>
    </w:p>
    <w:p>
      <w:pPr>
        <w:spacing w:after="0" w:line="67" w:lineRule="exact"/>
        <w:rPr>
          <w:rFonts w:ascii="Times New Roman" w:cs="Times New Roman" w:eastAsia="Times New Roman" w:hAnsi="Times New Roman"/>
          <w:sz w:val="18"/>
          <w:szCs w:val="18"/>
          <w:color w:val="auto"/>
        </w:rPr>
      </w:pPr>
    </w:p>
    <w:p>
      <w:pPr>
        <w:ind w:left="980" w:right="440" w:firstLine="408"/>
        <w:spacing w:after="0" w:line="261" w:lineRule="auto"/>
        <w:tabs>
          <w:tab w:leader="none" w:pos="164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development involving a prospective change, in the condition, financial or otherwise, or in the earnings, business or operations of the Company, from that set forth in the Time of Sale Prospectus that, in the Representatives’ judgment, is material and adverse and that makes it, in the Representatives’ judgment, impracticable to market the Securities on the terms and in the manner contemplated in the Time of Sale Prospectus.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8" w:right="479" w:bottom="1440" w:gutter="0" w:footer="0" w:header="0"/>
        </w:sectPr>
      </w:pPr>
    </w:p>
    <w:bookmarkStart w:id="23" w:name="page24"/>
    <w:bookmarkEnd w:id="23"/>
    <w:p>
      <w:pPr>
        <w:ind w:left="440" w:firstLine="419"/>
        <w:spacing w:after="0" w:line="261"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shall have received on the Closing Date a certificate, dated the Closing Date and signed on behalf of the Company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his or her knowledge as to proceedings threatened.</w:t>
      </w:r>
    </w:p>
    <w:p>
      <w:pPr>
        <w:spacing w:after="0" w:line="117" w:lineRule="exact"/>
        <w:rPr>
          <w:sz w:val="20"/>
          <w:szCs w:val="20"/>
          <w:color w:val="auto"/>
        </w:rPr>
      </w:pPr>
    </w:p>
    <w:p>
      <w:pPr>
        <w:ind w:left="440" w:firstLine="419"/>
        <w:spacing w:after="0" w:line="261" w:lineRule="auto"/>
        <w:tabs>
          <w:tab w:leader="none" w:pos="11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Wilson Sonsini Goodrich &amp; Rosati Professional Corporation (“</w:t>
      </w:r>
      <w:r>
        <w:rPr>
          <w:rFonts w:ascii="Times New Roman" w:cs="Times New Roman" w:eastAsia="Times New Roman" w:hAnsi="Times New Roman"/>
          <w:sz w:val="18"/>
          <w:szCs w:val="18"/>
          <w:b w:val="1"/>
          <w:bCs w:val="1"/>
          <w:color w:val="auto"/>
        </w:rPr>
        <w:t>WSGR</w:t>
      </w:r>
      <w:r>
        <w:rPr>
          <w:rFonts w:ascii="Times New Roman" w:cs="Times New Roman" w:eastAsia="Times New Roman" w:hAnsi="Times New Roman"/>
          <w:sz w:val="18"/>
          <w:szCs w:val="18"/>
          <w:color w:val="auto"/>
        </w:rPr>
        <w:t>”), outside counsel for the Company, dated the Closing Date, in form and substance reasonably satisfactory to the Representatives. The Underwriters shall have received on the Closing Date an opinion of WSGR, outside intellectual property counsel for the Company dated the Closing Date, in form and substance reasonably satisfactory to the Representatives.</w:t>
      </w:r>
    </w:p>
    <w:p>
      <w:pPr>
        <w:spacing w:after="0" w:line="71"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Cooley LLP, outside intellectual property counsel for the Company,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Davis Polk &amp; Wardwell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Davis Polk</w:t>
      </w:r>
      <w:r>
        <w:rPr>
          <w:rFonts w:ascii="Times New Roman" w:cs="Times New Roman" w:eastAsia="Times New Roman" w:hAnsi="Times New Roman"/>
          <w:sz w:val="18"/>
          <w:szCs w:val="18"/>
          <w:color w:val="auto"/>
        </w:rPr>
        <w:t>”), counsel for the Underwriters, dated the Closing Date, in form and substance reasonably satisfactory to the Representatives.</w:t>
      </w:r>
    </w:p>
    <w:p>
      <w:pPr>
        <w:spacing w:after="0" w:line="20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negative assurance letters to be delivered pursuant to Sections 5(c) and 5(e) above, WSGR and Davis Polk may state that their opinions and beliefs are based upon their participation in the preparation of the Registration Statement, the Time of Sale Prospectus and the Prospectus and any amendments or supplements thereto (other than the documents incorporated by reference) and upon review and discussion of the contents thereof (including documents incorporated by reference), but are without independent check or verification, except as specified.</w:t>
      </w:r>
    </w:p>
    <w:p>
      <w:pPr>
        <w:spacing w:after="0" w:line="18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opinions of WSGR and Cooley LLP described in Section 5(c) and 5(d), respectively, above shall be rendered to the Underwriters at the request of the Company and shall so state therein.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24" w:name="page25"/>
    <w:bookmarkEnd w:id="24"/>
    <w:p>
      <w:pPr>
        <w:ind w:right="60" w:firstLine="419"/>
        <w:spacing w:after="0" w:line="258"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Underwriters shall have received, on each of the date hereof and the Closing Date, a letter dated the date hereof or the Closing Date, as the case may be, in form and substance reasonably satisfactory to the Underwriters, from Deloitte &amp; Touche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Closing Date shall use a “cut-off date” not earlier than the date hereof.</w:t>
      </w:r>
    </w:p>
    <w:p>
      <w:pPr>
        <w:spacing w:after="0" w:line="75" w:lineRule="exact"/>
        <w:rPr>
          <w:rFonts w:ascii="Times New Roman" w:cs="Times New Roman" w:eastAsia="Times New Roman" w:hAnsi="Times New Roman"/>
          <w:sz w:val="18"/>
          <w:szCs w:val="18"/>
          <w:color w:val="auto"/>
        </w:rPr>
      </w:pPr>
    </w:p>
    <w:p>
      <w:pPr>
        <w:ind w:right="220" w:firstLine="419"/>
        <w:spacing w:after="0" w:line="261" w:lineRule="auto"/>
        <w:tabs>
          <w:tab w:leader="none" w:pos="6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each substantially in the form of Exhibit A hereto, between the Representatives and certain shareholders, officers and directors of the Company relating to restrictions on sales and certain other dispositions of shares of Common Stock or certain other securities, delivered to the Representatives on or before the date hereof (the “</w:t>
      </w:r>
      <w:r>
        <w:rPr>
          <w:rFonts w:ascii="Times New Roman" w:cs="Times New Roman" w:eastAsia="Times New Roman" w:hAnsi="Times New Roman"/>
          <w:sz w:val="18"/>
          <w:szCs w:val="18"/>
          <w:b w:val="1"/>
          <w:bCs w:val="1"/>
          <w:color w:val="auto"/>
        </w:rPr>
        <w:t>Lock-Up Agreements</w:t>
      </w:r>
      <w:r>
        <w:rPr>
          <w:rFonts w:ascii="Times New Roman" w:cs="Times New Roman" w:eastAsia="Times New Roman" w:hAnsi="Times New Roman"/>
          <w:sz w:val="18"/>
          <w:szCs w:val="18"/>
          <w:color w:val="auto"/>
        </w:rPr>
        <w:t>”), shall be in full force and effect on the Closing Date.</w:t>
      </w:r>
    </w:p>
    <w:p>
      <w:pPr>
        <w:spacing w:after="0" w:line="71"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several obligations of the Underwriters to purchase Additional Shares hereunder are subject to the delivery to the Representatives on the applicable Option Closing Date of the following:</w:t>
      </w:r>
    </w:p>
    <w:p>
      <w:pPr>
        <w:spacing w:after="0" w:line="53" w:lineRule="exact"/>
        <w:rPr>
          <w:rFonts w:ascii="Times New Roman" w:cs="Times New Roman" w:eastAsia="Times New Roman" w:hAnsi="Times New Roman"/>
          <w:sz w:val="18"/>
          <w:szCs w:val="18"/>
          <w:color w:val="auto"/>
        </w:rPr>
      </w:pPr>
    </w:p>
    <w:p>
      <w:pPr>
        <w:ind w:left="540" w:right="280" w:firstLine="408"/>
        <w:spacing w:after="0" w:line="266" w:lineRule="auto"/>
        <w:tabs>
          <w:tab w:leader="none" w:pos="115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and signed on behalf of the Company by an executive officer of the Company, confirming that the certificate delivered on the Closing Date pursuant to Section 5(b) hereof remains true and correct as of such Option Closing Date;</w:t>
      </w:r>
    </w:p>
    <w:p>
      <w:pPr>
        <w:spacing w:after="0" w:line="67" w:lineRule="exact"/>
        <w:rPr>
          <w:rFonts w:ascii="Times New Roman" w:cs="Times New Roman" w:eastAsia="Times New Roman" w:hAnsi="Times New Roman"/>
          <w:sz w:val="18"/>
          <w:szCs w:val="18"/>
          <w:color w:val="auto"/>
        </w:rPr>
      </w:pPr>
    </w:p>
    <w:p>
      <w:pPr>
        <w:ind w:left="540" w:firstLine="408"/>
        <w:spacing w:after="0" w:line="258" w:lineRule="auto"/>
        <w:tabs>
          <w:tab w:leader="none" w:pos="120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WSGR, outside counsel for the Company, dated the Option Closing Date, relating to the Additional Shares to be purchased on such Option Closing Date and otherwise to the same effect as the opinion and negative assurance letter required by Section 5(c) hereof; and an opinion of WSGR, outside intellectual property counsel for the Company, dated the Option Closing Date, relating to the Additional Shares to be purchased on such Option Closing Date and otherwise to the same effect as the opinion required by Section 5(c) hereof;</w:t>
      </w:r>
    </w:p>
    <w:p>
      <w:pPr>
        <w:spacing w:after="0" w:line="75" w:lineRule="exact"/>
        <w:rPr>
          <w:rFonts w:ascii="Times New Roman" w:cs="Times New Roman" w:eastAsia="Times New Roman" w:hAnsi="Times New Roman"/>
          <w:sz w:val="18"/>
          <w:szCs w:val="18"/>
          <w:color w:val="auto"/>
        </w:rPr>
      </w:pPr>
    </w:p>
    <w:p>
      <w:pPr>
        <w:ind w:left="540" w:right="80" w:firstLine="408"/>
        <w:spacing w:after="0" w:line="266" w:lineRule="auto"/>
        <w:tabs>
          <w:tab w:leader="none" w:pos="125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Cooley LLP, outside intellectual property counsel for the Company, dated the Option Closing Date, relating to the Additional Shares to be purchased on such Option Closing Date and otherwise to the same effect as the opinion required by Section 5(d) hereof;</w:t>
      </w:r>
    </w:p>
    <w:p>
      <w:pPr>
        <w:spacing w:after="0" w:line="67" w:lineRule="exact"/>
        <w:rPr>
          <w:rFonts w:ascii="Times New Roman" w:cs="Times New Roman" w:eastAsia="Times New Roman" w:hAnsi="Times New Roman"/>
          <w:sz w:val="18"/>
          <w:szCs w:val="18"/>
          <w:color w:val="auto"/>
        </w:rPr>
      </w:pPr>
    </w:p>
    <w:p>
      <w:pPr>
        <w:ind w:left="540" w:firstLine="408"/>
        <w:spacing w:after="0" w:line="266" w:lineRule="auto"/>
        <w:tabs>
          <w:tab w:leader="none" w:pos="124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Davis Polk, counsel for the Underwriters, dated the Option Closing Date, relating to the Additional Shares to be purchased on such Option Closing Date and otherwise to the same effect as the opinion and negative assurance letter required by Section 5(e) hereof;</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40"/>
          </w:cols>
          <w:pgMar w:left="880" w:top="270" w:right="479" w:bottom="1440" w:gutter="0" w:footer="0" w:header="0"/>
        </w:sectPr>
      </w:pPr>
    </w:p>
    <w:bookmarkStart w:id="25" w:name="page26"/>
    <w:bookmarkEnd w:id="25"/>
    <w:p>
      <w:pPr>
        <w:ind w:left="544" w:right="240" w:firstLine="408"/>
        <w:spacing w:after="0" w:line="261" w:lineRule="auto"/>
        <w:tabs>
          <w:tab w:leader="none" w:pos="1199"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letter dated the Option Closing Date, in form and substance satisfactory to the Representatives, from Deloitte &amp; Touche LLP, independent public accountants, substantially in the same form and substance as the letter furnished to the Underwriters pursuant to Section 5(f)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Option Closing Date shall use a “cut-off date” not earlier than two business days prior to such Option Closing Date; and</w:t>
      </w:r>
    </w:p>
    <w:p>
      <w:pPr>
        <w:spacing w:after="0" w:line="71" w:lineRule="exact"/>
        <w:rPr>
          <w:rFonts w:ascii="Times New Roman" w:cs="Times New Roman" w:eastAsia="Times New Roman" w:hAnsi="Times New Roman"/>
          <w:sz w:val="18"/>
          <w:szCs w:val="18"/>
          <w:color w:val="auto"/>
        </w:rPr>
      </w:pPr>
    </w:p>
    <w:p>
      <w:pPr>
        <w:ind w:left="544" w:right="120" w:firstLine="408"/>
        <w:spacing w:after="0" w:line="266" w:lineRule="auto"/>
        <w:tabs>
          <w:tab w:leader="none" w:pos="1249"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17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227" w:lineRule="exact"/>
        <w:rPr>
          <w:rFonts w:ascii="Times New Roman" w:cs="Times New Roman" w:eastAsia="Times New Roman" w:hAnsi="Times New Roman"/>
          <w:sz w:val="18"/>
          <w:szCs w:val="18"/>
          <w:color w:val="auto"/>
        </w:rPr>
      </w:pPr>
    </w:p>
    <w:p>
      <w:pPr>
        <w:ind w:left="4" w:firstLine="419"/>
        <w:spacing w:after="0" w:line="256" w:lineRule="auto"/>
        <w:tabs>
          <w:tab w:leader="none" w:pos="6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without charge, five signed copies of the Registration Statement (including exhibits thereto and documents incorporated by reference) and for delivery to each other Underwriter a conformed copy of the Registration Statement (without exhibits thereto and documents incorporated by reference)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and documents incorporated by reference therein and any supplements and amendments thereto or to the Registration Statement as the Representatives may reasonably request.</w:t>
      </w:r>
    </w:p>
    <w:p>
      <w:pPr>
        <w:spacing w:after="0" w:line="79" w:lineRule="exact"/>
        <w:rPr>
          <w:rFonts w:ascii="Times New Roman" w:cs="Times New Roman" w:eastAsia="Times New Roman" w:hAnsi="Times New Roman"/>
          <w:sz w:val="18"/>
          <w:szCs w:val="18"/>
          <w:color w:val="auto"/>
        </w:rPr>
      </w:pPr>
    </w:p>
    <w:p>
      <w:pPr>
        <w:ind w:left="4" w:right="60" w:firstLine="419"/>
        <w:spacing w:after="0" w:line="261" w:lineRule="auto"/>
        <w:tabs>
          <w:tab w:leader="none" w:pos="68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objects, and to file with the Commission within the applicable period specified in Rule 424(b) under the Securities Act any prospectus required to be filed pursuant to such Rule.</w:t>
      </w:r>
    </w:p>
    <w:p>
      <w:pPr>
        <w:spacing w:after="0" w:line="71"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6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objects.</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4"/>
          </w:cols>
          <w:pgMar w:left="876" w:top="270" w:right="459" w:bottom="1440" w:gutter="0" w:footer="0" w:header="0"/>
        </w:sectPr>
      </w:pPr>
    </w:p>
    <w:bookmarkStart w:id="26" w:name="page27"/>
    <w:bookmarkEnd w:id="26"/>
    <w:p>
      <w:pPr>
        <w:ind w:right="120" w:firstLine="419"/>
        <w:spacing w:after="0" w:line="266"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67" w:lineRule="exact"/>
        <w:rPr>
          <w:rFonts w:ascii="Times New Roman" w:cs="Times New Roman" w:eastAsia="Times New Roman" w:hAnsi="Times New Roman"/>
          <w:sz w:val="18"/>
          <w:szCs w:val="18"/>
          <w:color w:val="auto"/>
        </w:rPr>
      </w:pPr>
    </w:p>
    <w:p>
      <w:pPr>
        <w:ind w:right="80" w:firstLine="419"/>
        <w:spacing w:after="0" w:line="253" w:lineRule="auto"/>
        <w:tabs>
          <w:tab w:leader="none" w:pos="6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86" w:lineRule="exact"/>
        <w:rPr>
          <w:rFonts w:ascii="Times New Roman" w:cs="Times New Roman" w:eastAsia="Times New Roman" w:hAnsi="Times New Roman"/>
          <w:sz w:val="18"/>
          <w:szCs w:val="18"/>
          <w:color w:val="auto"/>
        </w:rPr>
      </w:pPr>
    </w:p>
    <w:p>
      <w:pPr>
        <w:ind w:firstLine="419"/>
        <w:spacing w:after="0" w:line="253"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Securities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Securities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40"/>
          </w:cols>
          <w:pgMar w:left="880" w:top="270" w:right="479" w:bottom="1440" w:gutter="0" w:footer="0" w:header="0"/>
        </w:sectPr>
      </w:pPr>
    </w:p>
    <w:bookmarkStart w:id="27" w:name="page28"/>
    <w:bookmarkEnd w:id="27"/>
    <w:p>
      <w:pPr>
        <w:jc w:val="both"/>
        <w:ind w:left="4" w:right="60" w:firstLine="419"/>
        <w:spacing w:after="0" w:line="261" w:lineRule="auto"/>
        <w:tabs>
          <w:tab w:leader="none" w:pos="68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endeavor to qualify the Securities for offer and sale under the securities or Blue Sky laws of such jurisdictions as the Representatives shall reasonably request; provided, however, that nothing contained herein shall require the Company to qualify to do business in any jurisdiction, to execute a general consent to service of process in any jurisdiction or to subject itself to taxation in any jurisdiction in which it is not otherwise subject.</w:t>
      </w:r>
    </w:p>
    <w:p>
      <w:pPr>
        <w:spacing w:after="0" w:line="71" w:lineRule="exact"/>
        <w:rPr>
          <w:rFonts w:ascii="Times New Roman" w:cs="Times New Roman" w:eastAsia="Times New Roman" w:hAnsi="Times New Roman"/>
          <w:sz w:val="18"/>
          <w:szCs w:val="18"/>
          <w:color w:val="auto"/>
        </w:rPr>
      </w:pPr>
    </w:p>
    <w:p>
      <w:pPr>
        <w:ind w:left="4" w:right="120" w:firstLine="419"/>
        <w:spacing w:after="0" w:line="261" w:lineRule="auto"/>
        <w:tabs>
          <w:tab w:leader="none" w:pos="68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(which may be satisfied by filing with the Commission on its Electronic Data Gathering, Analysis and Retrieval System)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71" w:lineRule="exact"/>
        <w:rPr>
          <w:rFonts w:ascii="Times New Roman" w:cs="Times New Roman" w:eastAsia="Times New Roman" w:hAnsi="Times New Roman"/>
          <w:sz w:val="18"/>
          <w:szCs w:val="18"/>
          <w:color w:val="auto"/>
        </w:rPr>
      </w:pPr>
    </w:p>
    <w:p>
      <w:pPr>
        <w:ind w:left="4" w:right="20" w:firstLine="419"/>
        <w:spacing w:after="0" w:line="268" w:lineRule="auto"/>
        <w:tabs>
          <w:tab w:leader="none" w:pos="64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Securities under the Securities Act, including the costs of reproducing and distributing of each of the Warrants,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related to the transfer and delivery of the Securities to the Underwriters, including any transfer or other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Securities by the Financial Industry Regulatory Authority (provided, that the amount payable by the Company with respect to fees and disbursements of counsel for the Underwriters pursuant to subsections (iii) and (iv) shall not exceed $20,000), (v) all costs and expenses incident to listing the Securities on the Nasdaq Global Select Market, (vi) the cost of printing certificates representing the Securities, (vii) the costs and charges of any transfer agent, registrar or depositary, (viii)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4"/>
          </w:cols>
          <w:pgMar w:left="876" w:top="270" w:right="459" w:bottom="1440" w:gutter="0" w:footer="0" w:header="0"/>
        </w:sectPr>
      </w:pPr>
    </w:p>
    <w:bookmarkStart w:id="28" w:name="page29"/>
    <w:bookmarkEnd w:id="2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presentations with the prior approval of the Company, any pre-approved travel and lodging expenses of the representatives and officers of the Company and any such consultants, and the cost of any aircraft chartered with the Company’s prior written consent in connection with the road show,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Securities by them and any advertising expenses connected with any offers they may make.</w:t>
      </w:r>
    </w:p>
    <w:p>
      <w:pPr>
        <w:spacing w:after="0" w:line="81" w:lineRule="exact"/>
        <w:rPr>
          <w:sz w:val="20"/>
          <w:szCs w:val="20"/>
          <w:color w:val="auto"/>
        </w:rPr>
      </w:pPr>
    </w:p>
    <w:p>
      <w:pPr>
        <w:ind w:right="40" w:firstLine="419"/>
        <w:spacing w:after="0" w:line="266" w:lineRule="auto"/>
        <w:tabs>
          <w:tab w:leader="none" w:pos="6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Representatives if the Company ceases to be an Emerging Growth Company at any time prior to the later of (i) completion of the distribution of the Securities within the meaning of the Securities Act and (ii) completion of the Restricted Period (as defined in this Section 6).</w:t>
      </w:r>
    </w:p>
    <w:p>
      <w:pPr>
        <w:spacing w:after="0" w:line="67"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spacing w:after="0" w:line="79" w:lineRule="exact"/>
        <w:rPr>
          <w:rFonts w:ascii="Times New Roman" w:cs="Times New Roman" w:eastAsia="Times New Roman" w:hAnsi="Times New Roman"/>
          <w:sz w:val="18"/>
          <w:szCs w:val="18"/>
          <w:color w:val="auto"/>
        </w:rPr>
      </w:pPr>
    </w:p>
    <w:p>
      <w:pPr>
        <w:jc w:val="both"/>
        <w:ind w:right="300" w:firstLine="419"/>
        <w:spacing w:after="0" w:line="261" w:lineRule="auto"/>
        <w:tabs>
          <w:tab w:leader="none" w:pos="6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71" w:lineRule="exact"/>
        <w:rPr>
          <w:rFonts w:ascii="Times New Roman" w:cs="Times New Roman" w:eastAsia="Times New Roman" w:hAnsi="Times New Roman"/>
          <w:sz w:val="18"/>
          <w:szCs w:val="18"/>
          <w:color w:val="auto"/>
        </w:rPr>
      </w:pPr>
    </w:p>
    <w:p>
      <w:pPr>
        <w:ind w:right="120" w:firstLine="419"/>
        <w:spacing w:after="0" w:line="258" w:lineRule="auto"/>
        <w:tabs>
          <w:tab w:leader="none" w:pos="7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also covenants with each Underwriter that, without the prior written consent of the Representatives on behalf of the Underwriters, it will not, and will not publicly disclose an intention to, during the period ending 90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70" w:right="459" w:bottom="1440" w:gutter="0" w:footer="0" w:header="0"/>
        </w:sectPr>
      </w:pPr>
    </w:p>
    <w:bookmarkStart w:id="29" w:name="page30"/>
    <w:bookmarkEnd w:id="29"/>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72" w:lineRule="exact"/>
        <w:rPr>
          <w:sz w:val="20"/>
          <w:szCs w:val="20"/>
          <w:color w:val="auto"/>
        </w:rPr>
      </w:pPr>
    </w:p>
    <w:p>
      <w:pPr>
        <w:ind w:left="540" w:firstLine="7"/>
        <w:spacing w:after="0" w:line="252" w:lineRule="auto"/>
        <w:tabs>
          <w:tab w:leader="none" w:pos="8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Section 6(m)(i) shall not apply to (A) the Securities to be sold hereunder, including, for the avoidance of doubt, the issuance by the Company of Warrant Shares upon the exercise of the Pre-Funded Warrants (B) the issuance by the Company of shares of Common Stock upon the exercise of an option or warrant, vesting or settlement of restricted stock or restricted stock units or the conversion of a security outstanding on the date hereof as described in each of the Time of Sale Prospectus and Prospectus, (C) the establishment of a trading plan on behalf of a shareholder, officer or director of the Company pursuant to Rule 10b5-1 under the Exchange Act for the transfer of shares of Common Stock, provided that (1) such plan does not provide for the transfer of Common Stock during the Restricted Period and (2)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(D) the issuance of shares of, or options to purchase shares of, Common Stock or securities convertible into or exercisable for Common Stock (whether upon the exercise of stock options or otherwise) to employees, officers, directors, advisors, or consultants of the Company pursuant to the terms of an equity compensation plan in effect on the date hereof and described in the Time of Sale Prospectus and Prospectus, provided that, prior to the issuance of any such shares or the grant of any such options to a director or executive officer, the Company shall cause each recipient of such grant or issuance to execute and deliver a Lock-Up Agreement, substantially in the form of Exhibit A hereto, (E) the filing of any registration statement on Form S-8 with respect to the employee benefit plans described in the Time of Sale Prospectus and Prospectus, (F) the sale or issuance of or entry into an agreement to sell or issue shares of Common Stock in connection with the Company’s acquisition of one or more businesses, products or technologies (whether by means of merger, stock purchase, asset purchase or otherwise) or in connection with joint ventures, commercial relationships or other strategic transactions, provided, that, the aggregate number of shares of Common Stock that the Company may sell or issue or agree to sell or issue, or that may be issuable upon conversion or exercise of all other securities that the Company may sell or issue or agree to sell or issue, pursuant to this clause (F) shall not exceed 10% of the total number of shares of</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880" w:top="270" w:right="459" w:bottom="1440" w:gutter="0" w:footer="0" w:header="0"/>
        </w:sectPr>
      </w:pPr>
    </w:p>
    <w:bookmarkStart w:id="30" w:name="page31"/>
    <w:bookmarkEnd w:id="30"/>
    <w:p>
      <w:pPr>
        <w:ind w:left="980"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Stock issued and outstanding immediately following the completion of the transactions contemplated by this Agreement (giving effect to the Warrant Shares issuable upon exercise of the Pre-Funded Warrants), and provided further, that the Company shall cause each recipient of such shares to execute and deliver to you, on or prior to such issuance, a Lock-Up Agreement, substantially in the form of Exhibit A hereto.</w:t>
      </w:r>
    </w:p>
    <w:p>
      <w:pPr>
        <w:spacing w:after="0" w:line="178" w:lineRule="exact"/>
        <w:rPr>
          <w:sz w:val="20"/>
          <w:szCs w:val="20"/>
          <w:color w:val="auto"/>
        </w:rPr>
      </w:pPr>
    </w:p>
    <w:p>
      <w:pPr>
        <w:ind w:right="380" w:firstLine="436"/>
        <w:spacing w:after="0" w:line="267"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and not jointly, covenants with the Company not to take any action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73"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Indemnity and Contribution. </w:t>
      </w:r>
      <w:r>
        <w:rPr>
          <w:rFonts w:ascii="Times New Roman" w:cs="Times New Roman" w:eastAsia="Times New Roman" w:hAnsi="Times New Roman"/>
          <w:sz w:val="18"/>
          <w:szCs w:val="18"/>
          <w:color w:val="auto"/>
        </w:rPr>
        <w:t>(a) The Company agrees to indemnify and hold harmless each Underwriter, each person, if any, who controls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Underwriter Information as defined in paragraph (b) below.</w:t>
      </w:r>
    </w:p>
    <w:p>
      <w:pPr>
        <w:spacing w:after="0" w:line="79"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1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1" w:name="page32"/>
    <w:bookmarkEnd w:id="31"/>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preliminary prospectus, the Time of Sale Prospectus, any issuer free writing prospectus, road show or the Prospectus or any amendment or supplement thereto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 it being understood and agreed that the only such information furnished by any Underwriter through the Representatives consists of the following information in the Prospectus: (i) the concession and reallowance figures appearing in the third paragraph under the caption “Underwriting” and (ii) the information contained in the thirteenth paragraph relating to stabilizing transactions under the caption “Underwriting”.</w:t>
      </w:r>
    </w:p>
    <w:p>
      <w:pPr>
        <w:spacing w:after="0" w:line="75" w:lineRule="exact"/>
        <w:rPr>
          <w:sz w:val="20"/>
          <w:szCs w:val="20"/>
          <w:color w:val="auto"/>
        </w:rPr>
      </w:pPr>
    </w:p>
    <w:p>
      <w:pPr>
        <w:ind w:left="4" w:firstLine="419"/>
        <w:spacing w:after="0" w:line="268" w:lineRule="auto"/>
        <w:tabs>
          <w:tab w:leader="none" w:pos="67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shall promptly notify the person against whom such indemnity may be sought (the “</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w:t>
      </w:r>
    </w:p>
    <w:p>
      <w:pPr>
        <w:spacing w:after="0" w:line="2" w:lineRule="exact"/>
        <w:rPr>
          <w:rFonts w:ascii="Times New Roman" w:cs="Times New Roman" w:eastAsia="Times New Roman" w:hAnsi="Times New Roman"/>
          <w:sz w:val="17"/>
          <w:szCs w:val="17"/>
          <w:color w:val="auto"/>
        </w:rPr>
      </w:pPr>
    </w:p>
    <w:p>
      <w:pPr>
        <w:ind w:left="4" w:right="20" w:hanging="4"/>
        <w:spacing w:after="0" w:line="251" w:lineRule="auto"/>
        <w:tabs>
          <w:tab w:leader="none" w:pos="2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4"/>
          </w:cols>
          <w:pgMar w:left="876" w:top="270" w:right="459" w:bottom="1440" w:gutter="0" w:footer="0" w:header="0"/>
        </w:sectPr>
      </w:pPr>
    </w:p>
    <w:bookmarkStart w:id="32" w:name="page33"/>
    <w:bookmarkEnd w:id="3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any statement as to or an admission of fault, culpability or failure to act by or on behalf of any indemnified party.</w:t>
      </w:r>
    </w:p>
    <w:p>
      <w:pPr>
        <w:spacing w:after="0" w:line="72" w:lineRule="exact"/>
        <w:rPr>
          <w:sz w:val="20"/>
          <w:szCs w:val="20"/>
          <w:color w:val="auto"/>
        </w:rPr>
      </w:pPr>
    </w:p>
    <w:p>
      <w:pPr>
        <w:ind w:firstLine="419"/>
        <w:spacing w:after="0" w:line="252"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(after deducting underwriting discounts and commissions but before deducting expenses) received by the Company and the total underwriting discounts and commissions received by the Underwriters, in each case as set forth in the table on the cover of the Prospectus, bear to the aggregate Public Offering Price of the Shares and Public Offering Price per Warrant of the Pre-Funded Warrants.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Securities they have purchased hereunder, and not joint.</w:t>
      </w:r>
    </w:p>
    <w:p>
      <w:pPr>
        <w:spacing w:after="0" w:line="85" w:lineRule="exact"/>
        <w:rPr>
          <w:rFonts w:ascii="Times New Roman" w:cs="Times New Roman" w:eastAsia="Times New Roman" w:hAnsi="Times New Roman"/>
          <w:sz w:val="18"/>
          <w:szCs w:val="18"/>
          <w:color w:val="auto"/>
        </w:rPr>
      </w:pPr>
    </w:p>
    <w:p>
      <w:pPr>
        <w:ind w:right="20" w:firstLine="419"/>
        <w:spacing w:after="0" w:line="258" w:lineRule="auto"/>
        <w:tabs>
          <w:tab w:leader="none" w:pos="6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Underwriters agree that it would not be just or equitable if contribution pursuant to this Section 8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60"/>
          </w:cols>
          <w:pgMar w:left="880" w:top="270" w:right="459" w:bottom="1440" w:gutter="0" w:footer="0" w:header="0"/>
        </w:sectPr>
      </w:pPr>
    </w:p>
    <w:bookmarkStart w:id="33" w:name="page34"/>
    <w:bookmarkEnd w:id="33"/>
    <w:p>
      <w:pPr>
        <w:ind w:left="440"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81" w:lineRule="exact"/>
        <w:rPr>
          <w:sz w:val="20"/>
          <w:szCs w:val="20"/>
          <w:color w:val="auto"/>
        </w:rPr>
      </w:pPr>
    </w:p>
    <w:p>
      <w:pPr>
        <w:ind w:left="440" w:right="360" w:firstLine="419"/>
        <w:spacing w:after="0" w:line="276" w:lineRule="auto"/>
        <w:tabs>
          <w:tab w:leader="none" w:pos="1088"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left="440" w:hanging="4"/>
        <w:spacing w:after="0" w:line="255" w:lineRule="auto"/>
        <w:tabs>
          <w:tab w:leader="none" w:pos="7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Securities.</w:t>
      </w:r>
    </w:p>
    <w:p>
      <w:pPr>
        <w:spacing w:after="0" w:line="184" w:lineRule="exact"/>
        <w:rPr>
          <w:sz w:val="20"/>
          <w:szCs w:val="20"/>
          <w:color w:val="auto"/>
        </w:rPr>
      </w:pPr>
    </w:p>
    <w:p>
      <w:pPr>
        <w:ind w:firstLine="436"/>
        <w:spacing w:after="0" w:line="254" w:lineRule="auto"/>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the Representatives to the Company, if after the execution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this Agreement and prior to or on the Closing Date or any Option Closing Date, as the case may be, (i) trading generally shall have been suspended or materially limited on, or by, as the case may be, any of the New York Stock Exchange, the NYSE American, the Nasdaq Global Select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Securities on the terms and in the manner contemplated in the Time of Sale Prospectus or the Prospectus.</w:t>
      </w:r>
    </w:p>
    <w:p>
      <w:pPr>
        <w:spacing w:after="0" w:line="18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If, on the Closing Date or an Option Closing Date, as the case may be, any one or more of the Underwriters shall fail or refuse to purchase Securities that it has or they have agreed to purchase hereunder on such date, and the aggregate number of Securities which such defaulting Underwriter or Underwriters agreed but failed or refused to purchase is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4" w:name="page35"/>
    <w:bookmarkEnd w:id="3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 more than one-tenth of the aggregate number of the Securities to be purchased on such date, the other Underwriters shall be obligated severally in the proportions that the number of Firm Securities set forth opposite their respective names in Schedule I bears to the aggregate number of Firm Securities set forth opposite the names of all such non-defaulting Underwriters, or in such other proportions as the Representatives may specify, to purchase the Securities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Securities that any Underwriter has agreed to purchase pursuant to this Agreement be increased pursuant to this Section 10 by an amount in excess of one-ninth of such number of Securities without the written consent of such Underwriter. If, on the Closing Date, any Underwriter or Underwriters shall fail or refuse to purchase Firm Securities and the aggregate number of Firm Securities with respect to which such default occurs is more than one-tenth of the aggregate number of Firm Securities to be purchased on such date, and arrangements satisfactory to the Representatives and the Company for the purchase of such Firm Securities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reasonably incurred fees and disbursements of their counsel) reasonably incurred by such Underwriters in connection with this Agreement or the offering contemplated hereunder.</w:t>
      </w:r>
    </w:p>
    <w:p>
      <w:pPr>
        <w:spacing w:after="0" w:line="181" w:lineRule="exact"/>
        <w:rPr>
          <w:sz w:val="20"/>
          <w:szCs w:val="20"/>
          <w:color w:val="auto"/>
        </w:rPr>
      </w:pPr>
    </w:p>
    <w:p>
      <w:pPr>
        <w:ind w:right="40" w:firstLine="436"/>
        <w:spacing w:after="0" w:line="261" w:lineRule="auto"/>
        <w:tabs>
          <w:tab w:leader="none" w:pos="7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superseded by this Agreement) that relate to the offering of the Securities, represents the entire agreement between the Company and the Underwriters with respect to the preparation of any preliminary prospectus, the Time of Sale Prospectus, the Prospectus, the conduct of the offering, and the purchase and sale of the Securities.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5" w:name="page36"/>
    <w:bookmarkEnd w:id="35"/>
    <w:p>
      <w:pPr>
        <w:ind w:left="440" w:right="200" w:firstLine="419"/>
        <w:spacing w:after="0" w:line="273" w:lineRule="auto"/>
        <w:tabs>
          <w:tab w:leader="none" w:pos="1118"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Securities.</w:t>
      </w:r>
    </w:p>
    <w:p>
      <w:pPr>
        <w:spacing w:after="0" w:line="169" w:lineRule="exact"/>
        <w:rPr>
          <w:rFonts w:ascii="Times New Roman" w:cs="Times New Roman" w:eastAsia="Times New Roman" w:hAnsi="Times New Roman"/>
          <w:sz w:val="17"/>
          <w:szCs w:val="17"/>
          <w:color w:val="auto"/>
        </w:rPr>
      </w:pPr>
    </w:p>
    <w:p>
      <w:pPr>
        <w:ind w:right="80" w:firstLine="436"/>
        <w:spacing w:after="0" w:line="261" w:lineRule="auto"/>
        <w:tabs>
          <w:tab w:leader="none" w:pos="7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any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5" w:lineRule="exact"/>
        <w:rPr>
          <w:sz w:val="20"/>
          <w:szCs w:val="20"/>
          <w:color w:val="auto"/>
        </w:rPr>
      </w:pPr>
    </w:p>
    <w:p>
      <w:pPr>
        <w:ind w:firstLine="436"/>
        <w:spacing w:after="0" w:line="258"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two or more counterparts, each of which shall be an original, with the same effect as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 Counterparts may be delivered via facsimile, electronic mail (including any electronic signature complying with the U.S. federal ESIGN Act of 2000, Uniform Electronic Transactions Act or other applicable law, e.g., www.docusign.com) or other transmission method and any counterpart so delivered shall be deemed to have been duly and validly delivered and be valid and effective for all purposes.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70" w:right="499" w:bottom="1440" w:gutter="0" w:footer="0" w:header="0"/>
        </w:sectPr>
      </w:pPr>
    </w:p>
    <w:bookmarkStart w:id="36" w:name="page37"/>
    <w:bookmarkEnd w:id="36"/>
    <w:p>
      <w:pPr>
        <w:ind w:left="680" w:hanging="264"/>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225" w:lineRule="exact"/>
        <w:rPr>
          <w:rFonts w:ascii="Times New Roman" w:cs="Times New Roman" w:eastAsia="Times New Roman" w:hAnsi="Times New Roman"/>
          <w:sz w:val="18"/>
          <w:szCs w:val="18"/>
          <w:color w:val="auto"/>
        </w:rPr>
      </w:pPr>
    </w:p>
    <w:p>
      <w:pPr>
        <w:ind w:left="-20" w:right="40" w:firstLine="436"/>
        <w:spacing w:after="0" w:line="284" w:lineRule="auto"/>
        <w:tabs>
          <w:tab w:leader="none" w:pos="69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w:t>
      </w:r>
    </w:p>
    <w:p>
      <w:pPr>
        <w:spacing w:after="0" w:line="158" w:lineRule="exact"/>
        <w:rPr>
          <w:rFonts w:ascii="Times New Roman" w:cs="Times New Roman" w:eastAsia="Times New Roman" w:hAnsi="Times New Roman"/>
          <w:sz w:val="18"/>
          <w:szCs w:val="18"/>
          <w:color w:val="auto"/>
        </w:rPr>
      </w:pPr>
    </w:p>
    <w:p>
      <w:pPr>
        <w:ind w:left="-20" w:firstLine="436"/>
        <w:spacing w:after="0" w:line="258" w:lineRule="auto"/>
        <w:tabs>
          <w:tab w:leader="none" w:pos="69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shall be in writing and effective only upon receipt and if to the Underwriters shall be delivered, mailed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sent to the Representatives in care of Morgan Stanley &amp; Co. LLC, 1585 Broadway, New York, New York 10036, Attention: Equity Syndicate Desk, with a copy to the Legal Department; and in care of Piper Sandler &amp; Co., 800 Nicollet Mall, Suite 800, Minneapolis, MN 55402, Attention: Head of Equity Capital Markets, with a copy to the General Counsel, and if to the Company shall be delivered, mailed or sent to Tenaya Therapeutics, Inc., 171 Oyster Point Boulevard, 5th Floor, South San Francisco, CA, 94080.</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60" w:top="268" w:right="459" w:bottom="1440" w:gutter="0" w:footer="0" w:header="0"/>
        </w:sectPr>
      </w:pPr>
    </w:p>
    <w:bookmarkStart w:id="37" w:name="page38"/>
    <w:bookmarkEnd w:id="37"/>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Leone D.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Leone D. Patterson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Chief Financial and Business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several Underwriters named in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Chirag Surti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Chirag Surti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Piper Sandler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Neil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Neil Riley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160"/>
          </w:cols>
          <w:pgMar w:left="440" w:top="270" w:right="12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0" w:type="dxa"/>
            <w:vAlign w:val="bottom"/>
          </w:tcPr>
          <w:p>
            <w:pPr>
              <w:spacing w:after="0"/>
              <w:rPr>
                <w:sz w:val="1"/>
                <w:szCs w:val="1"/>
                <w:color w:val="auto"/>
              </w:rPr>
            </w:pPr>
          </w:p>
        </w:tc>
      </w:tr>
      <w:tr>
        <w:trPr>
          <w:trHeight w:val="367"/>
        </w:trPr>
        <w:tc>
          <w:tcPr>
            <w:tcW w:w="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 Firm</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020" w:type="dxa"/>
            <w:vAlign w:val="bottom"/>
            <w:vMerge w:val="restart"/>
          </w:tcPr>
          <w:p>
            <w:pPr>
              <w:spacing w:after="0"/>
              <w:rPr>
                <w:sz w:val="12"/>
                <w:szCs w:val="12"/>
                <w:color w:val="auto"/>
              </w:rPr>
            </w:pPr>
          </w:p>
        </w:tc>
        <w:tc>
          <w:tcPr>
            <w:tcW w:w="356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Warrants To Be</w:t>
            </w:r>
          </w:p>
        </w:tc>
        <w:tc>
          <w:tcPr>
            <w:tcW w:w="280" w:type="dxa"/>
            <w:vAlign w:val="bottom"/>
          </w:tcPr>
          <w:p>
            <w:pPr>
              <w:spacing w:after="0"/>
              <w:rPr>
                <w:sz w:val="12"/>
                <w:szCs w:val="12"/>
                <w:color w:val="auto"/>
              </w:rPr>
            </w:pPr>
          </w:p>
        </w:tc>
        <w:tc>
          <w:tcPr>
            <w:tcW w:w="9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3560" w:type="dxa"/>
            <w:vAlign w:val="bottom"/>
          </w:tcPr>
          <w:p>
            <w:pPr>
              <w:spacing w:after="0"/>
              <w:rPr>
                <w:sz w:val="15"/>
                <w:szCs w:val="15"/>
                <w:color w:val="auto"/>
              </w:rPr>
            </w:pPr>
          </w:p>
        </w:tc>
        <w:tc>
          <w:tcPr>
            <w:tcW w:w="13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Morgan Stanley &amp; Co. LLC</w:t>
            </w:r>
          </w:p>
        </w:tc>
        <w:tc>
          <w:tcPr>
            <w:tcW w:w="35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11,306,653</w:t>
            </w:r>
          </w:p>
        </w:tc>
        <w:tc>
          <w:tcPr>
            <w:tcW w:w="3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3,118,347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14,425,000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4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6,783,992</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1,871,008</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8,655,000</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49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2,261,331</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623,669</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2,885,000</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3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2,261,331</w:t>
            </w: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623,669</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2,885,000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22,613,307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6,236,693</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28,850,000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9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I-1</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issued November 16, 2022</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Orally communicated pricing information:</w:t>
      </w:r>
    </w:p>
    <w:p>
      <w:pPr>
        <w:spacing w:after="0" w:line="149"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Firm Shares:</w:t>
            </w:r>
          </w:p>
        </w:tc>
        <w:tc>
          <w:tcPr>
            <w:tcW w:w="38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22,613,307</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Number of Pre-Funded Warrants:</w:t>
            </w:r>
          </w:p>
        </w:tc>
        <w:tc>
          <w:tcPr>
            <w:tcW w:w="38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6,236,693</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Additional Shares:</w:t>
            </w:r>
          </w:p>
        </w:tc>
        <w:tc>
          <w:tcPr>
            <w:tcW w:w="38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4,327,500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Warrant:</w:t>
            </w: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r>
    </w:tbl>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4"/>
          </w:cols>
          <w:pgMar w:left="436" w:top="266"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Testing-the-Water Communications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11020"/>
          </w:cols>
          <w:pgMar w:left="440" w:top="266" w:right="439" w:bottom="1440" w:gutter="0" w:footer="0" w:header="0"/>
        </w:sectPr>
      </w:pPr>
    </w:p>
    <w:bookmarkStart w:id="41" w:name="page42"/>
    <w:bookmarkEnd w:id="41"/>
    <w:p>
      <w:pPr>
        <w:ind w:left="10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8"/>
          <w:szCs w:val="18"/>
          <w:color w:val="auto"/>
        </w:rPr>
        <w:t>________,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800 Nicollet Mall, Suite 800</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The undersigned understands that Morgan Stanley &amp; Co. LLC (“</w:t>
      </w:r>
      <w:r>
        <w:rPr>
          <w:rFonts w:ascii="Times New Roman" w:cs="Times New Roman" w:eastAsia="Times New Roman" w:hAnsi="Times New Roman"/>
          <w:sz w:val="18"/>
          <w:szCs w:val="18"/>
          <w:b w:val="1"/>
          <w:bCs w:val="1"/>
          <w:color w:val="auto"/>
        </w:rPr>
        <w:t>Morgan Stanley</w:t>
      </w:r>
      <w:r>
        <w:rPr>
          <w:rFonts w:ascii="Times New Roman" w:cs="Times New Roman" w:eastAsia="Times New Roman" w:hAnsi="Times New Roman"/>
          <w:sz w:val="18"/>
          <w:szCs w:val="18"/>
          <w:color w:val="auto"/>
        </w:rPr>
        <w:t>”) and Piper Sandler &amp; Co. (“</w:t>
      </w:r>
      <w:r>
        <w:rPr>
          <w:rFonts w:ascii="Times New Roman" w:cs="Times New Roman" w:eastAsia="Times New Roman" w:hAnsi="Times New Roman"/>
          <w:sz w:val="18"/>
          <w:szCs w:val="18"/>
          <w:b w:val="1"/>
          <w:bCs w:val="1"/>
          <w:color w:val="auto"/>
        </w:rPr>
        <w:t>Piper Sandler</w:t>
      </w:r>
      <w:r>
        <w:rPr>
          <w:rFonts w:ascii="Times New Roman" w:cs="Times New Roman" w:eastAsia="Times New Roman" w:hAnsi="Times New Roman"/>
          <w:sz w:val="18"/>
          <w:szCs w:val="18"/>
          <w:color w:val="auto"/>
        </w:rPr>
        <w:t>” and, together with Morgan Stanley,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proposes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Tenaya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by the several Underwriters, including the Representatives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of shares of common 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par value $0.0001 per share,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To induce the Underwriters that may participate in the Public Offering to continue their efforts in connection with the Public Offering, the undersigned hereby agrees that, without the prior written consent of each of the Representatives on behalf of the Underwriters, it will not, and will not publicly disclose an intention to, during the period commencing on the date hereof and ending 90 days after the date of the final prospectus supplement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by the undersigned or any other securities so owned convertible into or exercisable or exchangeable for Common Stock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undersigned acknowledges and agrees that the foregoing precludes the undersigned from</w:t>
      </w:r>
    </w:p>
    <w:p>
      <w:pPr>
        <w:sectPr>
          <w:pgSz w:w="11900" w:h="16838" w:orient="portrait"/>
          <w:cols w:equalWidth="0" w:num="1">
            <w:col w:w="11020"/>
          </w:cols>
          <w:pgMar w:left="440" w:top="266" w:right="439" w:bottom="1440" w:gutter="0" w:footer="0" w:header="0"/>
        </w:sectPr>
      </w:pPr>
    </w:p>
    <w:bookmarkStart w:id="42" w:name="page43"/>
    <w:bookmarkEnd w:id="42"/>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the undersigned.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sentence shall not apply to:</w:t>
      </w:r>
    </w:p>
    <w:p>
      <w:pPr>
        <w:spacing w:after="0" w:line="117" w:lineRule="exact"/>
        <w:rPr>
          <w:sz w:val="20"/>
          <w:szCs w:val="20"/>
          <w:color w:val="auto"/>
        </w:rPr>
      </w:pPr>
    </w:p>
    <w:p>
      <w:pPr>
        <w:ind w:right="20" w:firstLine="436"/>
        <w:spacing w:after="0" w:line="261"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relating to shares of Common Stock or other Securities acquired in the Public Offering or in open market transactions after the completion of the Public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public announcement or filing under Section 16(a) of the Exchange Act, or any other public filing or disclosure, reporting a reduction in beneficial ownership of shares, shall be required or shall be voluntarily made during the Restricted Period in connection with subsequent sales of Common Stock or other Securities acquired in the Public Offering or in such open market transactions;</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(i) as a bona fide gift or charitable contribution in a transaction exempt under</w:t>
      </w:r>
    </w:p>
    <w:p>
      <w:pPr>
        <w:spacing w:after="0" w:line="27" w:lineRule="exact"/>
        <w:rPr>
          <w:sz w:val="20"/>
          <w:szCs w:val="20"/>
          <w:color w:val="auto"/>
        </w:rPr>
      </w:pPr>
    </w:p>
    <w:p>
      <w:pPr>
        <w:jc w:val="both"/>
        <w:ind w:right="540"/>
        <w:spacing w:after="0" w:line="253" w:lineRule="auto"/>
        <w:rPr>
          <w:sz w:val="20"/>
          <w:szCs w:val="20"/>
          <w:color w:val="auto"/>
        </w:rPr>
      </w:pPr>
      <w:r>
        <w:rPr>
          <w:rFonts w:ascii="Times New Roman" w:cs="Times New Roman" w:eastAsia="Times New Roman" w:hAnsi="Times New Roman"/>
          <w:sz w:val="18"/>
          <w:szCs w:val="18"/>
          <w:color w:val="auto"/>
        </w:rPr>
        <w:t>Section 16(b) of the Exchange Act; (ii) by will or intestate succession upon the death of the undersigned, including to the transferee’s nominee or custodian; or (iii) to an immediate family member or any trust for the direct or indirect benefit of the undersigned or the immediate family of the undersigned (for purposes of this Lock-Up Agreement, “immediate family” shall mean any relationship by blood, marriage or adoption, not more remote than first cousin);</w:t>
      </w:r>
    </w:p>
    <w:p>
      <w:pPr>
        <w:spacing w:after="0" w:line="189" w:lineRule="exact"/>
        <w:rPr>
          <w:sz w:val="20"/>
          <w:szCs w:val="20"/>
          <w:color w:val="auto"/>
        </w:rPr>
      </w:pPr>
    </w:p>
    <w:p>
      <w:pPr>
        <w:ind w:right="300" w:firstLine="436"/>
        <w:spacing w:after="0" w:line="282"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distributions of shares of Common Stock or any other Securities by a stockholder that is a trust to a trustor or beneficiary of the trust or to the estate of a beneficiary of such trust;</w:t>
      </w:r>
    </w:p>
    <w:p>
      <w:pPr>
        <w:spacing w:after="0" w:line="161" w:lineRule="exact"/>
        <w:rPr>
          <w:rFonts w:ascii="Times New Roman" w:cs="Times New Roman" w:eastAsia="Times New Roman" w:hAnsi="Times New Roman"/>
          <w:sz w:val="18"/>
          <w:szCs w:val="18"/>
          <w:color w:val="auto"/>
        </w:rPr>
      </w:pPr>
    </w:p>
    <w:p>
      <w:pPr>
        <w:ind w:right="40" w:firstLine="436"/>
        <w:spacing w:after="0" w:line="277" w:lineRule="auto"/>
        <w:tabs>
          <w:tab w:leader="none" w:pos="69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undersigned is a corporation, partnership, limited liability company, trust or other business entity, (1) distributions of shares of Common Stock or other Securities to limited partners, members, stockholders or holders of similar equity interests in the undersigned (or in each case its nominee or custodian) or (2) transfers of shares of Common Stock or other Securities to another corporation, partnership, limited liability company, trust or other business entity (or in each case its nominee or custodian) that is an affiliate (as defined in Rule 405 promulgated under the Securities Act of 1933, as amended) of the undersigned, or to any investment fund or other entity controlled or managed by the undersigned or affiliates of the undersigned;</w:t>
      </w:r>
    </w:p>
    <w:p>
      <w:pPr>
        <w:spacing w:after="0" w:line="167" w:lineRule="exact"/>
        <w:rPr>
          <w:rFonts w:ascii="Times New Roman" w:cs="Times New Roman" w:eastAsia="Times New Roman" w:hAnsi="Times New Roman"/>
          <w:sz w:val="17"/>
          <w:szCs w:val="17"/>
          <w:color w:val="auto"/>
        </w:rPr>
      </w:pPr>
    </w:p>
    <w:p>
      <w:pPr>
        <w:ind w:firstLine="436"/>
        <w:spacing w:after="0" w:line="261"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transfers of shares of Common Stock or other Securities by operation of law pursuant to a qualified domestic order or in connection with a divorce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filing required by Section 16 of the Exchange Act shall clearly indicate in the footnotes thereto that such transfer is being made pursuant to the circumstances described in this clause (e) and such shares remain subject to this Lock-Up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other public announcement or filing shall be required or shall be voluntarily made during the Restricted Period;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3" w:name="page44"/>
    <w:bookmarkEnd w:id="43"/>
    <w:p>
      <w:pPr>
        <w:ind w:left="-20" w:firstLine="436"/>
        <w:spacing w:after="0" w:line="252" w:lineRule="auto"/>
        <w:tabs>
          <w:tab w:leader="none" w:pos="6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the receipt by the undersigned from the Company of shares of Common Stock upon the exercise, vesting or settlement of options, restricted stock units or other equity awards granted under a stock incentive plan or other equity award plan, which plan is described in the registration statement related to the Public Offering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the Time of Sale Prospectus (as defined in the Underwriting Agreement) and the Prospectus, or (2) the transfer or disposition of shares of Common Stock or any Securities upon a vesting or settlement event of the Company’s restricted stock units or other securities or upon the exercise of any warrant or options to purchase the Company’s securities on a “cashless” or “net exercise” basis to the extent permitted by the instruments (and any transfer to the Company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the Company and the Company’s cancellation of all or a portion thereof to pay the exercise price and/or withholding tax and remittance obligations in connection with the vesting, settlement or exercise of the restricted stock unit, option or other equity award;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(yy) that the shares received upon vesting, settlement or exercise of the restricted stock unit, option or other equity award are subject to this Lock-Up Agreement, and (zz) that in the case of clauses (1) or (2), no public announcement or filing shall be voluntarily made by or on behalf of the undersigned during the Restricted Period, and any filing under Section 16 of the Exchange Act reporting a reduction in beneficial ownership of Common Stock that is required to be made during the Restricted Period shall include a statement to the effect that (A) such transaction reflects the circumstances described in (1) or (2), as the case may be, (B) such transaction was only with the Company, and (C) in the case of (1) the shares of Common Stock received upon exercise or settlement of the option, restricted stock units or other equity awards are subject to this Lock-Up Agreement;</w:t>
      </w:r>
    </w:p>
    <w:p>
      <w:pPr>
        <w:spacing w:after="0" w:line="193" w:lineRule="exact"/>
        <w:rPr>
          <w:rFonts w:ascii="Times New Roman" w:cs="Times New Roman" w:eastAsia="Times New Roman" w:hAnsi="Times New Roman"/>
          <w:sz w:val="18"/>
          <w:szCs w:val="18"/>
          <w:color w:val="auto"/>
        </w:rPr>
      </w:pPr>
    </w:p>
    <w:p>
      <w:pPr>
        <w:ind w:left="-20" w:right="80" w:firstLine="436"/>
        <w:spacing w:after="0" w:line="256" w:lineRule="auto"/>
        <w:tabs>
          <w:tab w:leader="none" w:pos="6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dispositions of shares of Common Stock or any Security to the Company pursuant to any contractual arrangement in effect on the date of this agreement and disclosed to the Underwriters in writing that provides for the repurchase by the Company of the undersigned’s Common Stock or other Securities pursuant to a repurchase right arising in connection with the termination of the undersigned’s employment with or service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filing under Section 16 of the Exchange Act reporting a reduction in beneficial ownership of Common Stock shall indicate by footnote disclosure or otherwise the nature of the transfer or disposition pursuant to circumstances described in this clause;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other public announcement or filing shall be required or shall be voluntarily made during the Restricted Period;</w:t>
      </w:r>
    </w:p>
    <w:p>
      <w:pPr>
        <w:spacing w:after="0" w:line="187" w:lineRule="exact"/>
        <w:rPr>
          <w:rFonts w:ascii="Times New Roman" w:cs="Times New Roman" w:eastAsia="Times New Roman" w:hAnsi="Times New Roman"/>
          <w:sz w:val="18"/>
          <w:szCs w:val="18"/>
          <w:color w:val="auto"/>
        </w:rPr>
      </w:pPr>
    </w:p>
    <w:p>
      <w:pPr>
        <w:ind w:left="-20" w:right="240" w:firstLine="436"/>
        <w:spacing w:after="0" w:line="266" w:lineRule="auto"/>
        <w:tabs>
          <w:tab w:leader="none" w:pos="6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transfers of shares of Common Stock or other Securities pursuant to a bona fide third-party tender offer, merger, consolidation or other similar transaction involving a Change of Control (as defined below) of the Company which occurs after the consummation of the Public Offering, is open to all holders of the Company’s Common Stock and that is approved by the Board of Directors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44" w:name="page45"/>
    <w:bookmarkEnd w:id="44"/>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event that such tender offer, merger, consolidation or other such transaction is not completed, the Securities held by the undersigned shall remain subject to the provisions of this Lock-Up agreement (for purposes of this clause (h),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the consummation of any bona fide third 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 (or the surviving entity));</w:t>
      </w:r>
    </w:p>
    <w:p>
      <w:pPr>
        <w:spacing w:after="0" w:line="183" w:lineRule="exact"/>
        <w:rPr>
          <w:sz w:val="20"/>
          <w:szCs w:val="20"/>
          <w:color w:val="auto"/>
        </w:rPr>
      </w:pPr>
    </w:p>
    <w:p>
      <w:pPr>
        <w:ind w:right="100" w:firstLine="436"/>
        <w:spacing w:after="0" w:line="258"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pursuant to Rule 10b5-1 under the Exchange Act for the transfer of shares of Common Stock (a “</w:t>
      </w:r>
      <w:r>
        <w:rPr>
          <w:rFonts w:ascii="Times New Roman" w:cs="Times New Roman" w:eastAsia="Times New Roman" w:hAnsi="Times New Roman"/>
          <w:sz w:val="18"/>
          <w:szCs w:val="18"/>
          <w:b w:val="1"/>
          <w:bCs w:val="1"/>
          <w:color w:val="auto"/>
        </w:rPr>
        <w:t>10b5-1 Trading Plan</w:t>
      </w:r>
      <w:r>
        <w:rPr>
          <w:rFonts w:ascii="Times New Roman" w:cs="Times New Roman" w:eastAsia="Times New Roman" w:hAnsi="Times New Roman"/>
          <w:sz w:val="18"/>
          <w:szCs w:val="18"/>
          <w:color w:val="auto"/>
        </w:rPr>
        <w:t>”), provided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during the Restricted Period, such announcement or filing shall include a statement to the effect that no transfer of Common Stock may be made under such plan during the Restricted Period; or</w:t>
      </w:r>
    </w:p>
    <w:p>
      <w:pPr>
        <w:spacing w:after="0" w:line="183" w:lineRule="exact"/>
        <w:rPr>
          <w:rFonts w:ascii="Times New Roman" w:cs="Times New Roman" w:eastAsia="Times New Roman" w:hAnsi="Times New Roman"/>
          <w:sz w:val="18"/>
          <w:szCs w:val="18"/>
          <w:color w:val="auto"/>
        </w:rPr>
      </w:pPr>
    </w:p>
    <w:p>
      <w:pPr>
        <w:ind w:right="140" w:firstLine="436"/>
        <w:spacing w:after="0" w:line="26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of shares of Common Stock pursuant to a 10b5-1 Trading Plan (provided that such plan was established prior to the execution of this agreement by the undersigned),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filing under Section 16(a) of the Exchange Act that is made in connection with any such sales during the Restricted Period shall state that such sales have been executed under a 10b5-1 Trading Plan and shall also state the date such 10b5-1 Trading Plan was adopted;</w:t>
      </w:r>
    </w:p>
    <w:p>
      <w:pPr>
        <w:spacing w:after="0" w:line="178"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transfer or distribution pursuant to clauses (b), (c), (d) and (f) above, each donee, trustee, transferee or distributee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sign and deliver a lock-up agreement to the Representatives substantially in the form of this Lock-Up Agreement;</w:t>
      </w:r>
    </w:p>
    <w:p>
      <w:pPr>
        <w:spacing w:after="0" w:line="158"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the case of any transfer or distribution pursuant to clauses (b), (c), (d) and (h) above, no filing under Section 16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reporting a reduction in beneficial ownership of shares of Common Stock and no other public announcement or filing shall be required or shall be voluntarily made during the Restricted Period;</w:t>
      </w:r>
    </w:p>
    <w:p>
      <w:pPr>
        <w:spacing w:after="0" w:line="173"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the case of any transfer or distribution pursuant to clauses (b), (c), (d) and (e) above, such transfer or distribution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 a disposition for value; and</w:t>
      </w:r>
    </w:p>
    <w:p>
      <w:pPr>
        <w:spacing w:after="0" w:line="15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the event of any transfer or distribution for which a public filing under Section 16 of the Exchange Act or any other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or announcement is permitted hereunder, the undersigned covenants and agrees to use commercially reasonable efforts to give the Representatives written notice at least one business day (which, for the avoidance of doubt, shall be at least a twenty-four (24) hour period) before such filing or announcement.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5" w:name="page46"/>
    <w:bookmarkEnd w:id="45"/>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 undersigned agrees that, without the prior written consent of the Representatives on behalf of the Underwriters, it will not, during the Restricted Period, make any demand for or exercise any right with respect to, the registration of any shares of Common Stock or other Securities.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80"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The undersigned agrees that, to the extent that the terms of this Lock-Up Agreement conflict with or are in any way inconsistent with any prior investor rights agreement, prior registration rights agreement, prior market standoff agreement or any other prior lock-up or similar prior agreement to which the undersigned and the Company may be a party, this Lock-Up Agreement supersedes such prior agreement.</w:t>
      </w:r>
    </w:p>
    <w:p>
      <w:pPr>
        <w:spacing w:after="0" w:line="176"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189" w:lineRule="exact"/>
        <w:rPr>
          <w:sz w:val="20"/>
          <w:szCs w:val="20"/>
          <w:color w:val="auto"/>
        </w:rPr>
      </w:pPr>
    </w:p>
    <w:p>
      <w:pPr>
        <w:jc w:val="both"/>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Notwithstanding anything to the contrary contained herein, this agreement will automatically terminate and the undersigned will be released from all of his, her or its obligations hereunder upon the earliest to occur, if any, of (i) the date that the Company, on the one hand, or the Representatives, on the other hand, advises in writing prior to the execution of the Underwriting Agreement, that it has determined not to proceed with the Public Offering,</w:t>
      </w:r>
    </w:p>
    <w:p>
      <w:pPr>
        <w:spacing w:after="0" w:line="2" w:lineRule="exact"/>
        <w:rPr>
          <w:sz w:val="20"/>
          <w:szCs w:val="20"/>
          <w:color w:val="auto"/>
        </w:rPr>
      </w:pPr>
    </w:p>
    <w:p>
      <w:pPr>
        <w:ind w:left="264" w:hanging="264"/>
        <w:spacing w:after="0"/>
        <w:tabs>
          <w:tab w:leader="none" w:pos="2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the Company withdraws the Registration Statement related to the Public Offering before the execution of the Underwriting Agreement,</w:t>
      </w:r>
    </w:p>
    <w:p>
      <w:pPr>
        <w:spacing w:after="0" w:line="9" w:lineRule="exact"/>
        <w:rPr>
          <w:rFonts w:ascii="Times New Roman" w:cs="Times New Roman" w:eastAsia="Times New Roman" w:hAnsi="Times New Roman"/>
          <w:sz w:val="18"/>
          <w:szCs w:val="18"/>
          <w:color w:val="auto"/>
        </w:rPr>
      </w:pPr>
    </w:p>
    <w:p>
      <w:pPr>
        <w:ind w:left="4" w:right="140" w:hanging="4"/>
        <w:spacing w:after="0" w:line="253" w:lineRule="auto"/>
        <w:tabs>
          <w:tab w:leader="none" w:pos="3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the Underwriting Agreement is executed but is terminated (other than the provisions thereof which survive termination) prior to payment for and delivery of the Shares to be sold thereunder or (iv) December 31, 2022 in the event that the Underwriting Agreement has not been executed by such date, provided that the Company may by written notice to the undersigned prior to December 31, 2022, extend such date for a period of up to an additional three months.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46" w:name="page47"/>
    <w:bookmarkEnd w:id="46"/>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hereby waives any and all notice requirements and rights with respect to the registration of securities pursuant to any agreement, understanding or anything otherwise setting forth the terms of any security of the Company held by the undersigned, including any registration rights agreement to which the undersigned and the Company may be a party; provided, however, that such waiver shall apply only to the proposed Public Offering, any other action taken by the Company in connection with the proposed Public Offering.</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undersigned and the Representatives hereby consent to receipt of this agreement in electronic form and understand and agree that this agreement may be signed electronically. In the event that any signature is delivered by facsimile transmission, electronic mail, or otherwise by electronic transmission evidencing an intent to sign this agreement (including any electronic signature complying with the U.S. federal ESIGN Act of 2000, e.g., www.docusign.com), such facsimile transmission, electronic mail or other electronic transmission shall create a valid and binding obligation of the undersigned with the same force and effect as if such signature were an original. Execution and delivery of this agreement by facsimile transmission, electronic mail or other electronic transmission is legal, valid and binding for all purposes.</w:t>
      </w:r>
    </w:p>
    <w:p>
      <w:pPr>
        <w:spacing w:after="0" w:line="18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Very truly yours,</w:t>
            </w: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5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IF AN INDIVIDUAL:</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IF AN ENTITY:</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30"/>
        </w:trPr>
        <w:tc>
          <w:tcPr>
            <w:tcW w:w="760" w:type="dxa"/>
            <w:vAlign w:val="bottom"/>
          </w:tcPr>
          <w:p>
            <w:pPr>
              <w:spacing w:after="0"/>
              <w:rPr>
                <w:sz w:val="19"/>
                <w:szCs w:val="19"/>
                <w:color w:val="auto"/>
              </w:rPr>
            </w:pPr>
          </w:p>
        </w:tc>
        <w:tc>
          <w:tcPr>
            <w:tcW w:w="4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(duly authorized signature)</w:t>
            </w:r>
          </w:p>
        </w:tc>
        <w:tc>
          <w:tcPr>
            <w:tcW w:w="700" w:type="dxa"/>
            <w:vAlign w:val="bottom"/>
          </w:tcPr>
          <w:p>
            <w:pPr>
              <w:spacing w:after="0"/>
              <w:rPr>
                <w:sz w:val="19"/>
                <w:szCs w:val="19"/>
                <w:color w:val="auto"/>
              </w:rPr>
            </w:pPr>
          </w:p>
        </w:tc>
        <w:tc>
          <w:tcPr>
            <w:tcW w:w="5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(please print complete name of entity)</w:t>
            </w:r>
          </w:p>
        </w:tc>
      </w:tr>
      <w:tr>
        <w:trPr>
          <w:trHeight w:val="425"/>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0"/>
        </w:trPr>
        <w:tc>
          <w:tcPr>
            <w:tcW w:w="760" w:type="dxa"/>
            <w:vAlign w:val="bottom"/>
          </w:tcPr>
          <w:p>
            <w:pPr>
              <w:spacing w:after="0"/>
              <w:rPr>
                <w:sz w:val="19"/>
                <w:szCs w:val="19"/>
                <w:color w:val="auto"/>
              </w:rPr>
            </w:pPr>
          </w:p>
        </w:tc>
        <w:tc>
          <w:tcPr>
            <w:tcW w:w="44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(please print full name)</w:t>
            </w: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(duly authorized signature)</w:t>
            </w:r>
          </w:p>
        </w:tc>
      </w:tr>
      <w:tr>
        <w:trPr>
          <w:trHeight w:val="425"/>
        </w:trPr>
        <w:tc>
          <w:tcPr>
            <w:tcW w:w="7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230"/>
        </w:trPr>
        <w:tc>
          <w:tcPr>
            <w:tcW w:w="7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(please print full name)</w:t>
            </w:r>
          </w:p>
        </w:tc>
      </w:tr>
      <w:tr>
        <w:trPr>
          <w:trHeight w:val="425"/>
        </w:trPr>
        <w:tc>
          <w:tcPr>
            <w:tcW w:w="7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05"/>
        </w:trPr>
        <w:tc>
          <w:tcPr>
            <w:tcW w:w="7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0" w:type="dxa"/>
            <w:vAlign w:val="bottom"/>
            <w:tcBorders>
              <w:top w:val="single" w:sz="8" w:color="auto"/>
            </w:tcBorders>
          </w:tcPr>
          <w:p>
            <w:pPr>
              <w:ind w:left="260"/>
              <w:spacing w:after="0" w:line="205" w:lineRule="exact"/>
              <w:rPr>
                <w:sz w:val="20"/>
                <w:szCs w:val="20"/>
                <w:color w:val="auto"/>
              </w:rPr>
            </w:pPr>
            <w:r>
              <w:rPr>
                <w:rFonts w:ascii="Times New Roman" w:cs="Times New Roman" w:eastAsia="Times New Roman" w:hAnsi="Times New Roman"/>
                <w:sz w:val="18"/>
                <w:szCs w:val="18"/>
                <w:i w:val="1"/>
                <w:iCs w:val="1"/>
                <w:color w:val="auto"/>
              </w:rPr>
              <w:t>(please print full title)</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r>
      <w:tr>
        <w:trPr>
          <w:trHeight w:val="216"/>
        </w:trPr>
        <w:tc>
          <w:tcPr>
            <w:tcW w:w="76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r>
      <w:tr>
        <w:trPr>
          <w:trHeight w:val="439"/>
        </w:trPr>
        <w:tc>
          <w:tcPr>
            <w:tcW w:w="7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17145</wp:posOffset>
            </wp:positionV>
            <wp:extent cx="65151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1510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48" w:name="page49"/>
    <w:bookmarkEnd w:id="48"/>
    <w:p>
      <w:pPr>
        <w:ind w:left="10184"/>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11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FORM OF PRE-FUNDED WARRANT TO PURCHASE COMMON STOCK</w:t>
      </w:r>
    </w:p>
    <w:p>
      <w:pPr>
        <w:spacing w:after="0" w:line="241" w:lineRule="exact"/>
        <w:rPr>
          <w:sz w:val="20"/>
          <w:szCs w:val="20"/>
          <w:color w:val="auto"/>
        </w:rPr>
      </w:pPr>
    </w:p>
    <w:p>
      <w:pPr>
        <w:ind w:left="9304"/>
        <w:spacing w:after="0"/>
        <w:tabs>
          <w:tab w:leader="none" w:pos="10944" w:val="left"/>
        </w:tabs>
        <w:rPr>
          <w:sz w:val="20"/>
          <w:szCs w:val="20"/>
          <w:color w:val="auto"/>
        </w:rPr>
      </w:pPr>
      <w:r>
        <w:rPr>
          <w:rFonts w:ascii="Times New Roman" w:cs="Times New Roman" w:eastAsia="Times New Roman" w:hAnsi="Times New Roman"/>
          <w:sz w:val="18"/>
          <w:szCs w:val="18"/>
          <w:color w:val="auto"/>
        </w:rPr>
        <w:t>Number of Shares: [</w:t>
        <w:tab/>
        <w:t>]</w:t>
      </w:r>
    </w:p>
    <w:p>
      <w:pPr>
        <w:spacing w:after="0" w:line="27" w:lineRule="exact"/>
        <w:rPr>
          <w:sz w:val="20"/>
          <w:szCs w:val="20"/>
          <w:color w:val="auto"/>
        </w:rPr>
      </w:pPr>
    </w:p>
    <w:p>
      <w:pPr>
        <w:ind w:left="9364"/>
        <w:spacing w:after="0"/>
        <w:rPr>
          <w:sz w:val="20"/>
          <w:szCs w:val="20"/>
          <w:color w:val="auto"/>
        </w:rPr>
      </w:pPr>
      <w:r>
        <w:rPr>
          <w:rFonts w:ascii="Times New Roman" w:cs="Times New Roman" w:eastAsia="Times New Roman" w:hAnsi="Times New Roman"/>
          <w:sz w:val="18"/>
          <w:szCs w:val="18"/>
          <w:color w:val="auto"/>
        </w:rPr>
        <w:t>(subject to adjustment)</w:t>
      </w:r>
    </w:p>
    <w:p>
      <w:pPr>
        <w:sectPr>
          <w:pgSz w:w="11900" w:h="16838" w:orient="portrait"/>
          <w:cols w:equalWidth="0" w:num="1">
            <w:col w:w="11024"/>
          </w:cols>
          <w:pgMar w:left="436" w:top="117" w:right="439" w:bottom="1440" w:gutter="0" w:footer="0" w:header="0"/>
        </w:sectPr>
      </w:pP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Warrant No.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Issue Date: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2022</w:t>
      </w:r>
    </w:p>
    <w:p>
      <w:pPr>
        <w:spacing w:after="0" w:line="200" w:lineRule="exact"/>
        <w:rPr>
          <w:sz w:val="20"/>
          <w:szCs w:val="20"/>
          <w:color w:val="auto"/>
        </w:rPr>
      </w:pPr>
    </w:p>
    <w:p>
      <w:pPr>
        <w:sectPr>
          <w:pgSz w:w="11900" w:h="16838" w:orient="portrait"/>
          <w:cols w:equalWidth="0" w:num="3">
            <w:col w:w="8044" w:space="720"/>
            <w:col w:w="1560" w:space="180"/>
            <w:col w:w="520"/>
          </w:cols>
          <w:pgMar w:left="436" w:top="117" w:right="439" w:bottom="1440" w:gutter="0" w:footer="0" w:header="0"/>
          <w:type w:val="continuous"/>
        </w:sectPr>
      </w:pPr>
    </w:p>
    <w:p>
      <w:pPr>
        <w:spacing w:after="0" w:line="23" w:lineRule="exact"/>
        <w:rPr>
          <w:sz w:val="20"/>
          <w:szCs w:val="20"/>
          <w:color w:val="auto"/>
        </w:rPr>
      </w:pPr>
    </w:p>
    <w:p>
      <w:pPr>
        <w:ind w:left="4" w:right="260"/>
        <w:spacing w:after="0" w:line="256" w:lineRule="auto"/>
        <w:rPr>
          <w:sz w:val="20"/>
          <w:szCs w:val="20"/>
          <w:color w:val="auto"/>
        </w:rPr>
      </w:pPr>
      <w:r>
        <w:rPr>
          <w:rFonts w:ascii="Times New Roman" w:cs="Times New Roman" w:eastAsia="Times New Roman" w:hAnsi="Times New Roman"/>
          <w:sz w:val="18"/>
          <w:szCs w:val="18"/>
          <w:color w:val="auto"/>
        </w:rPr>
        <w:t>Tenaya Therapeutics,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 ] or its registered assigns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 shares of common stock, $0.001 par value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i w:val="1"/>
          <w:i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i w:val="1"/>
          <w:iCs w:val="1"/>
          <w:color w:val="auto"/>
        </w:rPr>
        <w:t>Warrant Shares</w:t>
      </w:r>
      <w:r>
        <w:rPr>
          <w:rFonts w:ascii="Times New Roman" w:cs="Times New Roman" w:eastAsia="Times New Roman" w:hAnsi="Times New Roman"/>
          <w:sz w:val="18"/>
          <w:szCs w:val="18"/>
          <w:color w:val="auto"/>
        </w:rPr>
        <w:t xml:space="preserve">”) at an exercise price per share equal to $0.001 per share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xml:space="preserve">”), upon surrender of this </w:t>
      </w:r>
      <w:r>
        <w:rPr>
          <w:rFonts w:ascii="Times New Roman" w:cs="Times New Roman" w:eastAsia="Times New Roman" w:hAnsi="Times New Roman"/>
          <w:sz w:val="18"/>
          <w:szCs w:val="18"/>
          <w:i w:val="1"/>
          <w:iCs w:val="1"/>
          <w:color w:val="auto"/>
        </w:rPr>
        <w:t>Warrant to Purchase Common Stock</w:t>
      </w:r>
      <w:r>
        <w:rPr>
          <w:rFonts w:ascii="Times New Roman" w:cs="Times New Roman" w:eastAsia="Times New Roman" w:hAnsi="Times New Roman"/>
          <w:sz w:val="18"/>
          <w:szCs w:val="18"/>
          <w:color w:val="auto"/>
        </w:rPr>
        <w:t xml:space="preserve"> (including any </w:t>
      </w:r>
      <w:r>
        <w:rPr>
          <w:rFonts w:ascii="Times New Roman" w:cs="Times New Roman" w:eastAsia="Times New Roman" w:hAnsi="Times New Roman"/>
          <w:sz w:val="18"/>
          <w:szCs w:val="18"/>
          <w:i w:val="1"/>
          <w:iCs w:val="1"/>
          <w:color w:val="auto"/>
        </w:rPr>
        <w:t>Warrants to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issued in exchange, transfer or replacement hereof, the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at any time and from time to time on or after the date hereof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Original Issue Date</w:t>
      </w:r>
      <w:r>
        <w:rPr>
          <w:rFonts w:ascii="Times New Roman" w:cs="Times New Roman" w:eastAsia="Times New Roman" w:hAnsi="Times New Roman"/>
          <w:sz w:val="18"/>
          <w:szCs w:val="18"/>
          <w:color w:val="auto"/>
        </w:rPr>
        <w:t>”), subject to the following terms and conditions:</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117" w:lineRule="exact"/>
        <w:rPr>
          <w:sz w:val="20"/>
          <w:szCs w:val="20"/>
          <w:color w:val="auto"/>
        </w:rPr>
      </w:pPr>
    </w:p>
    <w:p>
      <w:pPr>
        <w:ind w:left="4" w:right="20" w:hanging="4"/>
        <w:spacing w:after="0" w:line="277" w:lineRule="auto"/>
        <w:tabs>
          <w:tab w:leader="none" w:pos="249"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w:t>
      </w:r>
    </w:p>
    <w:p>
      <w:pPr>
        <w:spacing w:after="0" w:line="165"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4" w:hanging="4"/>
        <w:spacing w:after="0" w:line="253" w:lineRule="auto"/>
        <w:tabs>
          <w:tab w:leader="none" w:pos="24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in good faith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9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4" w:right="220" w:hanging="4"/>
        <w:spacing w:after="0" w:line="284" w:lineRule="auto"/>
        <w:tabs>
          <w:tab w:leader="none" w:pos="24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Select Market.</w:t>
      </w:r>
    </w:p>
    <w:p>
      <w:pPr>
        <w:spacing w:after="0" w:line="158"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means the Company’s Registration Statement on Form S-3 (File No. 333-266741), declared effective on August 17, 2022.</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ectPr>
          <w:pgSz w:w="11900" w:h="16838" w:orient="portrait"/>
          <w:cols w:equalWidth="0" w:num="1">
            <w:col w:w="11024"/>
          </w:cols>
          <w:pgMar w:left="436" w:top="117" w:right="439" w:bottom="1440" w:gutter="0" w:footer="0" w:header="0"/>
          <w:type w:val="continuous"/>
        </w:sectPr>
      </w:pPr>
    </w:p>
    <w:bookmarkStart w:id="49" w:name="page50"/>
    <w:bookmarkEnd w:id="49"/>
    <w:p>
      <w:pPr>
        <w:ind w:left="264" w:hanging="264"/>
        <w:spacing w:after="0"/>
        <w:tabs>
          <w:tab w:leader="none" w:pos="2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rFonts w:ascii="Times New Roman" w:cs="Times New Roman" w:eastAsia="Times New Roman" w:hAnsi="Times New Roman"/>
          <w:sz w:val="18"/>
          <w:szCs w:val="18"/>
          <w:color w:val="auto"/>
        </w:rPr>
      </w:pPr>
    </w:p>
    <w:p>
      <w:pPr>
        <w:ind w:left="4" w:right="80" w:hanging="4"/>
        <w:spacing w:after="0" w:line="284" w:lineRule="auto"/>
        <w:tabs>
          <w:tab w:leader="none" w:pos="21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60" w:lineRule="exact"/>
        <w:rPr>
          <w:sz w:val="20"/>
          <w:szCs w:val="20"/>
          <w:color w:val="auto"/>
        </w:rPr>
      </w:pPr>
    </w:p>
    <w:p>
      <w:pPr>
        <w:ind w:left="4" w:hanging="4"/>
        <w:spacing w:after="0" w:line="254" w:lineRule="auto"/>
        <w:tabs>
          <w:tab w:leader="none" w:pos="18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 Registration of Warrants</w:t>
      </w:r>
      <w:r>
        <w:rPr>
          <w:rFonts w:ascii="Times New Roman" w:cs="Times New Roman" w:eastAsia="Times New Roman" w:hAnsi="Times New Roman"/>
          <w:sz w:val="18"/>
          <w:szCs w:val="18"/>
          <w:color w:val="auto"/>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Exchange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cs="Times New Roman" w:eastAsia="Times New Roman" w:hAnsi="Times New Roman"/>
          <w:sz w:val="18"/>
          <w:szCs w:val="18"/>
          <w:i w:val="1"/>
          <w:i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91" w:lineRule="exact"/>
        <w:rPr>
          <w:rFonts w:ascii="Times New Roman" w:cs="Times New Roman" w:eastAsia="Times New Roman" w:hAnsi="Times New Roman"/>
          <w:sz w:val="18"/>
          <w:szCs w:val="18"/>
          <w:color w:val="auto"/>
        </w:rPr>
      </w:pPr>
    </w:p>
    <w:p>
      <w:pPr>
        <w:ind w:left="4" w:hanging="4"/>
        <w:spacing w:after="0" w:line="254" w:lineRule="auto"/>
        <w:tabs>
          <w:tab w:leader="none" w:pos="18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i w:val="1"/>
          <w:i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88"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and Duration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00" w:hanging="4"/>
        <w:spacing w:after="0" w:line="282" w:lineRule="auto"/>
        <w:tabs>
          <w:tab w:leader="none" w:pos="2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this Warrant shall be exercisable by the registered Holder in any manner permitted by this Warrant at any time and from time to time on or after the Original Issue Date.</w:t>
      </w:r>
    </w:p>
    <w:p>
      <w:pPr>
        <w:spacing w:after="0" w:line="159" w:lineRule="exact"/>
        <w:rPr>
          <w:rFonts w:ascii="Times New Roman" w:cs="Times New Roman" w:eastAsia="Times New Roman" w:hAnsi="Times New Roman"/>
          <w:sz w:val="18"/>
          <w:szCs w:val="18"/>
          <w:color w:val="auto"/>
        </w:rPr>
      </w:pPr>
    </w:p>
    <w:p>
      <w:pPr>
        <w:ind w:left="4" w:right="20" w:hanging="4"/>
        <w:spacing w:after="0" w:line="254" w:lineRule="auto"/>
        <w:tabs>
          <w:tab w:leader="none" w:pos="2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i w:val="1"/>
          <w:i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completed and duly signed, and (ii) payment of the Exercise Price for the number of Warrant Shares as to which this Warrant is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i w:val="1"/>
          <w:i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aggregate exercise price of this Warrant, except for the Exercise Price, was pre-funded to the Company on or before the Original Issue Date, and consequently no additional consideration (other than the Exercise Price) shall be required by to be paid by the Holder to effect any exercise of this Warrant. The Holder shall not be entitled to the return or refund of all, or any portion, of such pre-funded exercise price under any circumstance or for any reason whatsoever.</w:t>
      </w:r>
    </w:p>
    <w:p>
      <w:pPr>
        <w:spacing w:after="0" w:line="187" w:lineRule="exact"/>
        <w:rPr>
          <w:sz w:val="20"/>
          <w:szCs w:val="20"/>
          <w:color w:val="auto"/>
        </w:rPr>
      </w:pPr>
    </w:p>
    <w:p>
      <w:pPr>
        <w:ind w:left="184" w:hanging="184"/>
        <w:spacing w:after="0"/>
        <w:tabs>
          <w:tab w:leader="none" w:pos="18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hanging="4"/>
        <w:spacing w:after="0" w:line="253" w:lineRule="auto"/>
        <w:tabs>
          <w:tab w:leader="none" w:pos="24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promptly (but in no event later than three (3)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through its Deposit Withdrawal Agent Commission system, or if the Transfer Agent is not participating in the Fast Automated Securities Transfer Program (the “</w:t>
      </w:r>
      <w:r>
        <w:rPr>
          <w:rFonts w:ascii="Times New Roman" w:cs="Times New Roman" w:eastAsia="Times New Roman" w:hAnsi="Times New Roman"/>
          <w:sz w:val="18"/>
          <w:szCs w:val="18"/>
          <w:i w:val="1"/>
          <w:iCs w:val="1"/>
          <w:color w:val="auto"/>
        </w:rPr>
        <w:t>FAST Program</w:t>
      </w:r>
      <w:r>
        <w:rPr>
          <w:rFonts w:ascii="Times New Roman" w:cs="Times New Roman" w:eastAsia="Times New Roman" w:hAnsi="Times New Roman"/>
          <w:sz w:val="18"/>
          <w:szCs w:val="18"/>
          <w:color w:val="auto"/>
        </w:rPr>
        <w: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DTC (or its nominee) or any natural person or legal entity (each, a “Person”)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w:t>
      </w:r>
    </w:p>
    <w:p>
      <w:pPr>
        <w:sectPr>
          <w:pgSz w:w="11900" w:h="16838" w:orient="portrait"/>
          <w:cols w:equalWidth="0" w:num="1">
            <w:col w:w="11004"/>
          </w:cols>
          <w:pgMar w:left="436" w:top="268" w:right="459" w:bottom="1440" w:gutter="0" w:footer="0" w:header="0"/>
        </w:sectPr>
      </w:pPr>
    </w:p>
    <w:bookmarkStart w:id="50" w:name="page51"/>
    <w:bookmarkEnd w:id="50"/>
    <w:p>
      <w:pPr>
        <w:ind w:left="4" w:hanging="4"/>
        <w:spacing w:after="0" w:line="234"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by the close of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Trading Day after the Exercise Date, the Company fails to deliver to the Holder a certificate representing the required number of Warrant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or fails to credit the Holder’s balance account with DTC for such number of Warrant Shares to which the Holder is entitled, and if after such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i w:val="1"/>
          <w:iCs w:val="1"/>
          <w:color w:val="auto"/>
        </w:rPr>
        <w:t>Buy-In</w:t>
      </w:r>
      <w:r>
        <w:rPr>
          <w:rFonts w:ascii="Times New Roman" w:cs="Times New Roman" w:eastAsia="Times New Roman" w:hAnsi="Times New Roman"/>
          <w:sz w:val="18"/>
          <w:szCs w:val="18"/>
          <w:color w:val="auto"/>
        </w:rPr>
        <w:t>”), then the Company shall, within three (3) Trading Days after the Holder’s request and in the Holder’s sole discretion, either (1) pay in cash to the Holder an amount equal to the Holder’s total purchase price (including brokerage commissions, if any) for the shares of Common Stock so purchased, at which point the Company’s obligation to deliver such certificate (and to issue such Warrant Shares) shall terminate or (2)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w:t>
      </w:r>
    </w:p>
    <w:p>
      <w:pPr>
        <w:spacing w:after="0" w:line="206" w:lineRule="exact"/>
        <w:rPr>
          <w:rFonts w:ascii="Times New Roman" w:cs="Times New Roman" w:eastAsia="Times New Roman" w:hAnsi="Times New Roman"/>
          <w:sz w:val="18"/>
          <w:szCs w:val="18"/>
          <w:color w:val="auto"/>
        </w:rPr>
      </w:pPr>
    </w:p>
    <w:p>
      <w:pPr>
        <w:ind w:left="4" w:hanging="4"/>
        <w:spacing w:after="0" w:line="254" w:lineRule="auto"/>
        <w:tabs>
          <w:tab w:leader="none" w:pos="24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and subject to Section 5(b),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188" w:lineRule="exact"/>
        <w:rPr>
          <w:sz w:val="20"/>
          <w:szCs w:val="20"/>
          <w:color w:val="auto"/>
        </w:rPr>
      </w:pPr>
    </w:p>
    <w:p>
      <w:pPr>
        <w:ind w:left="4" w:right="80" w:hanging="4"/>
        <w:spacing w:after="0" w:line="256" w:lineRule="auto"/>
        <w:tabs>
          <w:tab w:leader="none" w:pos="1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7" w:lineRule="exact"/>
        <w:rPr>
          <w:rFonts w:ascii="Times New Roman" w:cs="Times New Roman" w:eastAsia="Times New Roman" w:hAnsi="Times New Roman"/>
          <w:sz w:val="18"/>
          <w:szCs w:val="18"/>
          <w:color w:val="auto"/>
        </w:rPr>
      </w:pPr>
    </w:p>
    <w:p>
      <w:pPr>
        <w:ind w:left="4" w:right="20" w:hanging="4"/>
        <w:spacing w:after="0" w:line="255" w:lineRule="auto"/>
        <w:tabs>
          <w:tab w:leader="none" w:pos="1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88" w:lineRule="exact"/>
        <w:rPr>
          <w:rFonts w:ascii="Times New Roman" w:cs="Times New Roman" w:eastAsia="Times New Roman" w:hAnsi="Times New Roman"/>
          <w:sz w:val="18"/>
          <w:szCs w:val="18"/>
          <w:color w:val="auto"/>
        </w:rPr>
      </w:pPr>
    </w:p>
    <w:p>
      <w:pPr>
        <w:ind w:left="4" w:right="20" w:hanging="4"/>
        <w:spacing w:after="0" w:line="256" w:lineRule="auto"/>
        <w:tabs>
          <w:tab w:leader="none" w:pos="1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Warrant Shares</w:t>
      </w:r>
      <w:r>
        <w:rPr>
          <w:rFonts w:ascii="Times New Roman" w:cs="Times New Roman" w:eastAsia="Times New Roman" w:hAnsi="Times New Roman"/>
          <w:sz w:val="18"/>
          <w:szCs w:val="18"/>
          <w:color w:val="auto"/>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w:t>
      </w:r>
    </w:p>
    <w:p>
      <w:pPr>
        <w:sectPr>
          <w:pgSz w:w="11900" w:h="16838" w:orient="portrait"/>
          <w:cols w:equalWidth="0" w:num="1">
            <w:col w:w="11004"/>
          </w:cols>
          <w:pgMar w:left="436" w:top="270" w:right="459" w:bottom="1440" w:gutter="0" w:footer="0" w:header="0"/>
        </w:sectPr>
      </w:pPr>
    </w:p>
    <w:bookmarkStart w:id="51" w:name="page52"/>
    <w:bookmarkEnd w:id="51"/>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hereof, be duly and validly authorized, issued and fully paid and non-assessable. The Company will take all commercially reasonable actions as may be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83" w:lineRule="exact"/>
        <w:rPr>
          <w:sz w:val="20"/>
          <w:szCs w:val="20"/>
          <w:color w:val="auto"/>
        </w:rPr>
      </w:pPr>
    </w:p>
    <w:p>
      <w:pPr>
        <w:ind w:left="4" w:right="60" w:hanging="4"/>
        <w:spacing w:after="0" w:line="282" w:lineRule="auto"/>
        <w:tabs>
          <w:tab w:leader="none" w:pos="18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xml:space="preserve">. The Exercise Price and number of Warrant Shares issuable upon exercise of this Warrant are subject to adjustment from 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hanging="4"/>
        <w:spacing w:after="0" w:line="253" w:lineRule="auto"/>
        <w:tabs>
          <w:tab w:leader="none" w:pos="24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as described in the Registration Statement,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189" w:lineRule="exact"/>
        <w:rPr>
          <w:rFonts w:ascii="Times New Roman" w:cs="Times New Roman" w:eastAsia="Times New Roman" w:hAnsi="Times New Roman"/>
          <w:sz w:val="18"/>
          <w:szCs w:val="18"/>
          <w:color w:val="auto"/>
        </w:rPr>
      </w:pPr>
    </w:p>
    <w:p>
      <w:pPr>
        <w:ind w:left="4" w:right="360" w:hanging="4"/>
        <w:spacing w:after="0" w:line="276" w:lineRule="auto"/>
        <w:tabs>
          <w:tab w:leader="none" w:pos="25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Rata Distributions</w:t>
      </w:r>
      <w:r>
        <w:rPr>
          <w:rFonts w:ascii="Times New Roman" w:cs="Times New Roman" w:eastAsia="Times New Roman" w:hAnsi="Times New Roman"/>
          <w:sz w:val="17"/>
          <w:szCs w:val="17"/>
          <w:color w:val="auto"/>
        </w:rPr>
        <w:t>. If the Company, at any time while this Warrant is outstanding, distributes to all holders of Common Stock for no consideration (i) evidences of its indebtedness, (ii) any security (other than a distribution of Common Stock covered by the preceding paragraph) or</w:t>
      </w:r>
    </w:p>
    <w:p>
      <w:pPr>
        <w:ind w:left="4" w:right="60" w:hanging="4"/>
        <w:spacing w:after="0" w:line="253" w:lineRule="auto"/>
        <w:tabs>
          <w:tab w:leader="none" w:pos="3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or warrants to subscribe for or purchase any security, or (iv) cash or any other asset (in each case, “</w:t>
      </w:r>
      <w:r>
        <w:rPr>
          <w:rFonts w:ascii="Times New Roman" w:cs="Times New Roman" w:eastAsia="Times New Roman" w:hAnsi="Times New Roman"/>
          <w:sz w:val="18"/>
          <w:szCs w:val="18"/>
          <w:i w:val="1"/>
          <w:iCs w:val="1"/>
          <w:color w:val="auto"/>
        </w:rPr>
        <w:t>Distributed Property</w:t>
      </w:r>
      <w:r>
        <w:rPr>
          <w:rFonts w:ascii="Times New Roman" w:cs="Times New Roman" w:eastAsia="Times New Roman" w:hAnsi="Times New Roman"/>
          <w:sz w:val="18"/>
          <w:szCs w:val="18"/>
          <w:color w:val="auto"/>
        </w:rPr>
        <w:t>”), then, upon any exercise of this Warrant that occurs after the record date fixed for determination of stockholders entitled to receive such distribution, the Holder shall be entitled to receive, in addition to the Warrant Shares otherwise issuable upon such exercise (if applicable), the Distributed Property that such Holder would have been entitled to receive in respect of such number of Warrant Shares had the Holder been the record holder of such Warrant Shares immediately prior to such record date without regard to any limitation on exercise contained therein.</w:t>
      </w:r>
    </w:p>
    <w:p>
      <w:pPr>
        <w:spacing w:after="0" w:line="186" w:lineRule="exact"/>
        <w:rPr>
          <w:rFonts w:ascii="Times New Roman" w:cs="Times New Roman" w:eastAsia="Times New Roman" w:hAnsi="Times New Roman"/>
          <w:sz w:val="18"/>
          <w:szCs w:val="18"/>
          <w:color w:val="auto"/>
        </w:rPr>
      </w:pPr>
    </w:p>
    <w:p>
      <w:pPr>
        <w:ind w:left="4" w:hanging="4"/>
        <w:spacing w:after="0" w:line="252" w:lineRule="auto"/>
        <w:tabs>
          <w:tab w:leader="none" w:pos="2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If, at any time while this Warrant is outstanding (i) the Company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provided, however, the foregoing shall not include transactions for which the primary purpose is raising capital,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i w:val="1"/>
          <w:i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w:t>
      </w:r>
    </w:p>
    <w:p>
      <w:pPr>
        <w:sectPr>
          <w:pgSz w:w="11900" w:h="16838" w:orient="portrait"/>
          <w:cols w:equalWidth="0" w:num="1">
            <w:col w:w="10984"/>
          </w:cols>
          <w:pgMar w:left="436" w:top="270" w:right="479" w:bottom="1440" w:gutter="0" w:footer="0" w:header="0"/>
        </w:sectPr>
      </w:pPr>
    </w:p>
    <w:bookmarkStart w:id="52" w:name="page53"/>
    <w:bookmarkEnd w:id="52"/>
    <w:p>
      <w:pPr>
        <w:ind w:left="4"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Warrant without regard to any limitations on exercise contained herein. In the event the Holder does not exercise this Warrant as contemplated by the foregoing sentence, this Warrant shall be deemed exercised in full without regard to any limitations on exercise contained herein pursuant to the “cashless exercise” provision in Section 10 hereof upon the effective date of the consummation of such Fundamental Transaction.</w:t>
      </w:r>
    </w:p>
    <w:p>
      <w:pPr>
        <w:spacing w:after="0" w:line="176" w:lineRule="exact"/>
        <w:rPr>
          <w:sz w:val="20"/>
          <w:szCs w:val="20"/>
          <w:color w:val="auto"/>
        </w:rPr>
      </w:pPr>
    </w:p>
    <w:p>
      <w:pPr>
        <w:ind w:left="4" w:right="20" w:hanging="4"/>
        <w:spacing w:after="0" w:line="261"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spacing w:after="0" w:line="17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 applicable.</w:t>
      </w:r>
    </w:p>
    <w:p>
      <w:pPr>
        <w:spacing w:after="0" w:line="225" w:lineRule="exact"/>
        <w:rPr>
          <w:rFonts w:ascii="Times New Roman" w:cs="Times New Roman" w:eastAsia="Times New Roman" w:hAnsi="Times New Roman"/>
          <w:sz w:val="18"/>
          <w:szCs w:val="18"/>
          <w:color w:val="auto"/>
        </w:rPr>
      </w:pPr>
    </w:p>
    <w:p>
      <w:pPr>
        <w:ind w:left="4" w:right="100" w:hanging="4"/>
        <w:spacing w:after="0" w:line="256" w:lineRule="auto"/>
        <w:tabs>
          <w:tab w:leader="none" w:pos="22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87"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other than a Fundamental Transaction under clause (iii) of Section 9(c), the Company shall deliver to the Holder a notice of such Fundamental Transaction at least thirty (30)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any such information.</w:t>
      </w:r>
    </w:p>
    <w:p>
      <w:pPr>
        <w:spacing w:after="0" w:line="187" w:lineRule="exact"/>
        <w:rPr>
          <w:sz w:val="20"/>
          <w:szCs w:val="20"/>
          <w:color w:val="auto"/>
        </w:rPr>
      </w:pPr>
    </w:p>
    <w:p>
      <w:pPr>
        <w:ind w:left="4" w:right="80" w:hanging="4"/>
        <w:spacing w:after="0" w:line="266" w:lineRule="auto"/>
        <w:tabs>
          <w:tab w:leader="none" w:pos="27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117"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“A” equals the Closing Sale Price per share of Common Stock (as reported by Bloomberg Financial Markets) as of the Trading Day on the date immediately preceding the Exercise Date; and</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equals the Exercise Price per Warrant Share then in effect on the Exercise Date.</w:t>
      </w:r>
    </w:p>
    <w:p>
      <w:pPr>
        <w:sectPr>
          <w:pgSz w:w="11900" w:h="16838" w:orient="portrait"/>
          <w:cols w:equalWidth="0" w:num="1">
            <w:col w:w="11004"/>
          </w:cols>
          <w:pgMar w:left="436" w:top="270" w:right="459" w:bottom="1440" w:gutter="0" w:footer="0" w:header="0"/>
        </w:sectPr>
      </w:pPr>
    </w:p>
    <w:bookmarkStart w:id="53" w:name="page54"/>
    <w:bookmarkEnd w:id="53"/>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 In the event that the Registration Statement or another registration statement registering the issuance of Warrant Shares is, for any reason, not effective at the time of exercise of this Warrant, then the Warrant may only be exercised through a cashless exercise, as set forth in this Section 10. Except as set forth in Section 5(b) (Buy-In remedy) and Section 12 (payment of cash in lieu of fractional shares), in no event will the exercise of this Warrant be settled in cash.</w:t>
      </w:r>
    </w:p>
    <w:p>
      <w:pPr>
        <w:spacing w:after="0" w:line="189" w:lineRule="exact"/>
        <w:rPr>
          <w:sz w:val="20"/>
          <w:szCs w:val="20"/>
          <w:color w:val="auto"/>
        </w:rPr>
      </w:pPr>
    </w:p>
    <w:p>
      <w:pPr>
        <w:ind w:left="264" w:hanging="264"/>
        <w:spacing w:after="0"/>
        <w:tabs>
          <w:tab w:leader="none" w:pos="26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hanging="4"/>
        <w:spacing w:after="0" w:line="251" w:lineRule="auto"/>
        <w:tabs>
          <w:tab w:leader="none" w:pos="2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Persons who are members of a Section 13(d) group with such Holder or its Affiliates to exceed 9.99% (the “Maximum Percentage”) of the total number of issued and outstanding shares of Common Stock of the Company following such exercise, or (ii) the combined voting power of the securities of the Company beneficially owned by the Holder and its Affiliates and any other Persons who are members of a Section 13(d) group with such Holder or its Affiliates to exceed the Maximum Percentage of the combined voting power of all of the securities of the Company then outstanding following such exercise. For purposes of this paragraph, beneficial ownership and whether a holder is a member of a Section 13(d) group shall be calculated and determined in accordance with Section 13(d) of the Exchange Act and the rules promulgated thereunder. For purposes of this Warrant, in determining the number of outstanding shares of Common Stock, the Holder may rely on the number of outstanding shares of Common Stock as reflected in (x) the Company’s most recent Quarterly Report on Form 10-Q or Annual Report on Form 10-K, as the case may be, (y) a more recent public announcement by the Company or (z) any other written notice by the Company or the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specified not in excess of 19.99% specified in such notice; provided that any such increase will not be effective until the sixty-first (61st) day after such notice is delivered to the Company. For purposes of this Section 11(a), the aggregate number of shares of Common Stock or voting securities beneficially owned by the Holder and its Affiliates and any other Persons who are members of a Section 13(d) group with such Holder or its Affiliates shall include the shares of Common Stock issuable upon (x) the exercise of this Warrant with respect to which such determination is being made, but shall exclude the number of shares of Common Stock which would be issuable upon exercise of the remaining unexercised and non-cancelled portion of this Warrant by the Holder and (y) the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but excluding such shares underlying such instrument which is subject to a limitation on conversion or exercise analogous to the limitation contained herein.</w:t>
      </w:r>
    </w:p>
    <w:p>
      <w:pPr>
        <w:spacing w:after="0" w:line="203" w:lineRule="exact"/>
        <w:rPr>
          <w:rFonts w:ascii="Times New Roman" w:cs="Times New Roman" w:eastAsia="Times New Roman" w:hAnsi="Times New Roman"/>
          <w:sz w:val="18"/>
          <w:szCs w:val="18"/>
          <w:color w:val="auto"/>
        </w:rPr>
      </w:pPr>
    </w:p>
    <w:p>
      <w:pPr>
        <w:jc w:val="both"/>
        <w:ind w:left="4" w:right="120" w:hanging="4"/>
        <w:spacing w:after="0" w:line="266" w:lineRule="auto"/>
        <w:tabs>
          <w:tab w:leader="none" w:pos="2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Warrant.</w:t>
      </w:r>
    </w:p>
    <w:p>
      <w:pPr>
        <w:spacing w:after="0" w:line="176" w:lineRule="exact"/>
        <w:rPr>
          <w:sz w:val="20"/>
          <w:szCs w:val="20"/>
          <w:color w:val="auto"/>
        </w:rPr>
      </w:pPr>
    </w:p>
    <w:p>
      <w:pPr>
        <w:jc w:val="both"/>
        <w:ind w:left="4" w:right="260" w:hanging="4"/>
        <w:spacing w:after="0" w:line="266" w:lineRule="auto"/>
        <w:tabs>
          <w:tab w:leader="none" w:pos="27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5" w:lineRule="exact"/>
        <w:rPr>
          <w:rFonts w:ascii="Times New Roman" w:cs="Times New Roman" w:eastAsia="Times New Roman" w:hAnsi="Times New Roman"/>
          <w:sz w:val="18"/>
          <w:szCs w:val="18"/>
          <w:color w:val="auto"/>
        </w:rPr>
      </w:pPr>
    </w:p>
    <w:p>
      <w:pPr>
        <w:ind w:left="4" w:right="40" w:hanging="4"/>
        <w:spacing w:after="0" w:line="289" w:lineRule="auto"/>
        <w:tabs>
          <w:tab w:leader="none" w:pos="27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facsimile or e-mail at the facsimile number or e-mail address specified in the books and records of the Transfer Agent prior to 5:30 P.M., New York City time, on a</w:t>
      </w:r>
    </w:p>
    <w:p>
      <w:pPr>
        <w:sectPr>
          <w:pgSz w:w="11900" w:h="16838" w:orient="portrait"/>
          <w:cols w:equalWidth="0" w:num="1">
            <w:col w:w="11004"/>
          </w:cols>
          <w:pgMar w:left="436" w:top="270" w:right="459" w:bottom="1440" w:gutter="0" w:footer="0" w:header="0"/>
        </w:sectPr>
      </w:pPr>
    </w:p>
    <w:bookmarkStart w:id="54" w:name="page55"/>
    <w:bookmarkEnd w:id="5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Trading Day so long as the sender of an e-mail has not received an automated notice of delivery failure from the proposed recipient’s computer server,</w:t>
      </w:r>
    </w:p>
    <w:p>
      <w:pPr>
        <w:spacing w:after="0" w:line="27" w:lineRule="exact"/>
        <w:rPr>
          <w:sz w:val="20"/>
          <w:szCs w:val="20"/>
          <w:color w:val="auto"/>
        </w:rPr>
      </w:pPr>
    </w:p>
    <w:p>
      <w:pPr>
        <w:ind w:left="4" w:right="120" w:hanging="4"/>
        <w:spacing w:after="0" w:line="253" w:lineRule="auto"/>
        <w:tabs>
          <w:tab w:leader="none" w:pos="26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Trading Day after the date of transmission, if such notice or communication is delivered via facsimile or e-mail at the facsimile number or e-mail address specified in the books and records of the Transfer Agent on a day that is not a Trading Day or later than 5:30 P.M., New York City time, on any Trading Day so long as the sender of an e-mail has not received an automated notice of delivery failure from the proposed recipient’s computer server,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87" w:lineRule="exact"/>
        <w:rPr>
          <w:sz w:val="20"/>
          <w:szCs w:val="20"/>
          <w:color w:val="auto"/>
        </w:rPr>
      </w:pPr>
    </w:p>
    <w:p>
      <w:pPr>
        <w:ind w:left="264" w:hanging="264"/>
        <w:spacing w:after="0"/>
        <w:tabs>
          <w:tab w:leader="none" w:pos="2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The Company shall initially serve as warrant agent under this Warrant. Upon thirty (30) days’ notice to the Holder, the Company</w:t>
      </w:r>
    </w:p>
    <w:p>
      <w:pPr>
        <w:spacing w:after="0" w:line="27" w:lineRule="exact"/>
        <w:rPr>
          <w:rFonts w:ascii="Times New Roman" w:cs="Times New Roman" w:eastAsia="Times New Roman" w:hAnsi="Times New Roman"/>
          <w:sz w:val="18"/>
          <w:szCs w:val="18"/>
          <w:color w:val="auto"/>
        </w:rPr>
      </w:pPr>
    </w:p>
    <w:p>
      <w:pPr>
        <w:ind w:left="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hanging="4"/>
        <w:spacing w:after="0" w:line="254" w:lineRule="auto"/>
        <w:tabs>
          <w:tab w:leader="none" w:pos="24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91" w:lineRule="exact"/>
        <w:rPr>
          <w:rFonts w:ascii="Times New Roman" w:cs="Times New Roman" w:eastAsia="Times New Roman" w:hAnsi="Times New Roman"/>
          <w:sz w:val="18"/>
          <w:szCs w:val="18"/>
          <w:color w:val="auto"/>
        </w:rPr>
      </w:pPr>
    </w:p>
    <w:p>
      <w:pPr>
        <w:ind w:left="4" w:right="40" w:hanging="4"/>
        <w:spacing w:after="0" w:line="254"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left="4" w:right="540" w:hanging="4"/>
        <w:spacing w:after="0" w:line="266" w:lineRule="auto"/>
        <w:tabs>
          <w:tab w:leader="none" w:pos="2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 w:right="120" w:hanging="4"/>
        <w:spacing w:after="0" w:line="256" w:lineRule="auto"/>
        <w:tabs>
          <w:tab w:leader="none" w:pos="2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ectPr>
          <w:pgSz w:w="11900" w:h="16838" w:orient="portrait"/>
          <w:cols w:equalWidth="0" w:num="1">
            <w:col w:w="10984"/>
          </w:cols>
          <w:pgMar w:left="436" w:top="270" w:right="479" w:bottom="1440" w:gutter="0" w:footer="0" w:header="0"/>
        </w:sectPr>
      </w:pPr>
    </w:p>
    <w:bookmarkStart w:id="55" w:name="page56"/>
    <w:bookmarkEnd w:id="55"/>
    <w:p>
      <w:pPr>
        <w:ind w:left="264" w:hanging="264"/>
        <w:spacing w:after="0"/>
        <w:tabs>
          <w:tab w:leader="none" w:pos="2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and Waiver</w:t>
      </w:r>
      <w:r>
        <w:rPr>
          <w:rFonts w:ascii="Times New Roman" w:cs="Times New Roman" w:eastAsia="Times New Roman" w:hAnsi="Times New Roman"/>
          <w:sz w:val="18"/>
          <w:szCs w:val="18"/>
          <w:color w:val="auto"/>
        </w:rPr>
        <w:t>. Except as otherwise provided herein, the provisions of the Warrants may be amended and the Company may take any</w:t>
      </w:r>
    </w:p>
    <w:p>
      <w:pPr>
        <w:spacing w:after="0" w:line="27" w:lineRule="exact"/>
        <w:rPr>
          <w:rFonts w:ascii="Times New Roman" w:cs="Times New Roman" w:eastAsia="Times New Roman" w:hAnsi="Times New Roman"/>
          <w:sz w:val="18"/>
          <w:szCs w:val="18"/>
          <w:color w:val="auto"/>
        </w:rPr>
      </w:pPr>
    </w:p>
    <w:p>
      <w:pPr>
        <w:jc w:val="both"/>
        <w:ind w:left="4"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herein prohibited, or omit to perform any act herein required to be performed by it, only if the Company has obtained the written consent of the Holder or those registered holders of the Warrants representing no less than a majority of the Warrant Shares obtainable upon exercise of the Warrants then outstanding.</w:t>
      </w:r>
    </w:p>
    <w:p>
      <w:pPr>
        <w:spacing w:after="0" w:line="18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225" w:lineRule="exact"/>
        <w:rPr>
          <w:rFonts w:ascii="Times New Roman" w:cs="Times New Roman" w:eastAsia="Times New Roman" w:hAnsi="Times New Roman"/>
          <w:sz w:val="18"/>
          <w:szCs w:val="18"/>
          <w:color w:val="auto"/>
        </w:rPr>
      </w:pPr>
    </w:p>
    <w:p>
      <w:pPr>
        <w:ind w:left="4" w:right="20" w:hanging="4"/>
        <w:spacing w:after="0" w:line="252" w:lineRule="auto"/>
        <w:tabs>
          <w:tab w:leader="none" w:pos="22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DELAWARE WITHOUT REGARD TO THE PRINCIPLES OF CONFLICTS OF LAW THEREOF. EACH OF THE COMPANY AND THE HOLDER HEREBY IRREVOCABLY SUBMITS TO THE EXCLUSIVE JURISDICTION OF THE STATE AND FEDERAL COURTS SITTING IN THE STATE OF DELAWARE,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95" w:lineRule="exact"/>
        <w:rPr>
          <w:rFonts w:ascii="Times New Roman" w:cs="Times New Roman" w:eastAsia="Times New Roman" w:hAnsi="Times New Roman"/>
          <w:sz w:val="18"/>
          <w:szCs w:val="18"/>
          <w:color w:val="auto"/>
        </w:rPr>
      </w:pPr>
    </w:p>
    <w:p>
      <w:pPr>
        <w:ind w:left="4" w:right="80" w:hanging="4"/>
        <w:spacing w:after="0" w:line="282" w:lineRule="auto"/>
        <w:tabs>
          <w:tab w:leader="none" w:pos="2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ind w:left="4" w:hanging="4"/>
        <w:spacing w:after="0" w:line="261" w:lineRule="auto"/>
        <w:tabs>
          <w:tab w:leader="none" w:pos="2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004"/>
          </w:cols>
          <w:pgMar w:left="436" w:top="270"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480"/>
          </w:cols>
          <w:pgMar w:left="440" w:top="270" w:right="979" w:bottom="1440" w:gutter="0" w:footer="0" w:header="0"/>
        </w:sectPr>
      </w:pPr>
    </w:p>
    <w:bookmarkStart w:id="57" w:name="page58"/>
    <w:bookmarkEnd w:id="57"/>
    <w:p>
      <w:pPr>
        <w:jc w:val="center"/>
        <w:ind w:right="-6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FORM OF EXERCISE NOTICE</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5" w:lineRule="exact"/>
        <w:rPr>
          <w:sz w:val="20"/>
          <w:szCs w:val="20"/>
          <w:color w:val="auto"/>
        </w:rPr>
      </w:pPr>
    </w:p>
    <w:p>
      <w:pPr>
        <w:ind w:left="4" w:right="260" w:hanging="4"/>
        <w:spacing w:after="0" w:line="284" w:lineRule="auto"/>
        <w:tabs>
          <w:tab w:leader="none" w:pos="2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 (the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issued by Tenaya Therapeutics,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60"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117" w:lineRule="exact"/>
        <w:rPr>
          <w:sz w:val="20"/>
          <w:szCs w:val="20"/>
          <w:color w:val="auto"/>
        </w:rPr>
      </w:pPr>
    </w:p>
    <w:p>
      <w:pPr>
        <w:ind w:left="204" w:hanging="204"/>
        <w:spacing w:after="0"/>
        <w:tabs>
          <w:tab w:leader="none" w:pos="204" w:val="left"/>
        </w:tabs>
        <w:numPr>
          <w:ilvl w:val="0"/>
          <w:numId w:val="8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8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under Section 10 of the Warrant</w:t>
      </w:r>
    </w:p>
    <w:p>
      <w:pPr>
        <w:spacing w:after="0" w:line="225" w:lineRule="exact"/>
        <w:rPr>
          <w:sz w:val="20"/>
          <w:szCs w:val="20"/>
          <w:color w:val="auto"/>
        </w:rPr>
      </w:pPr>
    </w:p>
    <w:p>
      <w:pPr>
        <w:ind w:left="4" w:right="120" w:hanging="4"/>
        <w:spacing w:after="0" w:line="282"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w:t>
      </w:r>
    </w:p>
    <w:p>
      <w:pPr>
        <w:spacing w:after="0" w:line="225" w:lineRule="exact"/>
        <w:rPr>
          <w:rFonts w:ascii="Times New Roman" w:cs="Times New Roman" w:eastAsia="Times New Roman" w:hAnsi="Times New Roman"/>
          <w:sz w:val="18"/>
          <w:szCs w:val="18"/>
          <w:color w:val="auto"/>
        </w:rPr>
      </w:pPr>
    </w:p>
    <w:p>
      <w:pPr>
        <w:ind w:left="4" w:hanging="4"/>
        <w:spacing w:after="0" w:line="266"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Warrant to which this notice relates.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Holder: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ectPr>
          <w:pgSz w:w="11900" w:h="16838" w:orient="portrait"/>
          <w:cols w:equalWidth="0" w:num="1">
            <w:col w:w="10944"/>
          </w:cols>
          <w:pgMar w:left="436" w:top="270" w:right="5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624"/>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097280" cy="411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7" w:lineRule="exact"/>
        <w:rPr>
          <w:sz w:val="20"/>
          <w:szCs w:val="20"/>
          <w:color w:val="auto"/>
        </w:rPr>
      </w:pPr>
    </w:p>
    <w:p>
      <w:pPr>
        <w:ind w:left="7624"/>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0"/>
          <w:szCs w:val="20"/>
          <w:color w:val="auto"/>
        </w:rPr>
      </w:pPr>
    </w:p>
    <w:p>
      <w:pPr>
        <w:ind w:left="7624"/>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0"/>
          <w:szCs w:val="20"/>
          <w:color w:val="auto"/>
        </w:rPr>
      </w:pPr>
    </w:p>
    <w:p>
      <w:pPr>
        <w:ind w:left="7624"/>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112" w:lineRule="exact"/>
        <w:rPr>
          <w:sz w:val="20"/>
          <w:szCs w:val="20"/>
          <w:color w:val="auto"/>
        </w:rPr>
      </w:pPr>
    </w:p>
    <w:p>
      <w:pPr>
        <w:ind w:left="7624"/>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650.493.9300</w:t>
      </w:r>
    </w:p>
    <w:p>
      <w:pPr>
        <w:spacing w:after="0" w:line="39" w:lineRule="exact"/>
        <w:rPr>
          <w:sz w:val="20"/>
          <w:szCs w:val="20"/>
          <w:color w:val="auto"/>
        </w:rPr>
      </w:pPr>
    </w:p>
    <w:p>
      <w:pPr>
        <w:ind w:left="7624"/>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650.493.6811</w:t>
      </w:r>
    </w:p>
    <w:p>
      <w:pPr>
        <w:spacing w:after="0" w:line="2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November 16, 2022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171 Oyster Point Boulevard, 5th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South San Francisco, CA 84080</w:t>
      </w:r>
    </w:p>
    <w:p>
      <w:pPr>
        <w:spacing w:after="0" w:line="230" w:lineRule="exact"/>
        <w:rPr>
          <w:sz w:val="20"/>
          <w:szCs w:val="20"/>
          <w:color w:val="auto"/>
        </w:rPr>
      </w:pPr>
    </w:p>
    <w:p>
      <w:pPr>
        <w:ind w:left="984"/>
        <w:spacing w:after="0"/>
        <w:tabs>
          <w:tab w:leader="none" w:pos="1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u w:val="single" w:color="auto"/>
          <w:color w:val="auto"/>
        </w:rPr>
        <w:t>Follow-On Public Offering of Tenaya Therapeutics, Inc.</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80"/>
        <w:spacing w:after="0" w:line="259" w:lineRule="auto"/>
        <w:rPr>
          <w:sz w:val="20"/>
          <w:szCs w:val="20"/>
          <w:color w:val="auto"/>
        </w:rPr>
      </w:pPr>
      <w:r>
        <w:rPr>
          <w:rFonts w:ascii="Times New Roman" w:cs="Times New Roman" w:eastAsia="Times New Roman" w:hAnsi="Times New Roman"/>
          <w:sz w:val="18"/>
          <w:szCs w:val="18"/>
          <w:color w:val="auto"/>
        </w:rPr>
        <w:t>We have acted as counsel to Tenaya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August 10, 2022 of a Registration Statement on Form S-3 (Registration No. 333-266741), under the Securities Act of 1933, as amended, and declared effective on August 17, 2022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prospectus contained within the Registration Statement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the prospectus supplement to the Registration Statement dated November 16, 2022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Prospectus Supplement relates to the offering of the Company of up to 26,940,807 shares of the Company’s common stock, $0.0001 par value per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including up to 4,327,500 shares that may be sold pursuant to exercise of an option to purchase additional shares granted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underwriters, and pre-funded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up to an aggregate of 6,236,693 shares of the Company’s common stock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The offering of the Shares and the Warrants is being made pursuant to that certain underwriting agreement, dated November 16,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2022, by and among the Company and Morgan Stanley &amp; Co. LLC and Piper Sandler &amp; Co., as representatives of the several underwriters named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therein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80"/>
        <w:spacing w:after="0" w:line="270" w:lineRule="auto"/>
        <w:rPr>
          <w:sz w:val="20"/>
          <w:szCs w:val="20"/>
          <w:color w:val="auto"/>
        </w:rPr>
      </w:pPr>
      <w:r>
        <w:rPr>
          <w:rFonts w:ascii="Times New Roman" w:cs="Times New Roman" w:eastAsia="Times New Roman" w:hAnsi="Times New Roman"/>
          <w:sz w:val="17"/>
          <w:szCs w:val="17"/>
          <w:color w:val="auto"/>
        </w:rPr>
        <w:t>We have examined copies of the Registration Statement, together with the documents incorporated by reference therein, and the Prospectus. In addition, we have examined originals or copies, certified or otherwise identified to our satisfaction, of such other instruments, documents, certificates and records which we have deemed relevant and necessary for the basis of our opinion hereinafter expressed. In such examination, we have assumed: (i) the authenticity of original documents and the genuineness of all signatures; (ii) the conformity to the originals of all documents submitted to us as copies;</w:t>
      </w:r>
    </w:p>
    <w:p>
      <w:pPr>
        <w:spacing w:after="0" w:line="3" w:lineRule="exact"/>
        <w:rPr>
          <w:sz w:val="20"/>
          <w:szCs w:val="20"/>
          <w:color w:val="auto"/>
        </w:rPr>
      </w:pPr>
    </w:p>
    <w:p>
      <w:pPr>
        <w:ind w:left="4" w:right="140" w:hanging="4"/>
        <w:spacing w:after="0" w:line="273" w:lineRule="auto"/>
        <w:tabs>
          <w:tab w:leader="none" w:pos="319"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truth, accuracy and completeness of the information, representations and warranties contained in the records, documents, instruments and certificates we have reviewed; (iv) that the Underwriting Agreement has been duly authorized and validly executed and delivered by the parties thereto (other than the Company); (v) that the Shares, the Warrants and the Warrant Shares will be issued and sold in compliance with applicable U.S. federal and state securities laws and in the manner stated in the Registration Statement and the Prospectus; and (vi) the legal capacity of all natural persons.</w:t>
      </w:r>
    </w:p>
    <w:p>
      <w:pPr>
        <w:sectPr>
          <w:pgSz w:w="11900" w:h="16838" w:orient="portrait"/>
          <w:cols w:equalWidth="0" w:num="1">
            <w:col w:w="11024"/>
          </w:cols>
          <w:pgMar w:left="436" w:top="117" w:right="439" w:bottom="1440" w:gutter="0" w:footer="0" w:header="0"/>
        </w:sectPr>
      </w:pPr>
    </w:p>
    <w:p>
      <w:pPr>
        <w:spacing w:after="0" w:line="343" w:lineRule="exact"/>
        <w:rPr>
          <w:sz w:val="20"/>
          <w:szCs w:val="20"/>
          <w:color w:val="auto"/>
        </w:rPr>
      </w:pPr>
    </w:p>
    <w:p>
      <w:pPr>
        <w:ind w:left="624"/>
        <w:spacing w:after="0"/>
        <w:tabs>
          <w:tab w:leader="none" w:pos="1424" w:val="left"/>
          <w:tab w:leader="none" w:pos="2244" w:val="left"/>
        </w:tabs>
        <w:rPr>
          <w:sz w:val="20"/>
          <w:szCs w:val="20"/>
          <w:color w:val="auto"/>
        </w:rPr>
      </w:pPr>
      <w:r>
        <w:rPr>
          <w:rFonts w:ascii="Times New Roman" w:cs="Times New Roman" w:eastAsia="Times New Roman" w:hAnsi="Times New Roman"/>
          <w:sz w:val="14"/>
          <w:szCs w:val="14"/>
          <w:color w:val="auto"/>
        </w:rPr>
        <w:t>AUSTIN</w:t>
      </w:r>
      <w:r>
        <w:rPr>
          <w:sz w:val="20"/>
          <w:szCs w:val="20"/>
          <w:color w:val="auto"/>
        </w:rPr>
        <w:tab/>
      </w:r>
      <w:r>
        <w:rPr>
          <w:rFonts w:ascii="Times New Roman" w:cs="Times New Roman" w:eastAsia="Times New Roman" w:hAnsi="Times New Roman"/>
          <w:sz w:val="14"/>
          <w:szCs w:val="14"/>
          <w:color w:val="auto"/>
        </w:rPr>
        <w:t>BEIJING</w:t>
      </w:r>
      <w:r>
        <w:rPr>
          <w:sz w:val="20"/>
          <w:szCs w:val="20"/>
          <w:color w:val="auto"/>
        </w:rPr>
        <w:tab/>
      </w:r>
      <w:r>
        <w:rPr>
          <w:rFonts w:ascii="Times New Roman" w:cs="Times New Roman" w:eastAsia="Times New Roman" w:hAnsi="Times New Roman"/>
          <w:sz w:val="14"/>
          <w:szCs w:val="14"/>
          <w:color w:val="auto"/>
        </w:rPr>
        <w:t>BOSTON</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tabs>
          <w:tab w:leader="none" w:pos="960" w:val="left"/>
          <w:tab w:leader="none" w:pos="1960" w:val="left"/>
          <w:tab w:leader="none" w:pos="3100" w:val="left"/>
        </w:tabs>
        <w:rPr>
          <w:sz w:val="20"/>
          <w:szCs w:val="20"/>
          <w:color w:val="auto"/>
        </w:rPr>
      </w:pPr>
      <w:r>
        <w:rPr>
          <w:rFonts w:ascii="Times New Roman" w:cs="Times New Roman" w:eastAsia="Times New Roman" w:hAnsi="Times New Roman"/>
          <w:sz w:val="14"/>
          <w:szCs w:val="14"/>
          <w:color w:val="auto"/>
        </w:rPr>
        <w:t>BOULDER</w:t>
      </w:r>
      <w:r>
        <w:rPr>
          <w:sz w:val="20"/>
          <w:szCs w:val="20"/>
          <w:color w:val="auto"/>
        </w:rPr>
        <w:tab/>
      </w:r>
      <w:r>
        <w:rPr>
          <w:rFonts w:ascii="Times New Roman" w:cs="Times New Roman" w:eastAsia="Times New Roman" w:hAnsi="Times New Roman"/>
          <w:sz w:val="14"/>
          <w:szCs w:val="14"/>
          <w:color w:val="auto"/>
        </w:rPr>
        <w:t>BRUSSELS</w:t>
      </w:r>
      <w:r>
        <w:rPr>
          <w:sz w:val="20"/>
          <w:szCs w:val="20"/>
          <w:color w:val="auto"/>
        </w:rPr>
        <w:tab/>
      </w:r>
      <w:r>
        <w:rPr>
          <w:rFonts w:ascii="Times New Roman" w:cs="Times New Roman" w:eastAsia="Times New Roman" w:hAnsi="Times New Roman"/>
          <w:sz w:val="14"/>
          <w:szCs w:val="14"/>
          <w:color w:val="auto"/>
        </w:rPr>
        <w:t>HONG KONG</w:t>
      </w:r>
      <w:r>
        <w:rPr>
          <w:sz w:val="20"/>
          <w:szCs w:val="20"/>
          <w:color w:val="auto"/>
        </w:rPr>
        <w:tab/>
      </w:r>
      <w:r>
        <w:rPr>
          <w:rFonts w:ascii="Times New Roman" w:cs="Times New Roman" w:eastAsia="Times New Roman" w:hAnsi="Times New Roman"/>
          <w:sz w:val="14"/>
          <w:szCs w:val="14"/>
          <w:color w:val="auto"/>
        </w:rPr>
        <w:t>LONDON</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tabs>
          <w:tab w:leader="none" w:pos="1240" w:val="left"/>
          <w:tab w:leader="none" w:pos="2280" w:val="left"/>
        </w:tabs>
        <w:rPr>
          <w:sz w:val="20"/>
          <w:szCs w:val="20"/>
          <w:color w:val="auto"/>
        </w:rPr>
      </w:pPr>
      <w:r>
        <w:rPr>
          <w:rFonts w:ascii="Times New Roman" w:cs="Times New Roman" w:eastAsia="Times New Roman" w:hAnsi="Times New Roman"/>
          <w:sz w:val="14"/>
          <w:szCs w:val="14"/>
          <w:color w:val="auto"/>
        </w:rPr>
        <w:t>LOS ANGELES</w:t>
      </w:r>
      <w:r>
        <w:rPr>
          <w:sz w:val="20"/>
          <w:szCs w:val="20"/>
          <w:color w:val="auto"/>
        </w:rPr>
        <w:tab/>
      </w:r>
      <w:r>
        <w:rPr>
          <w:rFonts w:ascii="Times New Roman" w:cs="Times New Roman" w:eastAsia="Times New Roman" w:hAnsi="Times New Roman"/>
          <w:sz w:val="14"/>
          <w:szCs w:val="14"/>
          <w:color w:val="auto"/>
        </w:rPr>
        <w:t>NEW YORK</w:t>
      </w:r>
      <w:r>
        <w:rPr>
          <w:sz w:val="20"/>
          <w:szCs w:val="20"/>
          <w:color w:val="auto"/>
        </w:rPr>
        <w:tab/>
      </w:r>
      <w:r>
        <w:rPr>
          <w:rFonts w:ascii="Times New Roman" w:cs="Times New Roman" w:eastAsia="Times New Roman" w:hAnsi="Times New Roman"/>
          <w:sz w:val="13"/>
          <w:szCs w:val="13"/>
          <w:color w:val="auto"/>
        </w:rPr>
        <w:t>PALO ALTO</w:t>
      </w:r>
    </w:p>
    <w:p>
      <w:pPr>
        <w:spacing w:after="0" w:line="55" w:lineRule="exact"/>
        <w:rPr>
          <w:sz w:val="20"/>
          <w:szCs w:val="20"/>
          <w:color w:val="auto"/>
        </w:rPr>
      </w:pPr>
    </w:p>
    <w:p>
      <w:pPr>
        <w:sectPr>
          <w:pgSz w:w="11900" w:h="16838" w:orient="portrait"/>
          <w:cols w:equalWidth="0" w:num="3">
            <w:col w:w="2844" w:space="320"/>
            <w:col w:w="3740" w:space="420"/>
            <w:col w:w="3700"/>
          </w:cols>
          <w:pgMar w:left="436" w:top="117" w:right="439" w:bottom="1440" w:gutter="0" w:footer="0" w:header="0"/>
          <w:type w:val="continuous"/>
        </w:sectPr>
      </w:pPr>
    </w:p>
    <w:p>
      <w:pPr>
        <w:jc w:val="center"/>
        <w:ind w:right="16"/>
        <w:spacing w:after="0"/>
        <w:tabs>
          <w:tab w:leader="none" w:pos="260" w:val="left"/>
          <w:tab w:leader="none" w:pos="260" w:val="left"/>
          <w:tab w:leader="none" w:pos="260" w:val="left"/>
          <w:tab w:leader="none" w:pos="260" w:val="left"/>
          <w:tab w:leader="none" w:pos="260" w:val="left"/>
          <w:tab w:leader="none" w:pos="260" w:val="left"/>
        </w:tabs>
        <w:rPr>
          <w:sz w:val="20"/>
          <w:szCs w:val="20"/>
          <w:color w:val="auto"/>
        </w:rPr>
      </w:pPr>
      <w:r>
        <w:rPr>
          <w:rFonts w:ascii="Times New Roman" w:cs="Times New Roman" w:eastAsia="Times New Roman" w:hAnsi="Times New Roman"/>
          <w:sz w:val="14"/>
          <w:szCs w:val="14"/>
          <w:color w:val="auto"/>
        </w:rPr>
        <w:t>SALT LAKE CITY</w:t>
      </w:r>
      <w:r>
        <w:rPr>
          <w:sz w:val="20"/>
          <w:szCs w:val="20"/>
          <w:color w:val="auto"/>
        </w:rPr>
        <w:tab/>
      </w:r>
      <w:r>
        <w:rPr>
          <w:rFonts w:ascii="Times New Roman" w:cs="Times New Roman" w:eastAsia="Times New Roman" w:hAnsi="Times New Roman"/>
          <w:sz w:val="14"/>
          <w:szCs w:val="14"/>
          <w:color w:val="auto"/>
        </w:rPr>
        <w:t>SAN DIEGO</w:t>
      </w:r>
      <w:r>
        <w:rPr>
          <w:sz w:val="20"/>
          <w:szCs w:val="20"/>
          <w:color w:val="auto"/>
        </w:rPr>
        <w:tab/>
      </w:r>
      <w:r>
        <w:rPr>
          <w:rFonts w:ascii="Times New Roman" w:cs="Times New Roman" w:eastAsia="Times New Roman" w:hAnsi="Times New Roman"/>
          <w:sz w:val="14"/>
          <w:szCs w:val="14"/>
          <w:color w:val="auto"/>
        </w:rPr>
        <w:t>SAN FRANCISCO</w:t>
      </w:r>
      <w:r>
        <w:rPr>
          <w:sz w:val="20"/>
          <w:szCs w:val="20"/>
          <w:color w:val="auto"/>
        </w:rPr>
        <w:tab/>
      </w:r>
      <w:r>
        <w:rPr>
          <w:rFonts w:ascii="Times New Roman" w:cs="Times New Roman" w:eastAsia="Times New Roman" w:hAnsi="Times New Roman"/>
          <w:sz w:val="14"/>
          <w:szCs w:val="14"/>
          <w:color w:val="auto"/>
        </w:rPr>
        <w:t>SEATTLE</w:t>
      </w:r>
      <w:r>
        <w:rPr>
          <w:sz w:val="20"/>
          <w:szCs w:val="20"/>
          <w:color w:val="auto"/>
        </w:rPr>
        <w:tab/>
      </w:r>
      <w:r>
        <w:rPr>
          <w:rFonts w:ascii="Times New Roman" w:cs="Times New Roman" w:eastAsia="Times New Roman" w:hAnsi="Times New Roman"/>
          <w:sz w:val="14"/>
          <w:szCs w:val="14"/>
          <w:color w:val="auto"/>
        </w:rPr>
        <w:t>SHANGHAI</w:t>
      </w:r>
      <w:r>
        <w:rPr>
          <w:sz w:val="20"/>
          <w:szCs w:val="20"/>
          <w:color w:val="auto"/>
        </w:rPr>
        <w:tab/>
      </w:r>
      <w:r>
        <w:rPr>
          <w:rFonts w:ascii="Times New Roman" w:cs="Times New Roman" w:eastAsia="Times New Roman" w:hAnsi="Times New Roman"/>
          <w:sz w:val="14"/>
          <w:szCs w:val="14"/>
          <w:color w:val="auto"/>
        </w:rPr>
        <w:t>WASHINGTON, DC</w:t>
      </w:r>
      <w:r>
        <w:rPr>
          <w:sz w:val="20"/>
          <w:szCs w:val="20"/>
          <w:color w:val="auto"/>
        </w:rPr>
        <w:tab/>
      </w:r>
      <w:r>
        <w:rPr>
          <w:rFonts w:ascii="Times New Roman" w:cs="Times New Roman" w:eastAsia="Times New Roman" w:hAnsi="Times New Roman"/>
          <w:sz w:val="14"/>
          <w:szCs w:val="14"/>
          <w:color w:val="auto"/>
        </w:rPr>
        <w:t>WILMINGTON, DE</w:t>
      </w:r>
    </w:p>
    <w:p>
      <w:pPr>
        <w:sectPr>
          <w:pgSz w:w="11900" w:h="16838" w:orient="portrait"/>
          <w:cols w:equalWidth="0" w:num="1">
            <w:col w:w="11024"/>
          </w:cols>
          <w:pgMar w:left="436" w:top="117" w:right="4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48640"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Tenaya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Based on and subject to the foregoing, we are of the opinion that (i) the Shares have been duly authorized by the Company and, when issued and delivered by the Company against payment therefor in accordance with the terms of the Underwriting Agreement, will be validly issued, fully paid and nonassessable; (ii) the Warrants have been duly authorized by the Company and, when issued, delivered and paid for in accordance with the terms of the Underwriting Agreement, will constitute valid and legally binding obligations of the Company; and (iii) the Warrant Shares have been duly authorized by the Company and, when issued and delivered by the Company upon exercise of the Warrants in accordance with the terms of the Warrants, will be validly issued, fully paid and nonassessable.</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Company’s Current Report on Form 8-K filed on or about the date hereof for incorporation by reference into the Registration Statement and to the use of our name wherever it appears in the Registration Statement, the Prospectus and in any amendment or supplement thereto. In giving such consent, we do not believe that we are “experts” within the meaning of such term as used in the Securities Act of 1933, as amended, or the rules and regulations of the Commission issued thereunder with respect to any part of the Registration Statement, including this opinion as an exhibit or otherwise.</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ectPr>
          <w:pgSz w:w="11900" w:h="16838" w:orient="portrait"/>
          <w:cols w:equalWidth="0" w:num="1">
            <w:col w:w="10980"/>
          </w:cols>
          <w:pgMar w:left="440" w:top="810" w:right="47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Announces Pricing of Public Offering</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 November 17, 2022 – </w:t>
      </w:r>
      <w:r>
        <w:rPr>
          <w:rFonts w:ascii="Times New Roman" w:cs="Times New Roman" w:eastAsia="Times New Roman" w:hAnsi="Times New Roman"/>
          <w:sz w:val="18"/>
          <w:szCs w:val="18"/>
          <w:color w:val="auto"/>
        </w:rPr>
        <w:t>Tenaya Therapeutics, Inc. (Nasdaq: TNYA), a clinical-stage biotechnology company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mission to discover, develop and deliver potentially curative therapies that address the underlying causes of heart disease, today announced the pricing of its underwritten public offering of 22,613,307 shares of its common stock at a price to the public of $2.60 per share and, to certain investors in lieu of common stock, pre-funded warrants to purchase up to an aggregate of 6,236,693 shares of its common stock at a purchase price of $2.599 per each pre-funded warrant, which represents the per share public offering price for the common stock less the $0.001 per share exercise price for each such pre-funded warrant. All of the securities are to be sold by Tenaya. In addition, Tenaya has granted the underwriters a 30-day option to purchase up to an additional 4,327,500 shares of its common stock. Before deducting the underwriting discounts and commissions and estimated offering expenses, Tenaya expects to receive total gross proceeds of approximately $75 million, assuming no exercise of the underwriters’ option to purchase additional shares. The offering is expected to close on or about November 21, 2022, subject to satisfaction of customary closing conditions.</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Morgan Stanley and Piper Sandler are acting as joint book-running managers for the offering. H.C. Wainwright &amp; Co. and Chardan are acting as co-lead managers for the offering.</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Tenaya filed a Registration Statement on Form S-3, which was declared effective by the SEC, and has filed a preliminary prospectus supplement and accompanying prospectus relating to the offering. A final prospectus supplement and accompanying prospectus relating to the offering will also be filed with the SEC. These documents can be accessed for free through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available, copies of the final prospectus supplement and the accompanying prospectus relating to this offering may also be obtained from: Morgan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Stanley &amp; Co. LLC, Attention: Prospectus Department, 180 Varick Street, 2nd Floor, New York, NY 10014; or Piper Sandler &amp; Co., 800 Nicollet Mall,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J12S03, Minneapolis, MN 55402, Attention: Prospectus Department, by telephone at (800) 747-3924, or by email at prospectus@psc.com.</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nor will there be any sale of these securities in any state or other jurisdiction in which such offer, solicitation, or sale would be unlawful before registration or qualification under the securities laws of that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Tenaya Therapeutics</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Tenaya Therapeutics is a clinical-stage biotechnology company committed to a bold mission: to discover, develop and deliver curative therapies that address the underlying drivers of heart disease. Founded by leading cardiovascular scientists from Gladstone Institutes and the University of Texas Southwestern Medical Center, Tenaya is developing therapies for rare genetic disorders as well as for more prevalent heart conditions through three distinct but interrelated product platforms: Gene Therapy, Cellular Regeneration and Precision Medicine.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as that term is defined in Section 27A of the Securities Act of 1933 and Section 21E of the Securities Exchange Act of 1934. Such statements include, but are not limited to, statements relating to the offering, including the timing of the closing of the offering, and the use of proceeds. These forward-looking statements are neither promises nor guarantees and are subject to a variety of risks and uncertainties, including but not limited to: whether or not Tenaya will be able to raise capital through the sale of securities or consummate the offering; the final terms of the offering; the satisfaction of customary closing conditions; prevailing market conditions; the anticipated use of the proceeds of the offering which could change as a result of market conditions or for other reasons; general economic and market conditions; and other risks. Information regarding the foregoing and additional risks may be found in the section entitled “Risk Factors” in</w:t>
      </w:r>
    </w:p>
    <w:p>
      <w:pPr>
        <w:sectPr>
          <w:pgSz w:w="11900" w:h="16838" w:orient="portrait"/>
          <w:cols w:equalWidth="0" w:num="1">
            <w:col w:w="11020"/>
          </w:cols>
          <w:pgMar w:left="440" w:top="117" w:right="439" w:bottom="1440" w:gutter="0" w:footer="0" w:header="0"/>
        </w:sectPr>
      </w:pPr>
    </w:p>
    <w:bookmarkStart w:id="61" w:name="page62"/>
    <w:bookmarkEnd w:id="61"/>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Corral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and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Tenaya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IR@tenayathera.com</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1)"/>
      <w:numFmt w:val="lowerRoman"/>
      <w:start w:val="2"/>
    </w:lvl>
  </w:abstractNum>
  <w:abstractNum w:abstractNumId="2">
    <w:nsid w:val="2A487CB0"/>
    <w:multiLevelType w:val="hybridMultilevel"/>
    <w:lvl w:ilvl="0">
      <w:lvlJc w:val="left"/>
      <w:lvlText w:val="(%1)"/>
      <w:numFmt w:val="lowerLetter"/>
      <w:start w:val="4"/>
    </w:lvl>
  </w:abstractNum>
  <w:abstractNum w:abstractNumId="3">
    <w:nsid w:val="1D4ED43B"/>
    <w:multiLevelType w:val="hybridMultilevel"/>
    <w:lvl w:ilvl="0">
      <w:lvlJc w:val="left"/>
      <w:lvlText w:val="%1."/>
      <w:numFmt w:val="decimal"/>
      <w:start w:val="1"/>
    </w:lvl>
    <w:lvl w:ilvl="1">
      <w:lvlJc w:val="left"/>
      <w:lvlText w:val="(%2)"/>
      <w:numFmt w:val="lowerLetter"/>
      <w:start w:val="1"/>
    </w:lvl>
  </w:abstractNum>
  <w:abstractNum w:abstractNumId="4">
    <w:nsid w:val="725A06FB"/>
    <w:multiLevelType w:val="hybridMultilevel"/>
    <w:lvl w:ilvl="0">
      <w:lvlJc w:val="left"/>
      <w:lvlText w:val="(%1)"/>
      <w:numFmt w:val="lowerLetter"/>
      <w:start w:val="3"/>
    </w:lvl>
  </w:abstractNum>
  <w:abstractNum w:abstractNumId="5">
    <w:nsid w:val="2CD89A32"/>
    <w:multiLevelType w:val="hybridMultilevel"/>
    <w:lvl w:ilvl="0">
      <w:lvlJc w:val="left"/>
      <w:lvlText w:val="(%1)"/>
      <w:numFmt w:val="lowerLetter"/>
      <w:start w:val="5"/>
    </w:lvl>
  </w:abstractNum>
  <w:abstractNum w:abstractNumId="6">
    <w:nsid w:val="57E4CCAF"/>
    <w:multiLevelType w:val="hybridMultilevel"/>
    <w:lvl w:ilvl="0">
      <w:lvlJc w:val="left"/>
      <w:lvlText w:val="(%1)"/>
      <w:numFmt w:val="lowerLetter"/>
      <w:start w:val="12"/>
    </w:lvl>
  </w:abstractNum>
  <w:abstractNum w:abstractNumId="7">
    <w:nsid w:val="7A6D8D3C"/>
    <w:multiLevelType w:val="hybridMultilevel"/>
    <w:lvl w:ilvl="0">
      <w:lvlJc w:val="left"/>
      <w:lvlText w:val="(%1)"/>
      <w:numFmt w:val="lowerLetter"/>
      <w:start w:val="17"/>
    </w:lvl>
  </w:abstractNum>
  <w:abstractNum w:abstractNumId="8">
    <w:nsid w:val="4B588F54"/>
    <w:multiLevelType w:val="hybridMultilevel"/>
    <w:lvl w:ilvl="0">
      <w:lvlJc w:val="left"/>
      <w:lvlText w:val="(%1)"/>
      <w:numFmt w:val="lowerLetter"/>
      <w:start w:val="20"/>
    </w:lvl>
    <w:lvl w:ilvl="1">
      <w:lvlJc w:val="left"/>
      <w:lvlText w:val="(%2)"/>
      <w:numFmt w:val="upperLetter"/>
      <w:start w:val="1"/>
    </w:lvl>
  </w:abstractNum>
  <w:abstractNum w:abstractNumId="9">
    <w:nsid w:val="542289EC"/>
    <w:multiLevelType w:val="hybridMultilevel"/>
    <w:lvl w:ilvl="0">
      <w:lvlJc w:val="left"/>
      <w:lvlText w:val="(%1)"/>
      <w:numFmt w:val="lowerRoman"/>
      <w:start w:val="2"/>
    </w:lvl>
    <w:lvl w:ilvl="1">
      <w:lvlJc w:val="left"/>
      <w:lvlText w:val="(%2)"/>
      <w:numFmt w:val="upperLetter"/>
      <w:start w:val="1"/>
    </w:lvl>
  </w:abstractNum>
  <w:abstractNum w:abstractNumId="10">
    <w:nsid w:val="6DE91B18"/>
    <w:multiLevelType w:val="hybridMultilevel"/>
    <w:lvl w:ilvl="0">
      <w:lvlJc w:val="left"/>
      <w:lvlText w:val="(%1)"/>
      <w:numFmt w:val="lowerLetter"/>
      <w:start w:val="22"/>
    </w:lvl>
  </w:abstractNum>
  <w:abstractNum w:abstractNumId="11">
    <w:nsid w:val="38437FDB"/>
    <w:multiLevelType w:val="hybridMultilevel"/>
    <w:lvl w:ilvl="0">
      <w:lvlJc w:val="left"/>
      <w:lvlText w:val="(%1)"/>
      <w:numFmt w:val="upperLetter"/>
      <w:start w:val="1"/>
    </w:lvl>
    <w:lvl w:ilvl="1">
      <w:lvlJc w:val="left"/>
      <w:lvlText w:val="(%2)"/>
      <w:numFmt w:val="lowerLetter"/>
      <w:start w:val="25"/>
    </w:lvl>
  </w:abstractNum>
  <w:abstractNum w:abstractNumId="12">
    <w:nsid w:val="7644A45C"/>
    <w:multiLevelType w:val="hybridMultilevel"/>
    <w:lvl w:ilvl="0">
      <w:lvlJc w:val="left"/>
      <w:lvlText w:val="(%1)"/>
      <w:numFmt w:val="lowerLetter"/>
      <w:start w:val="26"/>
    </w:lvl>
  </w:abstractNum>
  <w:abstractNum w:abstractNumId="13">
    <w:nsid w:val="32FFF902"/>
    <w:multiLevelType w:val="hybridMultilevel"/>
    <w:lvl w:ilvl="0">
      <w:lvlJc w:val="left"/>
      <w:lvlText w:val="(%1)"/>
      <w:numFmt w:val="lowerLetter"/>
      <w:start w:val="27"/>
    </w:lvl>
  </w:abstractNum>
  <w:abstractNum w:abstractNumId="14">
    <w:nsid w:val="684A481A"/>
    <w:multiLevelType w:val="hybridMultilevel"/>
    <w:lvl w:ilvl="0">
      <w:lvlJc w:val="left"/>
      <w:lvlText w:val="(%1)"/>
      <w:numFmt w:val="lowerLetter"/>
      <w:start w:val="28"/>
    </w:lvl>
  </w:abstractNum>
  <w:abstractNum w:abstractNumId="15">
    <w:nsid w:val="579478FE"/>
    <w:multiLevelType w:val="hybridMultilevel"/>
    <w:lvl w:ilvl="0">
      <w:lvlJc w:val="left"/>
      <w:lvlText w:val="(%1)"/>
      <w:numFmt w:val="lowerLetter"/>
      <w:start w:val="32"/>
    </w:lvl>
  </w:abstractNum>
  <w:abstractNum w:abstractNumId="16">
    <w:nsid w:val="749ABB43"/>
    <w:multiLevelType w:val="hybridMultilevel"/>
    <w:lvl w:ilvl="0">
      <w:lvlJc w:val="left"/>
      <w:lvlText w:val="(%1)"/>
      <w:numFmt w:val="lowerLetter"/>
      <w:start w:val="37"/>
    </w:lvl>
    <w:lvl w:ilvl="1">
      <w:lvlJc w:val="left"/>
      <w:lvlText w:val="(%2)"/>
      <w:numFmt w:val="lowerRoman"/>
      <w:start w:val="1"/>
    </w:lvl>
  </w:abstractNum>
  <w:abstractNum w:abstractNumId="17">
    <w:nsid w:val="3DC240FB"/>
    <w:multiLevelType w:val="hybridMultilevel"/>
    <w:lvl w:ilvl="0">
      <w:lvlJc w:val="left"/>
      <w:lvlText w:val="%1"/>
      <w:numFmt w:val="lowerRoman"/>
      <w:start w:val="1"/>
    </w:lvl>
    <w:lvl w:ilvl="1">
      <w:lvlJc w:val="left"/>
      <w:lvlText w:val="(%2)"/>
      <w:numFmt w:val="lowerRoman"/>
      <w:start w:val="3"/>
    </w:lvl>
  </w:abstractNum>
  <w:abstractNum w:abstractNumId="18">
    <w:nsid w:val="1BA026FA"/>
    <w:multiLevelType w:val="hybridMultilevel"/>
    <w:lvl w:ilvl="0">
      <w:lvlJc w:val="left"/>
      <w:lvlText w:val="(%1)"/>
      <w:numFmt w:val="lowerRoman"/>
      <w:start w:val="1"/>
    </w:lvl>
    <w:lvl w:ilvl="1">
      <w:lvlJc w:val="left"/>
      <w:lvlText w:val="%2"/>
      <w:numFmt w:val="lowerRoman"/>
      <w:start w:val="1"/>
    </w:lvl>
  </w:abstractNum>
  <w:abstractNum w:abstractNumId="19">
    <w:nsid w:val="79A1DEAA"/>
    <w:multiLevelType w:val="hybridMultilevel"/>
    <w:lvl w:ilvl="0">
      <w:lvlJc w:val="left"/>
      <w:lvlText w:val="(%1)"/>
      <w:numFmt w:val="lowerLetter"/>
      <w:start w:val="41"/>
    </w:lvl>
  </w:abstractNum>
  <w:abstractNum w:abstractNumId="20">
    <w:nsid w:val="75C6C33A"/>
    <w:multiLevelType w:val="hybridMultilevel"/>
    <w:lvl w:ilvl="0">
      <w:lvlJc w:val="left"/>
      <w:lvlText w:val="%1"/>
      <w:numFmt w:val="lowerRoman"/>
      <w:start w:val="1"/>
    </w:lvl>
    <w:lvl w:ilvl="1">
      <w:lvlJc w:val="left"/>
      <w:lvlText w:val="(%2)"/>
      <w:numFmt w:val="lowerLetter"/>
      <w:start w:val="42"/>
    </w:lvl>
  </w:abstractNum>
  <w:abstractNum w:abstractNumId="21">
    <w:nsid w:val="12E685FB"/>
    <w:multiLevelType w:val="hybridMultilevel"/>
    <w:lvl w:ilvl="0">
      <w:lvlJc w:val="left"/>
      <w:lvlText w:val="(%1)"/>
      <w:numFmt w:val="lowerRoman"/>
      <w:start w:val="4"/>
    </w:lvl>
    <w:lvl w:ilvl="1">
      <w:lvlJc w:val="left"/>
      <w:lvlText w:val="(%2)"/>
      <w:numFmt w:val="lowerLetter"/>
      <w:start w:val="43"/>
    </w:lvl>
  </w:abstractNum>
  <w:abstractNum w:abstractNumId="22">
    <w:nsid w:val="70C6A529"/>
    <w:multiLevelType w:val="hybridMultilevel"/>
    <w:lvl w:ilvl="0">
      <w:lvlJc w:val="left"/>
      <w:lvlText w:val="(%1)"/>
      <w:numFmt w:val="lowerLetter"/>
      <w:start w:val="44"/>
    </w:lvl>
  </w:abstractNum>
  <w:abstractNum w:abstractNumId="23">
    <w:nsid w:val="520EEDD1"/>
    <w:multiLevelType w:val="hybridMultilevel"/>
    <w:lvl w:ilvl="0">
      <w:lvlJc w:val="left"/>
      <w:lvlText w:val="%1."/>
      <w:numFmt w:val="decimal"/>
      <w:start w:val="2"/>
    </w:lvl>
  </w:abstractNum>
  <w:abstractNum w:abstractNumId="24">
    <w:nsid w:val="374A3FE6"/>
    <w:multiLevelType w:val="hybridMultilevel"/>
    <w:lvl w:ilvl="0">
      <w:lvlJc w:val="left"/>
      <w:lvlText w:val="%1."/>
      <w:numFmt w:val="decimal"/>
      <w:start w:val="3"/>
    </w:lvl>
  </w:abstractNum>
  <w:abstractNum w:abstractNumId="25">
    <w:nsid w:val="4F4EF005"/>
    <w:multiLevelType w:val="hybridMultilevel"/>
    <w:lvl w:ilvl="0">
      <w:lvlJc w:val="left"/>
      <w:lvlText w:val="%1."/>
      <w:numFmt w:val="decimal"/>
      <w:start w:val="4"/>
    </w:lvl>
  </w:abstractNum>
  <w:abstractNum w:abstractNumId="26">
    <w:nsid w:val="23F9C13C"/>
    <w:multiLevelType w:val="hybridMultilevel"/>
    <w:lvl w:ilvl="0">
      <w:lvlJc w:val="left"/>
      <w:lvlText w:val="%1."/>
      <w:numFmt w:val="decimal"/>
      <w:start w:val="5"/>
    </w:lvl>
  </w:abstractNum>
  <w:abstractNum w:abstractNumId="27">
    <w:nsid w:val="649BB77C"/>
    <w:multiLevelType w:val="hybridMultilevel"/>
    <w:lvl w:ilvl="0">
      <w:lvlJc w:val="left"/>
      <w:lvlText w:val="(%1)"/>
      <w:numFmt w:val="lowerLetter"/>
      <w:start w:val="1"/>
    </w:lvl>
    <w:lvl w:ilvl="1">
      <w:lvlJc w:val="left"/>
      <w:lvlText w:val="(%2)"/>
      <w:numFmt w:val="lowerRoman"/>
      <w:start w:val="1"/>
    </w:lvl>
  </w:abstractNum>
  <w:abstractNum w:abstractNumId="28">
    <w:nsid w:val="275AC794"/>
    <w:multiLevelType w:val="hybridMultilevel"/>
    <w:lvl w:ilvl="0">
      <w:lvlJc w:val="left"/>
      <w:lvlText w:val="(%1)"/>
      <w:numFmt w:val="lowerLetter"/>
      <w:start w:val="2"/>
    </w:lvl>
  </w:abstractNum>
  <w:abstractNum w:abstractNumId="29">
    <w:nsid w:val="39386575"/>
    <w:multiLevelType w:val="hybridMultilevel"/>
    <w:lvl w:ilvl="0">
      <w:lvlJc w:val="left"/>
      <w:lvlText w:val="(%1)"/>
      <w:numFmt w:val="lowerLetter"/>
      <w:start w:val="3"/>
    </w:lvl>
  </w:abstractNum>
  <w:abstractNum w:abstractNumId="30">
    <w:nsid w:val="1CF10FD8"/>
    <w:multiLevelType w:val="hybridMultilevel"/>
    <w:lvl w:ilvl="0">
      <w:lvlJc w:val="left"/>
      <w:lvlText w:val="(%1)"/>
      <w:numFmt w:val="lowerLetter"/>
      <w:start w:val="6"/>
    </w:lvl>
    <w:lvl w:ilvl="1">
      <w:lvlJc w:val="left"/>
      <w:lvlText w:val="(%2)"/>
      <w:numFmt w:val="lowerRoman"/>
      <w:start w:val="1"/>
    </w:lvl>
  </w:abstractNum>
  <w:abstractNum w:abstractNumId="31">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2">
    <w:nsid w:val="235BA86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3">
    <w:nsid w:val="47398C89"/>
    <w:multiLevelType w:val="hybridMultilevel"/>
    <w:lvl w:ilvl="0">
      <w:lvlJc w:val="left"/>
      <w:lvlText w:val="(%1)"/>
      <w:numFmt w:val="lowerLetter"/>
      <w:start w:val="4"/>
    </w:lvl>
  </w:abstractNum>
  <w:abstractNum w:abstractNumId="34">
    <w:nsid w:val="354FE9F9"/>
    <w:multiLevelType w:val="hybridMultilevel"/>
    <w:lvl w:ilvl="0">
      <w:lvlJc w:val="left"/>
      <w:lvlText w:val="%1"/>
      <w:numFmt w:val="lowerLetter"/>
      <w:start w:val="1"/>
    </w:lvl>
    <w:lvl w:ilvl="1">
      <w:lvlJc w:val="left"/>
      <w:lvlText w:val="(%2)"/>
      <w:numFmt w:val="lowerLetter"/>
      <w:start w:val="7"/>
    </w:lvl>
  </w:abstractNum>
  <w:abstractNum w:abstractNumId="35">
    <w:nsid w:val="15B5AF5C"/>
    <w:multiLevelType w:val="hybridMultilevel"/>
    <w:lvl w:ilvl="0">
      <w:lvlJc w:val="left"/>
      <w:lvlText w:val="(%1)"/>
      <w:numFmt w:val="lowerLetter"/>
      <w:start w:val="35"/>
    </w:lvl>
    <w:lvl w:ilvl="1">
      <w:lvlJc w:val="left"/>
      <w:lvlText w:val="%2"/>
      <w:numFmt w:val="lowerLetter"/>
      <w:start w:val="1"/>
    </w:lvl>
  </w:abstractNum>
  <w:abstractNum w:abstractNumId="36">
    <w:nsid w:val="741226BB"/>
    <w:multiLevelType w:val="hybridMultilevel"/>
    <w:lvl w:ilvl="0">
      <w:lvlJc w:val="left"/>
      <w:lvlText w:val="(%1)"/>
      <w:numFmt w:val="lowerLetter"/>
      <w:start w:val="10"/>
    </w:lvl>
  </w:abstractNum>
  <w:abstractNum w:abstractNumId="37">
    <w:nsid w:val="D34B6A8"/>
    <w:multiLevelType w:val="hybridMultilevel"/>
    <w:lvl w:ilvl="0">
      <w:lvlJc w:val="left"/>
      <w:lvlText w:val="(%1)"/>
      <w:numFmt w:val="lowerRoman"/>
      <w:start w:val="2"/>
    </w:lvl>
  </w:abstractNum>
  <w:abstractNum w:abstractNumId="38">
    <w:nsid w:val="10233C99"/>
    <w:multiLevelType w:val="hybridMultilevel"/>
    <w:lvl w:ilvl="0">
      <w:lvlJc w:val="left"/>
      <w:lvlText w:val="%1."/>
      <w:numFmt w:val="decimal"/>
      <w:start w:val="7"/>
    </w:lvl>
    <w:lvl w:ilvl="1">
      <w:lvlJc w:val="left"/>
      <w:lvlText w:val="(%2)"/>
      <w:numFmt w:val="lowerLetter"/>
      <w:start w:val="2"/>
    </w:lvl>
  </w:abstractNum>
  <w:abstractNum w:abstractNumId="39">
    <w:nsid w:val="3F6AB60F"/>
    <w:multiLevelType w:val="hybridMultilevel"/>
    <w:lvl w:ilvl="0">
      <w:lvlJc w:val="left"/>
      <w:lvlText w:val="%1"/>
      <w:numFmt w:val="lowerLetter"/>
      <w:start w:val="1"/>
    </w:lvl>
    <w:lvl w:ilvl="1">
      <w:lvlJc w:val="left"/>
      <w:lvlText w:val="(%2)"/>
      <w:numFmt w:val="lowerLetter"/>
      <w:start w:val="3"/>
    </w:lvl>
  </w:abstractNum>
  <w:abstractNum w:abstractNumId="40">
    <w:nsid w:val="61574095"/>
    <w:multiLevelType w:val="hybridMultilevel"/>
    <w:lvl w:ilvl="0">
      <w:lvlJc w:val="left"/>
      <w:lvlText w:val="(%1)"/>
      <w:numFmt w:val="lowerLetter"/>
      <w:start w:val="35"/>
    </w:lvl>
    <w:lvl w:ilvl="1">
      <w:lvlJc w:val="left"/>
      <w:lvlText w:val="%2"/>
      <w:numFmt w:val="lowerLetter"/>
      <w:start w:val="1"/>
    </w:lvl>
  </w:abstractNum>
  <w:abstractNum w:abstractNumId="41">
    <w:nsid w:val="7E0C57B1"/>
    <w:multiLevelType w:val="hybridMultilevel"/>
    <w:lvl w:ilvl="0">
      <w:lvlJc w:val="left"/>
      <w:lvlText w:val="(%1)"/>
      <w:numFmt w:val="lowerLetter"/>
      <w:start w:val="4"/>
    </w:lvl>
  </w:abstractNum>
  <w:abstractNum w:abstractNumId="42">
    <w:nsid w:val="77AE35EB"/>
    <w:multiLevelType w:val="hybridMultilevel"/>
    <w:lvl w:ilvl="0">
      <w:lvlJc w:val="left"/>
      <w:lvlText w:val="%1"/>
      <w:numFmt w:val="lowerLetter"/>
      <w:start w:val="1"/>
    </w:lvl>
    <w:lvl w:ilvl="1">
      <w:lvlJc w:val="left"/>
      <w:lvlText w:val="(%2)"/>
      <w:numFmt w:val="lowerLetter"/>
      <w:start w:val="6"/>
    </w:lvl>
  </w:abstractNum>
  <w:abstractNum w:abstractNumId="43">
    <w:nsid w:val="579BE4F1"/>
    <w:multiLevelType w:val="hybridMultilevel"/>
    <w:lvl w:ilvl="0">
      <w:lvlJc w:val="left"/>
      <w:lvlText w:val="(%1)"/>
      <w:numFmt w:val="lowerLetter"/>
      <w:start w:val="35"/>
    </w:lvl>
    <w:lvl w:ilvl="1">
      <w:lvlJc w:val="left"/>
      <w:lvlText w:val="%2"/>
      <w:numFmt w:val="lowerLetter"/>
      <w:start w:val="1"/>
    </w:lvl>
  </w:abstractNum>
  <w:abstractNum w:abstractNumId="44">
    <w:nsid w:val="310C50B3"/>
    <w:multiLevelType w:val="hybridMultilevel"/>
    <w:lvl w:ilvl="0">
      <w:lvlJc w:val="left"/>
      <w:lvlText w:val="%1."/>
      <w:numFmt w:val="decimal"/>
      <w:start w:val="9"/>
    </w:lvl>
  </w:abstractNum>
  <w:abstractNum w:abstractNumId="45">
    <w:nsid w:val="5FF87E05"/>
    <w:multiLevelType w:val="hybridMultilevel"/>
    <w:lvl w:ilvl="0">
      <w:lvlJc w:val="left"/>
      <w:lvlText w:val="%1."/>
      <w:numFmt w:val="decimal"/>
      <w:start w:val="11"/>
    </w:lvl>
  </w:abstractNum>
  <w:abstractNum w:abstractNumId="46">
    <w:nsid w:val="2F305DEF"/>
    <w:multiLevelType w:val="hybridMultilevel"/>
    <w:lvl w:ilvl="0">
      <w:lvlJc w:val="left"/>
      <w:lvlText w:val="%1"/>
      <w:numFmt w:val="decimal"/>
      <w:start w:val="1"/>
    </w:lvl>
    <w:lvl w:ilvl="1">
      <w:lvlJc w:val="left"/>
      <w:lvlText w:val="(%2)"/>
      <w:numFmt w:val="lowerLetter"/>
      <w:start w:val="2"/>
    </w:lvl>
  </w:abstractNum>
  <w:abstractNum w:abstractNumId="47">
    <w:nsid w:val="25A70BF7"/>
    <w:multiLevelType w:val="hybridMultilevel"/>
    <w:lvl w:ilvl="0">
      <w:lvlJc w:val="left"/>
      <w:lvlText w:val="%1."/>
      <w:numFmt w:val="decimal"/>
      <w:start w:val="12"/>
    </w:lvl>
    <w:lvl w:ilvl="1">
      <w:lvlJc w:val="left"/>
      <w:lvlText w:val="(%2)"/>
      <w:numFmt w:val="lowerLetter"/>
      <w:start w:val="2"/>
    </w:lvl>
  </w:abstractNum>
  <w:abstractNum w:abstractNumId="48">
    <w:nsid w:val="1DBABF00"/>
    <w:multiLevelType w:val="hybridMultilevel"/>
    <w:lvl w:ilvl="0">
      <w:lvlJc w:val="left"/>
      <w:lvlText w:val="%1."/>
      <w:numFmt w:val="decimal"/>
      <w:start w:val="13"/>
    </w:lvl>
  </w:abstractNum>
  <w:abstractNum w:abstractNumId="49">
    <w:nsid w:val="4AD084E9"/>
    <w:multiLevelType w:val="hybridMultilevel"/>
    <w:lvl w:ilvl="0">
      <w:lvlJc w:val="left"/>
      <w:lvlText w:val="%1."/>
      <w:numFmt w:val="decimal"/>
      <w:start w:val="14"/>
    </w:lvl>
  </w:abstractNum>
  <w:abstractNum w:abstractNumId="50">
    <w:nsid w:val="1F48EAA1"/>
    <w:multiLevelType w:val="hybridMultilevel"/>
    <w:lvl w:ilvl="0">
      <w:lvlJc w:val="left"/>
      <w:lvlText w:val="%1."/>
      <w:numFmt w:val="decimal"/>
      <w:start w:val="1"/>
    </w:lvl>
  </w:abstractNum>
  <w:abstractNum w:abstractNumId="51">
    <w:nsid w:val="1381823A"/>
    <w:multiLevelType w:val="hybridMultilevel"/>
    <w:lvl w:ilvl="0">
      <w:lvlJc w:val="left"/>
      <w:lvlText w:val="(%1)"/>
      <w:numFmt w:val="lowerLetter"/>
      <w:start w:val="1"/>
    </w:lvl>
  </w:abstractNum>
  <w:abstractNum w:abstractNumId="52">
    <w:nsid w:val="5DB70AE5"/>
    <w:multiLevelType w:val="hybridMultilevel"/>
    <w:lvl w:ilvl="0">
      <w:lvlJc w:val="left"/>
      <w:lvlText w:val="(%1)"/>
      <w:numFmt w:val="lowerLetter"/>
      <w:start w:val="3"/>
    </w:lvl>
  </w:abstractNum>
  <w:abstractNum w:abstractNumId="53">
    <w:nsid w:val="100F8FCA"/>
    <w:multiLevelType w:val="hybridMultilevel"/>
    <w:lvl w:ilvl="0">
      <w:lvlJc w:val="left"/>
      <w:lvlText w:val="(%1)"/>
      <w:numFmt w:val="lowerLetter"/>
      <w:start w:val="6"/>
    </w:lvl>
  </w:abstractNum>
  <w:abstractNum w:abstractNumId="54">
    <w:nsid w:val="6590700B"/>
    <w:multiLevelType w:val="hybridMultilevel"/>
    <w:lvl w:ilvl="0">
      <w:lvlJc w:val="left"/>
      <w:lvlText w:val="(%1)"/>
      <w:numFmt w:val="lowerLetter"/>
      <w:start w:val="9"/>
    </w:lvl>
  </w:abstractNum>
  <w:abstractNum w:abstractNumId="55">
    <w:nsid w:val="15014ACB"/>
    <w:multiLevelType w:val="hybridMultilevel"/>
    <w:lvl w:ilvl="0">
      <w:lvlJc w:val="left"/>
      <w:lvlText w:val="(%1)"/>
      <w:numFmt w:val="lowerRoman"/>
      <w:start w:val="2"/>
    </w:lvl>
  </w:abstractNum>
  <w:abstractNum w:abstractNumId="56">
    <w:nsid w:val="5F5E7FD0"/>
    <w:multiLevelType w:val="hybridMultilevel"/>
    <w:lvl w:ilvl="0">
      <w:lvlJc w:val="left"/>
      <w:lvlText w:val="(%1)"/>
      <w:numFmt w:val="lowerLetter"/>
      <w:start w:val="1"/>
    </w:lvl>
  </w:abstractNum>
  <w:abstractNum w:abstractNumId="57">
    <w:nsid w:val="98A3148"/>
    <w:multiLevelType w:val="hybridMultilevel"/>
    <w:lvl w:ilvl="0">
      <w:lvlJc w:val="left"/>
      <w:lvlText w:val="(%1)"/>
      <w:numFmt w:val="lowerLetter"/>
      <w:start w:val="8"/>
    </w:lvl>
  </w:abstractNum>
  <w:abstractNum w:abstractNumId="58">
    <w:nsid w:val="799D0247"/>
    <w:multiLevelType w:val="hybridMultilevel"/>
    <w:lvl w:ilvl="0">
      <w:lvlJc w:val="left"/>
      <w:lvlText w:val="%1."/>
      <w:numFmt w:val="decimal"/>
      <w:start w:val="2"/>
    </w:lvl>
  </w:abstractNum>
  <w:abstractNum w:abstractNumId="59">
    <w:nsid w:val="6B94764"/>
    <w:multiLevelType w:val="hybridMultilevel"/>
    <w:lvl w:ilvl="0">
      <w:lvlJc w:val="left"/>
      <w:lvlText w:val="(%1)"/>
      <w:numFmt w:val="lowerLetter"/>
      <w:start w:val="1"/>
    </w:lvl>
  </w:abstractNum>
  <w:abstractNum w:abstractNumId="60">
    <w:nsid w:val="42C296BD"/>
    <w:multiLevelType w:val="hybridMultilevel"/>
    <w:lvl w:ilvl="0">
      <w:lvlJc w:val="left"/>
      <w:lvlText w:val="%1."/>
      <w:numFmt w:val="decimal"/>
      <w:start w:val="5"/>
    </w:lvl>
  </w:abstractNum>
  <w:abstractNum w:abstractNumId="61">
    <w:nsid w:val="168E121F"/>
    <w:multiLevelType w:val="hybridMultilevel"/>
    <w:lvl w:ilvl="0">
      <w:lvlJc w:val="left"/>
      <w:lvlText w:val="(%1)"/>
      <w:numFmt w:val="lowerLetter"/>
      <w:start w:val="1"/>
    </w:lvl>
  </w:abstractNum>
  <w:abstractNum w:abstractNumId="62">
    <w:nsid w:val="1EBA5D23"/>
    <w:multiLevelType w:val="hybridMultilevel"/>
    <w:lvl w:ilvl="0">
      <w:lvlJc w:val="left"/>
      <w:lvlText w:val="(%1)"/>
      <w:numFmt w:val="lowerLetter"/>
      <w:start w:val="2"/>
    </w:lvl>
  </w:abstractNum>
  <w:abstractNum w:abstractNumId="63">
    <w:nsid w:val="661E3F1E"/>
    <w:multiLevelType w:val="hybridMultilevel"/>
    <w:lvl w:ilvl="0">
      <w:lvlJc w:val="left"/>
      <w:lvlText w:val="%1."/>
      <w:numFmt w:val="decimal"/>
      <w:start w:val="6"/>
    </w:lvl>
  </w:abstractNum>
  <w:abstractNum w:abstractNumId="64">
    <w:nsid w:val="5DC79EA8"/>
    <w:multiLevelType w:val="hybridMultilevel"/>
    <w:lvl w:ilvl="0">
      <w:lvlJc w:val="left"/>
      <w:lvlText w:val="%1."/>
      <w:numFmt w:val="decimal"/>
      <w:start w:val="9"/>
    </w:lvl>
  </w:abstractNum>
  <w:abstractNum w:abstractNumId="65">
    <w:nsid w:val="540A471C"/>
    <w:multiLevelType w:val="hybridMultilevel"/>
    <w:lvl w:ilvl="0">
      <w:lvlJc w:val="left"/>
      <w:lvlText w:val="(%1)"/>
      <w:numFmt w:val="lowerLetter"/>
      <w:start w:val="1"/>
    </w:lvl>
  </w:abstractNum>
  <w:abstractNum w:abstractNumId="66">
    <w:nsid w:val="7BD3EE7B"/>
    <w:multiLevelType w:val="hybridMultilevel"/>
    <w:lvl w:ilvl="0">
      <w:lvlJc w:val="left"/>
      <w:lvlText w:val="(%1)"/>
      <w:numFmt w:val="lowerLetter"/>
      <w:start w:val="61"/>
    </w:lvl>
  </w:abstractNum>
  <w:abstractNum w:abstractNumId="67">
    <w:nsid w:val="51D9C564"/>
    <w:multiLevelType w:val="hybridMultilevel"/>
    <w:lvl w:ilvl="0">
      <w:lvlJc w:val="left"/>
      <w:lvlText w:val="(%1)"/>
      <w:numFmt w:val="lowerLetter"/>
      <w:start w:val="3"/>
    </w:lvl>
  </w:abstractNum>
  <w:abstractNum w:abstractNumId="68">
    <w:nsid w:val="613EFDC5"/>
    <w:multiLevelType w:val="hybridMultilevel"/>
    <w:lvl w:ilvl="0">
      <w:lvlJc w:val="left"/>
      <w:lvlText w:val="(%1)"/>
      <w:numFmt w:val="lowerLetter"/>
      <w:start w:val="4"/>
    </w:lvl>
  </w:abstractNum>
  <w:abstractNum w:abstractNumId="69">
    <w:nsid w:val="BF72B14"/>
    <w:multiLevelType w:val="hybridMultilevel"/>
    <w:lvl w:ilvl="0">
      <w:lvlJc w:val="left"/>
      <w:lvlText w:val="%1."/>
      <w:numFmt w:val="decimal"/>
      <w:start w:val="10"/>
    </w:lvl>
  </w:abstractNum>
  <w:abstractNum w:abstractNumId="70">
    <w:nsid w:val="11447B73"/>
    <w:multiLevelType w:val="hybridMultilevel"/>
    <w:lvl w:ilvl="0">
      <w:lvlJc w:val="left"/>
      <w:lvlText w:val="%1."/>
      <w:numFmt w:val="decimal"/>
      <w:start w:val="11"/>
    </w:lvl>
  </w:abstractNum>
  <w:abstractNum w:abstractNumId="71">
    <w:nsid w:val="42963E5A"/>
    <w:multiLevelType w:val="hybridMultilevel"/>
    <w:lvl w:ilvl="0">
      <w:lvlJc w:val="left"/>
      <w:lvlText w:val="(%1)"/>
      <w:numFmt w:val="lowerLetter"/>
      <w:start w:val="1"/>
    </w:lvl>
  </w:abstractNum>
  <w:abstractNum w:abstractNumId="72">
    <w:nsid w:val="A0382C5"/>
    <w:multiLevelType w:val="hybridMultilevel"/>
    <w:lvl w:ilvl="0">
      <w:lvlJc w:val="left"/>
      <w:lvlText w:val="%1."/>
      <w:numFmt w:val="decimal"/>
      <w:start w:val="12"/>
    </w:lvl>
  </w:abstractNum>
  <w:abstractNum w:abstractNumId="73">
    <w:nsid w:val="8F2B15E"/>
    <w:multiLevelType w:val="hybridMultilevel"/>
    <w:lvl w:ilvl="0">
      <w:lvlJc w:val="left"/>
      <w:lvlText w:val="(%1)"/>
      <w:numFmt w:val="lowerRoman"/>
      <w:start w:val="2"/>
    </w:lvl>
  </w:abstractNum>
  <w:abstractNum w:abstractNumId="74">
    <w:nsid w:val="1A32234B"/>
    <w:multiLevelType w:val="hybridMultilevel"/>
    <w:lvl w:ilvl="0">
      <w:lvlJc w:val="left"/>
      <w:lvlText w:val="%1."/>
      <w:numFmt w:val="decimal"/>
      <w:start w:val="14"/>
    </w:lvl>
  </w:abstractNum>
  <w:abstractNum w:abstractNumId="75">
    <w:nsid w:val="3B0FD379"/>
    <w:multiLevelType w:val="hybridMultilevel"/>
    <w:lvl w:ilvl="0">
      <w:lvlJc w:val="left"/>
      <w:lvlText w:val="(%1)"/>
      <w:numFmt w:val="lowerLetter"/>
      <w:start w:val="1"/>
    </w:lvl>
  </w:abstractNum>
  <w:abstractNum w:abstractNumId="76">
    <w:nsid w:val="68EB2F63"/>
    <w:multiLevelType w:val="hybridMultilevel"/>
    <w:lvl w:ilvl="0">
      <w:lvlJc w:val="left"/>
      <w:lvlText w:val="(%1)"/>
      <w:numFmt w:val="lowerRoman"/>
      <w:start w:val="2"/>
    </w:lvl>
  </w:abstractNum>
  <w:abstractNum w:abstractNumId="77">
    <w:nsid w:val="4962813B"/>
    <w:multiLevelType w:val="hybridMultilevel"/>
    <w:lvl w:ilvl="0">
      <w:lvlJc w:val="left"/>
      <w:lvlText w:val="(%1)"/>
      <w:numFmt w:val="lowerLetter"/>
      <w:start w:val="3"/>
    </w:lvl>
  </w:abstractNum>
  <w:abstractNum w:abstractNumId="78">
    <w:nsid w:val="60B6DF70"/>
    <w:multiLevelType w:val="hybridMultilevel"/>
    <w:lvl w:ilvl="0">
      <w:lvlJc w:val="left"/>
      <w:lvlText w:val="(%1)"/>
      <w:numFmt w:val="lowerLetter"/>
      <w:start w:val="4"/>
    </w:lvl>
  </w:abstractNum>
  <w:abstractNum w:abstractNumId="79">
    <w:nsid w:val="6A5EE64"/>
    <w:multiLevelType w:val="hybridMultilevel"/>
    <w:lvl w:ilvl="0">
      <w:lvlJc w:val="left"/>
      <w:lvlText w:val="(%1)"/>
      <w:numFmt w:val="decimal"/>
      <w:start w:val="1"/>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1)"/>
      <w:numFmt w:val="decimal"/>
      <w:start w:val="4"/>
    </w:lvl>
  </w:abstractNum>
  <w:abstractNum w:abstractNumId="82">
    <w:nsid w:val="1A27709E"/>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2022-11-17T15:31:47Z</dcterms:created>
  <dcterms:modified xsi:type="dcterms:W3CDTF">2022-11-17T15:31:47Z</dcterms:modified>
</cp:coreProperties>
</file>