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Tenaya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87990A106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87990A106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Empery Asset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8,727,314.00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8,727,314.00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8,727,314.00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87990A106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Ryan M. Lane</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8,727,314.00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8,727,314.00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8,727,314.00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9.96 %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87990A106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Martin D. Hoe</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8,727,314.00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8,727,314.00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8,727,314.00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Tenaya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359"/>
        <w:spacing w:after="0"/>
        <w:rPr>
          <w:sz w:val="20"/>
          <w:szCs w:val="20"/>
          <w:color w:val="auto"/>
        </w:rPr>
      </w:pPr>
      <w:r>
        <w:rPr>
          <w:rFonts w:ascii="Times New Roman" w:cs="Times New Roman" w:eastAsia="Times New Roman" w:hAnsi="Times New Roman"/>
          <w:sz w:val="22"/>
          <w:szCs w:val="22"/>
          <w:color w:val="auto"/>
        </w:rPr>
        <w:t>171 Oyster Point Blvd., Suite 500, South San Francisco, CA 94080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ind w:right="140"/>
        <w:spacing w:after="0" w:line="235" w:lineRule="auto"/>
        <w:rPr>
          <w:sz w:val="20"/>
          <w:szCs w:val="20"/>
          <w:color w:val="auto"/>
        </w:rPr>
      </w:pPr>
      <w:r>
        <w:rPr>
          <w:rFonts w:ascii="Times New Roman" w:cs="Times New Roman" w:eastAsia="Times New Roman" w:hAnsi="Times New Roman"/>
          <w:sz w:val="22"/>
          <w:szCs w:val="22"/>
          <w:color w:val="auto"/>
        </w:rPr>
        <w:t>This statement is filed by the entities and persons listed below, who are collectively referred to herein as "Reporting Persons," with respect to Common Stock, par value $0.0001 per share (the "Common Stock") of Tenaya Therapeutics, Inc., a Delaware corporation (the "Company"): (i) Empery Asset Management, LP (the "Investment Manager"), with respect to the Common Stock held by funds to which the Investment Manager serves as investment manager (the "Empery Funds"); (ii) Mr. Ryan M. Lane ("Mr. Lane"), with respect to the Common Stock held by the Empery Funds; and (iii) Mr. Martin D. Hoe ("Mr. Hoe"), with respect to the Common Stock held by the Empery Funds.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Rockefeller Plaza, Suite 1205, New York, New York 10020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22"/>
          <w:szCs w:val="22"/>
          <w:color w:val="auto"/>
        </w:rPr>
        <w:t>Citizenship is set forth in Row 4 of the cover page for each Reporting Person hereto and is incorporated herein by reference for each such Reporting Person.</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87990A106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200"/>
          </w:cols>
          <w:pgMar w:left="360" w:top="355" w:right="419" w:bottom="0" w:gutter="0" w:footer="0" w:header="0"/>
        </w:sect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line="247" w:lineRule="auto"/>
        <w:rPr>
          <w:sz w:val="20"/>
          <w:szCs w:val="20"/>
          <w:color w:val="auto"/>
        </w:rPr>
      </w:pPr>
      <w:r>
        <w:rPr>
          <w:rFonts w:ascii="Times New Roman" w:cs="Times New Roman" w:eastAsia="Times New Roman" w:hAnsi="Times New Roman"/>
          <w:sz w:val="21"/>
          <w:szCs w:val="21"/>
          <w:color w:val="auto"/>
        </w:rPr>
        <w:t>The information required by Item 4(a) is set forth in Row 9 of the cover page for each of the Reporting Persons and is incorporated herein by reference. The percentage set forth in this Schedule 13G is calculated based upon an aggregate of 87,582,646 shares of Common Stock outstanding as of March 4, 2025, as reported in the Company's Annual Report on Form 10-K filed with the Securities and Exchange Commission on March 10, 2025. The Investment</w:t>
      </w:r>
    </w:p>
    <w:p>
      <w:pPr>
        <w:spacing w:after="0" w:line="2" w:lineRule="exact"/>
        <w:rPr>
          <w:sz w:val="20"/>
          <w:szCs w:val="20"/>
          <w:color w:val="auto"/>
        </w:rPr>
      </w:pPr>
    </w:p>
    <w:p>
      <w:pPr>
        <w:ind w:left="920" w:hanging="912"/>
        <w:spacing w:after="0" w:line="232"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Manager, which serves as the investment manager to the Empery Funds, may be deemed to be the beneficial owner of all of the Common Stock held by the Empery Funds. Each of the Reporting Individuals, as Managing Members of the General Partner of the Investment Manager with the power to exercise investment discretion, may be deemed to be the beneficial owner of all of the Common Stock held by the Empery Funds. The foregoing should not be construed in and of itself as an admission by any Reporting Person as to beneficial ownership of the Common Stock owned by another Reporting Person. Each of the Empery Funds and the Reporting Individuals hereby disclaims any beneficial ownership of any such Common Stock.</w:t>
      </w:r>
    </w:p>
    <w:p>
      <w:pPr>
        <w:spacing w:after="0" w:line="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9.96%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1120"/>
          </w:cols>
          <w:pgMar w:left="360" w:top="355" w:right="419" w:bottom="0" w:gutter="0" w:footer="0" w:header="0"/>
          <w:type w:val="continuous"/>
        </w:sectPr>
      </w:pPr>
    </w:p>
    <w:bookmarkStart w:id="4" w:name="page5"/>
    <w:bookmarkEnd w:id="4"/>
    <w:p>
      <w:pPr>
        <w:ind w:left="920" w:right="340"/>
        <w:spacing w:after="0" w:line="259"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2" w:right="399"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2(a) above.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9"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Empery Asset Management,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Ryan M. Lane</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Empery AM GP, LLC, its General Partner,</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Ryan M. Lane, its Managing 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05/07/2025</w:t>
      </w:r>
    </w:p>
    <w:p>
      <w:pPr>
        <w:spacing w:after="0" w:line="1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Ryan M. Lane</w:t>
      </w:r>
    </w:p>
    <w:p>
      <w:pPr>
        <w:spacing w:after="0" w:line="152" w:lineRule="exact"/>
        <w:rPr>
          <w:sz w:val="20"/>
          <w:szCs w:val="20"/>
          <w:color w:val="auto"/>
        </w:rPr>
      </w:pPr>
    </w:p>
    <w:p>
      <w:pPr>
        <w:ind w:left="3660"/>
        <w:spacing w:after="0"/>
        <w:tabs>
          <w:tab w:leader="none" w:pos="4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Ryan M. Lane</w:t>
      </w:r>
    </w:p>
    <w:p>
      <w:pPr>
        <w:spacing w:after="0" w:line="4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Name/Title: Ryan M. Lane, individually</w:t>
      </w:r>
    </w:p>
    <w:p>
      <w:pPr>
        <w:spacing w:after="0" w:line="44" w:lineRule="exact"/>
        <w:rPr>
          <w:sz w:val="20"/>
          <w:szCs w:val="20"/>
          <w:color w:val="auto"/>
        </w:rPr>
      </w:pPr>
    </w:p>
    <w:p>
      <w:pPr>
        <w:ind w:left="3660"/>
        <w:spacing w:after="0"/>
        <w:tabs>
          <w:tab w:leader="none" w:pos="47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05/07/2025</w:t>
      </w:r>
    </w:p>
    <w:p>
      <w:pPr>
        <w:spacing w:after="0" w:line="1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Martin D. Hoe</w:t>
      </w:r>
    </w:p>
    <w:p>
      <w:pPr>
        <w:spacing w:after="0" w:line="152" w:lineRule="exact"/>
        <w:rPr>
          <w:sz w:val="20"/>
          <w:szCs w:val="20"/>
          <w:color w:val="auto"/>
        </w:rPr>
      </w:pPr>
    </w:p>
    <w:p>
      <w:pPr>
        <w:ind w:left="3700"/>
        <w:spacing w:after="0"/>
        <w:tabs>
          <w:tab w:leader="none" w:pos="4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Martin D. Hoe</w:t>
      </w:r>
    </w:p>
    <w:p>
      <w:pPr>
        <w:spacing w:after="0" w:line="4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Name/Title: Martin D. Hoe, individually</w:t>
      </w:r>
    </w:p>
    <w:p>
      <w:pPr>
        <w:spacing w:after="0" w:line="44" w:lineRule="exact"/>
        <w:rPr>
          <w:sz w:val="20"/>
          <w:szCs w:val="20"/>
          <w:color w:val="auto"/>
        </w:rPr>
      </w:pPr>
    </w:p>
    <w:p>
      <w:pPr>
        <w:ind w:left="3700"/>
        <w:spacing w:after="0"/>
        <w:tabs>
          <w:tab w:leader="none" w:pos="47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05/07/2025</w:t>
      </w:r>
    </w:p>
    <w:p>
      <w:pPr>
        <w:spacing w:after="0" w:line="1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40"/>
          </w:cols>
          <w:pgMar w:left="360" w:top="112" w:right="399" w:bottom="9"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1"/>
          <w:szCs w:val="21"/>
          <w:color w:val="auto"/>
        </w:rPr>
        <w:t>Exhibit 99.1: Joint Filing Agreement</w:t>
      </w:r>
    </w:p>
    <w:p>
      <w:pPr>
        <w:sectPr>
          <w:pgSz w:w="11900" w:h="16838" w:orient="portrait"/>
          <w:cols w:equalWidth="0" w:num="1">
            <w:col w:w="10099"/>
          </w:cols>
          <w:pgMar w:left="360" w:top="111"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JOINT ACQUISITION STATEMENT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RULE 13d-1(k)</w:t>
      </w:r>
    </w:p>
    <w:p>
      <w:pPr>
        <w:spacing w:after="0" w:line="19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05/07/2025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EMPERY ASSET MANAGEMENT, 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EMPERY AM GP, LLC, 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_</w:t>
      </w:r>
      <w:r>
        <w:rPr>
          <w:rFonts w:ascii="Times New Roman" w:cs="Times New Roman" w:eastAsia="Times New Roman" w:hAnsi="Times New Roman"/>
          <w:sz w:val="20"/>
          <w:szCs w:val="20"/>
          <w:u w:val="single" w:color="auto"/>
          <w:color w:val="auto"/>
        </w:rPr>
        <w:t>/s/ Ryan M. Lane</w:t>
      </w:r>
      <w:r>
        <w:rPr>
          <w:rFonts w:ascii="Times New Roman" w:cs="Times New Roman" w:eastAsia="Times New Roman" w:hAnsi="Times New Roman"/>
          <w:sz w:val="20"/>
          <w:szCs w:val="20"/>
          <w:color w:val="auto"/>
        </w:rPr>
        <w:t>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Ryan M. Lane</w:t>
      </w:r>
    </w:p>
    <w:p>
      <w:pPr>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w:t>
      </w:r>
      <w:r>
        <w:rPr>
          <w:rFonts w:ascii="Times New Roman" w:cs="Times New Roman" w:eastAsia="Times New Roman" w:hAnsi="Times New Roman"/>
          <w:sz w:val="20"/>
          <w:szCs w:val="20"/>
          <w:u w:val="single" w:color="auto"/>
          <w:color w:val="auto"/>
        </w:rPr>
        <w:t>/s/ Ryan M. Lane</w:t>
      </w:r>
      <w:r>
        <w:rPr>
          <w:rFonts w:ascii="Times New Roman" w:cs="Times New Roman" w:eastAsia="Times New Roman" w:hAnsi="Times New Roman"/>
          <w:sz w:val="20"/>
          <w:szCs w:val="20"/>
          <w:color w:val="auto"/>
        </w:rPr>
        <w:t>______________________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RYAN M. LANE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w:t>
      </w:r>
      <w:r>
        <w:rPr>
          <w:rFonts w:ascii="Times New Roman" w:cs="Times New Roman" w:eastAsia="Times New Roman" w:hAnsi="Times New Roman"/>
          <w:sz w:val="20"/>
          <w:szCs w:val="20"/>
          <w:u w:val="single" w:color="auto"/>
          <w:color w:val="auto"/>
        </w:rPr>
        <w:t>/s/ Martin D. Hoe</w:t>
      </w:r>
      <w:r>
        <w:rPr>
          <w:rFonts w:ascii="Times New Roman" w:cs="Times New Roman" w:eastAsia="Times New Roman" w:hAnsi="Times New Roman"/>
          <w:sz w:val="20"/>
          <w:szCs w:val="20"/>
          <w:color w:val="auto"/>
        </w:rPr>
        <w:t>______________________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MARTIN D. HOE</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2025-05-07T08:36:56Z</dcterms:created>
  <dcterms:modified xsi:type="dcterms:W3CDTF">2025-05-07T08:36:56Z</dcterms:modified>
</cp:coreProperties>
</file>