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1" w:lineRule="exact"/>
        <w:rPr>
          <w:sz w:val="24"/>
          <w:szCs w:val="24"/>
          <w:color w:val="auto"/>
        </w:rPr>
      </w:pPr>
    </w:p>
    <w:p>
      <w:pPr>
        <w:jc w:val="center"/>
        <w:ind w:left="3720" w:right="680" w:hanging="3712"/>
        <w:spacing w:after="0" w:line="303" w:lineRule="auto"/>
        <w:tabs>
          <w:tab w:leader="none" w:pos="476"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81" w:lineRule="exact"/>
        <w:rPr>
          <w:sz w:val="24"/>
          <w:szCs w:val="24"/>
          <w:color w:val="auto"/>
        </w:rPr>
      </w:pPr>
    </w:p>
    <w:p>
      <w:pPr>
        <w:jc w:val="center"/>
        <w:ind w:left="3340" w:right="700" w:hanging="3332"/>
        <w:spacing w:after="0" w:line="316" w:lineRule="auto"/>
        <w:tabs>
          <w:tab w:leader="none" w:pos="461"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________ to _________</w:t>
      </w:r>
    </w:p>
    <w:p>
      <w:pPr>
        <w:spacing w:after="0" w:line="1" w:lineRule="exact"/>
        <w:rPr>
          <w:rFonts w:ascii="MS PGothic" w:cs="MS PGothic" w:eastAsia="MS PGothic" w:hAnsi="MS PGothic"/>
          <w:sz w:val="20"/>
          <w:szCs w:val="20"/>
          <w:color w:val="auto"/>
          <w:highlight w:val="black"/>
        </w:rPr>
      </w:pPr>
    </w:p>
    <w:p>
      <w:pPr>
        <w:ind w:left="406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Commission File Number: 001-40656</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9"/>
          <w:szCs w:val="19"/>
          <w:b w:val="1"/>
          <w:bCs w:val="1"/>
          <w:color w:val="auto"/>
        </w:rPr>
        <w:t>171 Oyster Point Boulevard, Suite 500</w:t>
      </w:r>
    </w:p>
    <w:p>
      <w:pPr>
        <w:spacing w:after="0" w:line="20"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81-3789973</w:t>
      </w:r>
    </w:p>
    <w:p>
      <w:pPr>
        <w:spacing w:after="0" w:line="3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3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94080</w:t>
      </w:r>
    </w:p>
    <w:p>
      <w:pPr>
        <w:spacing w:after="0" w:line="21" w:lineRule="exact"/>
        <w:rPr>
          <w:sz w:val="24"/>
          <w:szCs w:val="24"/>
          <w:color w:val="auto"/>
        </w:rPr>
      </w:pPr>
    </w:p>
    <w:p>
      <w:pPr>
        <w:sectPr>
          <w:pgSz w:w="11900" w:h="16838" w:orient="portrait"/>
          <w:cols w:equalWidth="0" w:num="2">
            <w:col w:w="7620" w:space="320"/>
            <w:col w:w="3300"/>
          </w:cols>
          <w:pgMar w:left="320" w:top="1186"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(650) 825-6990</w:t>
      </w:r>
    </w:p>
    <w:p>
      <w:pPr>
        <w:spacing w:after="0" w:line="2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8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TNYA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6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520" w:right="210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31, 2025, the registrant had 162,976,102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1" w:name="page2"/>
    <w:bookmarkEnd w:id="1"/>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20" w:type="dxa"/>
            <w:vAlign w:val="bottom"/>
            <w:gridSpan w:val="11"/>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vMerge w:val="restart"/>
          </w:tcPr>
          <w:p>
            <w:pPr>
              <w:spacing w:after="0"/>
              <w:rPr>
                <w:sz w:val="24"/>
                <w:szCs w:val="24"/>
                <w:color w:val="auto"/>
              </w:rPr>
            </w:pPr>
          </w:p>
        </w:tc>
        <w:tc>
          <w:tcPr>
            <w:tcW w:w="32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I—FINANCIAL INFORMATION</w:t>
            </w:r>
          </w:p>
        </w:tc>
        <w:tc>
          <w:tcPr>
            <w:tcW w:w="3180" w:type="dxa"/>
            <w:vAlign w:val="bottom"/>
            <w:gridSpan w:val="5"/>
            <w:vMerge w:val="restart"/>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200" w:type="dxa"/>
            <w:vAlign w:val="bottom"/>
            <w:tcBorders>
              <w:bottom w:val="single" w:sz="8" w:color="0000FF"/>
            </w:tcBorders>
            <w:gridSpan w:val="7"/>
            <w:vMerge w:val="continue"/>
          </w:tcPr>
          <w:p>
            <w:pPr>
              <w:spacing w:after="0"/>
              <w:rPr>
                <w:sz w:val="14"/>
                <w:szCs w:val="14"/>
                <w:color w:val="auto"/>
              </w:rPr>
            </w:pPr>
          </w:p>
        </w:tc>
        <w:tc>
          <w:tcPr>
            <w:tcW w:w="3180" w:type="dxa"/>
            <w:vAlign w:val="bottom"/>
            <w:gridSpan w:val="5"/>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24"/>
                <w:szCs w:val="24"/>
                <w:color w:val="auto"/>
              </w:rPr>
            </w:pPr>
          </w:p>
        </w:tc>
        <w:tc>
          <w:tcPr>
            <w:tcW w:w="710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Balance Sheets as of June 30, 2025 and December 31, 2024</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Operations and Comprehensive Loss for the three and six months ended June 30, 2025 and 2024</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Stockholders’ Equity for the three and six months ended June 30, 2025 and 2024</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Cash Flows for the six months ended June 30, 2025 and 2024</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4"/>
          </w:tcPr>
          <w:p>
            <w:pPr>
              <w:spacing w:after="0"/>
              <w:rPr>
                <w:sz w:val="17"/>
                <w:szCs w:val="17"/>
                <w:color w:val="auto"/>
              </w:rPr>
            </w:pPr>
          </w:p>
        </w:tc>
        <w:tc>
          <w:tcPr>
            <w:tcW w:w="308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80" w:type="dxa"/>
            <w:vAlign w:val="bottom"/>
            <w:gridSpan w:val="12"/>
          </w:tcPr>
          <w:p>
            <w:pPr>
              <w:jc w:val="center"/>
              <w:ind w:right="3180"/>
              <w:spacing w:after="0"/>
              <w:rPr>
                <w:sz w:val="20"/>
                <w:szCs w:val="20"/>
                <w:color w:val="auto"/>
              </w:rPr>
            </w:pPr>
            <w:r>
              <w:rPr>
                <w:rFonts w:ascii="Times New Roman" w:cs="Times New Roman" w:eastAsia="Times New Roman" w:hAnsi="Times New Roman"/>
                <w:sz w:val="18"/>
                <w:szCs w:val="18"/>
                <w:b w:val="1"/>
                <w:bCs w:val="1"/>
                <w:color w:val="0000FF"/>
                <w:w w:val="99"/>
              </w:rPr>
              <w:t>PART II—OTHER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33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2880" w:type="dxa"/>
            <w:vAlign w:val="bottom"/>
            <w:tcBorders>
              <w:top w:val="single" w:sz="8" w:color="0000FF"/>
            </w:tcBorders>
            <w:gridSpan w:val="5"/>
          </w:tcPr>
          <w:p>
            <w:pPr>
              <w:spacing w:after="0"/>
              <w:rPr>
                <w:sz w:val="17"/>
                <w:szCs w:val="17"/>
                <w:color w:val="auto"/>
              </w:rPr>
            </w:pPr>
          </w:p>
        </w:tc>
        <w:tc>
          <w:tcPr>
            <w:tcW w:w="3340" w:type="dxa"/>
            <w:vAlign w:val="bottom"/>
            <w:gridSpan w:val="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822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6"/>
          </w:tcPr>
          <w:p>
            <w:pPr>
              <w:spacing w:after="0"/>
              <w:rPr>
                <w:sz w:val="17"/>
                <w:szCs w:val="17"/>
                <w:color w:val="auto"/>
              </w:rPr>
            </w:pPr>
          </w:p>
        </w:tc>
        <w:tc>
          <w:tcPr>
            <w:tcW w:w="520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17"/>
                <w:szCs w:val="17"/>
                <w:color w:val="auto"/>
              </w:rPr>
            </w:pPr>
          </w:p>
        </w:tc>
        <w:tc>
          <w:tcPr>
            <w:tcW w:w="8240" w:type="dxa"/>
            <w:vAlign w:val="bottom"/>
            <w:gridSpan w:val="1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05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863"/>
        </w:trPr>
        <w:tc>
          <w:tcPr>
            <w:tcW w:w="10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This Quarterly Report on Form 10-Q, or Quarterly Report, contains forward-looking statements within the meaning of Section 27A of the Securities Act of 1933, as amended (Securities Act), and Section 21E of the Securities Exchange Act of 1934, as amended (Exchange Act).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spacing w:after="0" w:line="8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vision to change the treatment paradigm for heart disease;</w:t>
      </w:r>
    </w:p>
    <w:p>
      <w:pPr>
        <w:spacing w:after="0" w:line="117" w:lineRule="exact"/>
        <w:rPr>
          <w:rFonts w:ascii="Times New Roman" w:cs="Times New Roman" w:eastAsia="Times New Roman" w:hAnsi="Times New Roman"/>
          <w:sz w:val="18"/>
          <w:szCs w:val="18"/>
          <w:color w:val="231F20"/>
        </w:rPr>
      </w:pPr>
    </w:p>
    <w:p>
      <w:pPr>
        <w:ind w:left="900" w:right="82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ongoing preclinical studies and ongoing or planned clinical trials to demonstrate safety and efficacy of our product candidates, and other positive results;</w:t>
      </w:r>
    </w:p>
    <w:p>
      <w:pPr>
        <w:spacing w:after="0" w:line="53" w:lineRule="exact"/>
        <w:rPr>
          <w:rFonts w:ascii="Times New Roman" w:cs="Times New Roman" w:eastAsia="Times New Roman" w:hAnsi="Times New Roman"/>
          <w:sz w:val="18"/>
          <w:szCs w:val="18"/>
          <w:color w:val="231F20"/>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dosing, patient enrollment and populations, progress, and results of preclinical studies and ongoing or planned clinical trials for our current product candidates and other product candidates we may develop;</w:t>
      </w:r>
    </w:p>
    <w:p>
      <w:pPr>
        <w:spacing w:after="0" w:line="53" w:lineRule="exact"/>
        <w:rPr>
          <w:rFonts w:ascii="Times New Roman" w:cs="Times New Roman" w:eastAsia="Times New Roman" w:hAnsi="Times New Roman"/>
          <w:sz w:val="18"/>
          <w:szCs w:val="18"/>
          <w:color w:val="231F20"/>
        </w:rPr>
      </w:pPr>
    </w:p>
    <w:p>
      <w:pPr>
        <w:ind w:left="900" w:hanging="383"/>
        <w:spacing w:after="0" w:line="266"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scope and likelihood of regulatory filings and approvals, including timing of investigational new drugs (INDs), clinical trial applications (CTAs), U.S. Food and Drug Administration (FDA) approvals, and final regulatory approval of our current product candidates and any other future product candidates;</w:t>
      </w:r>
    </w:p>
    <w:p>
      <w:pPr>
        <w:spacing w:after="0" w:line="6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develop and advance our current product candidates and programs into, and successfully complete, clinical trials;</w:t>
      </w:r>
    </w:p>
    <w:p>
      <w:pPr>
        <w:spacing w:after="0" w:line="117" w:lineRule="exact"/>
        <w:rPr>
          <w:rFonts w:ascii="Times New Roman" w:cs="Times New Roman" w:eastAsia="Times New Roman" w:hAnsi="Times New Roman"/>
          <w:sz w:val="18"/>
          <w:szCs w:val="18"/>
          <w:color w:val="231F20"/>
        </w:rPr>
      </w:pPr>
    </w:p>
    <w:p>
      <w:pPr>
        <w:ind w:left="900" w:right="22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market opportunity for our product candidates, including our estimates of the number of patients who suffer from the diseases we are targeting;</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manufacturing, commercialization, and marketing capabilities and strategy;</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competitive position and the success of competing therapies that are or may become available;</w:t>
      </w:r>
    </w:p>
    <w:p>
      <w:pPr>
        <w:spacing w:after="0" w:line="117" w:lineRule="exact"/>
        <w:rPr>
          <w:rFonts w:ascii="Times New Roman" w:cs="Times New Roman" w:eastAsia="Times New Roman" w:hAnsi="Times New Roman"/>
          <w:sz w:val="18"/>
          <w:szCs w:val="18"/>
          <w:color w:val="231F20"/>
        </w:rPr>
      </w:pPr>
    </w:p>
    <w:p>
      <w:pPr>
        <w:ind w:left="900" w:right="60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relating to the further development of our product candidates, including additional indications and targets we may pursue and whether we out-license or partner with third parties to develop our product candidates;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existing laws and regulations and regulatory developments in the United States (U.S.), Europe and other jurisdictions;</w:t>
      </w:r>
    </w:p>
    <w:p>
      <w:pPr>
        <w:spacing w:after="0" w:line="117" w:lineRule="exact"/>
        <w:rPr>
          <w:rFonts w:ascii="Times New Roman" w:cs="Times New Roman" w:eastAsia="Times New Roman" w:hAnsi="Times New Roman"/>
          <w:sz w:val="18"/>
          <w:szCs w:val="18"/>
          <w:color w:val="231F20"/>
        </w:rPr>
      </w:pPr>
    </w:p>
    <w:p>
      <w:pPr>
        <w:ind w:left="900" w:right="80" w:hanging="383"/>
        <w:spacing w:after="0" w:line="261"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intellectual property position, including the scope and length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1" w:lineRule="exact"/>
        <w:rPr>
          <w:rFonts w:ascii="Times New Roman" w:cs="Times New Roman" w:eastAsia="Times New Roman" w:hAnsi="Times New Roman"/>
          <w:sz w:val="18"/>
          <w:szCs w:val="18"/>
          <w:color w:val="231F20"/>
        </w:rPr>
      </w:pPr>
    </w:p>
    <w:p>
      <w:pPr>
        <w:ind w:left="900" w:right="64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continued reliance on third parties to conduct additional preclinical studies and clinical trials of our product candidates, and for the development and manufacture of our product candidates for preclinical studies and clinical trials;</w:t>
      </w:r>
    </w:p>
    <w:p>
      <w:pPr>
        <w:spacing w:after="0" w:line="53" w:lineRule="exact"/>
        <w:rPr>
          <w:rFonts w:ascii="Times New Roman" w:cs="Times New Roman" w:eastAsia="Times New Roman" w:hAnsi="Times New Roman"/>
          <w:sz w:val="18"/>
          <w:szCs w:val="18"/>
          <w:color w:val="231F20"/>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and negotiate favorable terms of, any collaboration, partnership, licensing or other arrangements that may be necessary or desirable to develop, manufacture or commercialize our product candidates;</w:t>
      </w:r>
    </w:p>
    <w:p>
      <w:pPr>
        <w:spacing w:after="0" w:line="53" w:lineRule="exact"/>
        <w:rPr>
          <w:rFonts w:ascii="Times New Roman" w:cs="Times New Roman" w:eastAsia="Times New Roman" w:hAnsi="Times New Roman"/>
          <w:sz w:val="18"/>
          <w:szCs w:val="18"/>
          <w:color w:val="231F20"/>
        </w:rPr>
      </w:pPr>
    </w:p>
    <w:p>
      <w:pPr>
        <w:ind w:left="900" w:right="36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86"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rate and degree of market acceptance and clinical utility of our current product candidates and other product candidates we may develop;</w:t>
      </w:r>
    </w:p>
    <w:p>
      <w:pPr>
        <w:spacing w:after="0" w:line="117" w:lineRule="exact"/>
        <w:rPr>
          <w:rFonts w:ascii="Times New Roman" w:cs="Times New Roman" w:eastAsia="Times New Roman" w:hAnsi="Times New Roman"/>
          <w:sz w:val="18"/>
          <w:szCs w:val="18"/>
          <w:color w:val="231F20"/>
        </w:rPr>
      </w:pPr>
    </w:p>
    <w:p>
      <w:pPr>
        <w:ind w:left="900" w:right="50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estimates regarding expenses, operating losses, future revenue, cash outlays, capital requirements and needs for additional financing, including expenses arising as a result of being a public company;</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performance;</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facilities;</w:t>
      </w:r>
    </w:p>
    <w:p>
      <w:pPr>
        <w:spacing w:after="0" w:line="117" w:lineRule="exact"/>
        <w:rPr>
          <w:rFonts w:ascii="Times New Roman" w:cs="Times New Roman" w:eastAsia="Times New Roman" w:hAnsi="Times New Roman"/>
          <w:sz w:val="18"/>
          <w:szCs w:val="18"/>
          <w:color w:val="231F20"/>
        </w:rPr>
      </w:pPr>
    </w:p>
    <w:p>
      <w:pPr>
        <w:ind w:left="900" w:right="24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period over which we estimate our existing cash, cash equivalents and investments in marketable securities will be sufficient to fund our future operating expenses and capital expenditure requirements;</w:t>
      </w:r>
    </w:p>
    <w:p>
      <w:pPr>
        <w:spacing w:after="0" w:line="5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critical accounting policies on investor’s ability to understand our financial performance; and</w:t>
      </w:r>
    </w:p>
    <w:p>
      <w:pPr>
        <w:spacing w:after="0" w:line="117" w:lineRule="exact"/>
        <w:rPr>
          <w:rFonts w:ascii="Times New Roman" w:cs="Times New Roman" w:eastAsia="Times New Roman" w:hAnsi="Times New Roman"/>
          <w:sz w:val="18"/>
          <w:szCs w:val="18"/>
          <w:color w:val="231F20"/>
        </w:rPr>
      </w:pPr>
    </w:p>
    <w:p>
      <w:pPr>
        <w:ind w:left="900" w:right="200" w:hanging="383"/>
        <w:spacing w:after="0" w:line="282" w:lineRule="auto"/>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expectations regarding the period during which we will remain an emerging growth company under the </w:t>
      </w:r>
      <w:r>
        <w:rPr>
          <w:rFonts w:ascii="Times New Roman" w:cs="Times New Roman" w:eastAsia="Times New Roman" w:hAnsi="Times New Roman"/>
          <w:sz w:val="18"/>
          <w:szCs w:val="18"/>
          <w:color w:val="000000"/>
        </w:rPr>
        <w:t>Jumpstart Our Business Startups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Act of 2012 (</w:t>
      </w:r>
      <w:r>
        <w:rPr>
          <w:rFonts w:ascii="Times New Roman" w:cs="Times New Roman" w:eastAsia="Times New Roman" w:hAnsi="Times New Roman"/>
          <w:sz w:val="18"/>
          <w:szCs w:val="18"/>
          <w:color w:val="231F20"/>
        </w:rPr>
        <w:t>JOBS Act).</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In addition, statements such as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62,671</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investments in marketable securities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122,151</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119,940</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664,371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607,229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(564,558)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(514,411)</w:t>
            </w:r>
          </w:p>
        </w:tc>
      </w:tr>
      <w:tr>
        <w:trPr>
          <w:trHeight w:val="210"/>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99,828</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92,854</w:t>
            </w:r>
          </w:p>
        </w:tc>
        <w:tc>
          <w:tcPr>
            <w:tcW w:w="120" w:type="dxa"/>
            <w:vAlign w:val="bottom"/>
            <w:tcBorders>
              <w:top w:val="single" w:sz="8" w:color="CFF0FC"/>
            </w:tcBorders>
          </w:tcPr>
          <w:p>
            <w:pPr>
              <w:spacing w:after="0"/>
              <w:rPr>
                <w:sz w:val="18"/>
                <w:szCs w:val="18"/>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122,151</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119,940</w:t>
            </w:r>
          </w:p>
        </w:tc>
        <w:tc>
          <w:tcPr>
            <w:tcW w:w="120" w:type="dxa"/>
            <w:vAlign w:val="bottom"/>
            <w:shd w:val="clear" w:color="auto" w:fill="CFF0FC"/>
          </w:tcPr>
          <w:p>
            <w:pPr>
              <w:spacing w:after="0"/>
              <w:rPr>
                <w:sz w:val="19"/>
                <w:szCs w:val="19"/>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-3119755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-3119755</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-2562860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-2562860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-1704975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-1704975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-316865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17,370</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38,446</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(24,082)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(30,823)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(51,620)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(loss),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unrealized gain (loss) on marketable securities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(23,274)</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(29,378)</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(50,176)</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(61,620)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3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2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4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 and</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162,791,579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85,706,501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136,476,623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83,344,414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-2167890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-2167890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-2167890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-2167890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-1319530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-1319530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-1319530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-1319530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-1036320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-1036320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-1036320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-1036320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-462280</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-445135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-462280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-445135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-462280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-445135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-462280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-445135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-24765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-7620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-24765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-24765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-24765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13"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2100" w:type="dxa"/>
            <w:vAlign w:val="bottom"/>
            <w:gridSpan w:val="3"/>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210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01"/>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3"/>
                <w:szCs w:val="13"/>
                <w:color w:val="auto"/>
              </w:rPr>
            </w:pPr>
          </w:p>
        </w:tc>
        <w:tc>
          <w:tcPr>
            <w:tcW w:w="124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08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January 1, 2025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86,542,340</w:t>
            </w:r>
          </w:p>
        </w:tc>
        <w:tc>
          <w:tcPr>
            <w:tcW w:w="1020" w:type="dxa"/>
            <w:vAlign w:val="bottom"/>
            <w:gridSpan w:val="2"/>
            <w:shd w:val="clear" w:color="auto" w:fill="CFF0FC"/>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607,229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(514,411)</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92,854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and warrants in follow-</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on offering, net of issuance costs of $3,699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75,000,000</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vesting of restricted</w:t>
            </w: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295,191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in connection with at-the</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market sales, net of issuance costs of $280</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822,566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(26,864)</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(26,864)</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March 31,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162,660,097</w:t>
            </w:r>
          </w:p>
        </w:tc>
        <w:tc>
          <w:tcPr>
            <w:tcW w:w="220" w:type="dxa"/>
            <w:vAlign w:val="bottom"/>
          </w:tcPr>
          <w:p>
            <w:pPr>
              <w:spacing w:after="0"/>
              <w:rPr>
                <w:sz w:val="17"/>
                <w:szCs w:val="17"/>
                <w:color w:val="auto"/>
              </w:rPr>
            </w:pPr>
          </w:p>
        </w:tc>
        <w:tc>
          <w:tcPr>
            <w:tcW w:w="80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660,665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(541,275)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40" w:type="dxa"/>
            <w:vAlign w:val="bottom"/>
            <w:shd w:val="clear" w:color="auto" w:fill="CFF0FC"/>
          </w:tcPr>
          <w:p>
            <w:pPr>
              <w:ind w:left="80"/>
              <w:spacing w:after="0" w:line="169" w:lineRule="exact"/>
              <w:rPr>
                <w:sz w:val="20"/>
                <w:szCs w:val="20"/>
                <w:color w:val="auto"/>
              </w:rPr>
            </w:pPr>
            <w:r>
              <w:rPr>
                <w:rFonts w:ascii="Times New Roman" w:cs="Times New Roman" w:eastAsia="Times New Roman" w:hAnsi="Times New Roman"/>
                <w:sz w:val="16"/>
                <w:szCs w:val="16"/>
                <w:color w:val="auto"/>
              </w:rPr>
              <w:t>Issuance of common stock pursuant to employee</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 purchase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119,998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vesting of restricted</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196,007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(23,283)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(23,283)</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June 30,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162,976,102</w:t>
            </w:r>
          </w:p>
        </w:tc>
        <w:tc>
          <w:tcPr>
            <w:tcW w:w="220" w:type="dxa"/>
            <w:vAlign w:val="bottom"/>
          </w:tcPr>
          <w:p>
            <w:pPr>
              <w:spacing w:after="0"/>
              <w:rPr>
                <w:sz w:val="17"/>
                <w:szCs w:val="17"/>
                <w:color w:val="auto"/>
              </w:rPr>
            </w:pPr>
          </w:p>
        </w:tc>
        <w:tc>
          <w:tcPr>
            <w:tcW w:w="80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664,371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(564,558)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-1225550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-1225550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-1225550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-1225550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-1225550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-1225550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-162560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-162560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-162560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-162560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140" w:type="dxa"/>
            <w:vAlign w:val="bottom"/>
            <w:gridSpan w:val="3"/>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2140" w:type="dxa"/>
            <w:vAlign w:val="bottom"/>
            <w:tcBorders>
              <w:bottom w:val="single" w:sz="8" w:color="auto"/>
            </w:tcBorders>
            <w:gridSpan w:val="3"/>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81"/>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3"/>
                <w:szCs w:val="13"/>
                <w:color w:val="auto"/>
              </w:rPr>
            </w:pPr>
          </w:p>
        </w:tc>
        <w:tc>
          <w:tcPr>
            <w:tcW w:w="11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0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08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68,330,342</w:t>
            </w:r>
          </w:p>
        </w:tc>
        <w:tc>
          <w:tcPr>
            <w:tcW w:w="1060" w:type="dxa"/>
            <w:vAlign w:val="bottom"/>
            <w:gridSpan w:val="2"/>
            <w:shd w:val="clear" w:color="auto" w:fill="CFF0FC"/>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542,805</w:t>
            </w:r>
          </w:p>
        </w:tc>
        <w:tc>
          <w:tcPr>
            <w:tcW w:w="4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(403,282)</w:t>
            </w:r>
          </w:p>
        </w:tc>
        <w:tc>
          <w:tcPr>
            <w:tcW w:w="1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and pre-funded warrants,</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of issuance costs of $3,236</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8,888,890</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246,708</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exercise of pre-</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funded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1,051,594</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(32,228)</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(32,228)</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78,517,534</w:t>
            </w:r>
          </w:p>
        </w:tc>
        <w:tc>
          <w:tcPr>
            <w:tcW w:w="260" w:type="dxa"/>
            <w:vAlign w:val="bottom"/>
          </w:tcPr>
          <w:p>
            <w:pPr>
              <w:spacing w:after="0"/>
              <w:rPr>
                <w:sz w:val="17"/>
                <w:szCs w:val="17"/>
                <w:color w:val="auto"/>
              </w:rPr>
            </w:pPr>
          </w:p>
        </w:tc>
        <w:tc>
          <w:tcPr>
            <w:tcW w:w="80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593,802</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(435,510)</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shd w:val="clear" w:color="auto" w:fill="CFF0FC"/>
          </w:tcPr>
          <w:p>
            <w:pPr>
              <w:ind w:left="80"/>
              <w:spacing w:after="0" w:line="169" w:lineRule="exact"/>
              <w:rPr>
                <w:sz w:val="20"/>
                <w:szCs w:val="20"/>
                <w:color w:val="auto"/>
              </w:rPr>
            </w:pPr>
            <w:r>
              <w:rPr>
                <w:rFonts w:ascii="Times New Roman" w:cs="Times New Roman" w:eastAsia="Times New Roman" w:hAnsi="Times New Roman"/>
                <w:sz w:val="16"/>
                <w:szCs w:val="16"/>
                <w:color w:val="auto"/>
              </w:rPr>
              <w:t>Issuance of common stock pursuant to employee</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 purchase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320,951</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28,952</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(29,431)</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(29,431)</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78,867,437</w:t>
            </w:r>
          </w:p>
        </w:tc>
        <w:tc>
          <w:tcPr>
            <w:tcW w:w="260" w:type="dxa"/>
            <w:vAlign w:val="bottom"/>
          </w:tcPr>
          <w:p>
            <w:pPr>
              <w:spacing w:after="0"/>
              <w:rPr>
                <w:sz w:val="17"/>
                <w:szCs w:val="17"/>
                <w:color w:val="auto"/>
              </w:rPr>
            </w:pPr>
          </w:p>
        </w:tc>
        <w:tc>
          <w:tcPr>
            <w:tcW w:w="80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598,997</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(464,941)</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-1225550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-1225550</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-1225550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-1225550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-1225550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-1225550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-162560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-162560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-162560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-162560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-162560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(50,147)</w:t>
            </w:r>
          </w:p>
        </w:tc>
        <w:tc>
          <w:tcPr>
            <w:tcW w:w="1020" w:type="dxa"/>
            <w:vAlign w:val="bottom"/>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(61,659)</w:t>
            </w:r>
          </w:p>
        </w:tc>
      </w:tr>
      <w:tr>
        <w:trPr>
          <w:trHeight w:val="148"/>
        </w:trPr>
        <w:tc>
          <w:tcPr>
            <w:tcW w:w="7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4,745</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4,278</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(accretion) of premium (discount) on marketable securities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FF0FC"/>
          </w:tcPr>
          <w:p>
            <w:pPr>
              <w:spacing w:after="0"/>
              <w:rPr>
                <w:sz w:val="12"/>
                <w:szCs w:val="12"/>
                <w:color w:val="auto"/>
              </w:rPr>
            </w:pPr>
          </w:p>
        </w:tc>
      </w:tr>
      <w:tr>
        <w:trPr>
          <w:trHeight w:val="149"/>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7,367</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8,835</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1,488</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1,138</w:t>
            </w:r>
          </w:p>
        </w:tc>
        <w:tc>
          <w:tcPr>
            <w:tcW w:w="120" w:type="dxa"/>
            <w:vAlign w:val="bottom"/>
          </w:tcPr>
          <w:p>
            <w:pPr>
              <w:spacing w:after="0"/>
              <w:rPr>
                <w:sz w:val="12"/>
                <w:szCs w:val="12"/>
                <w:color w:val="auto"/>
              </w:rPr>
            </w:pPr>
          </w:p>
        </w:tc>
      </w:tr>
      <w:tr>
        <w:trPr>
          <w:trHeight w:val="149"/>
        </w:trPr>
        <w:tc>
          <w:tcPr>
            <w:tcW w:w="73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(1,514)</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(1,160)</w:t>
            </w:r>
          </w:p>
        </w:tc>
      </w:tr>
      <w:tr>
        <w:trPr>
          <w:trHeight w:val="148"/>
        </w:trPr>
        <w:tc>
          <w:tcPr>
            <w:tcW w:w="73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and other current liabilities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(1,512)</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(3,754)</w:t>
            </w:r>
          </w:p>
        </w:tc>
      </w:tr>
      <w:tr>
        <w:trPr>
          <w:trHeight w:val="148"/>
        </w:trPr>
        <w:tc>
          <w:tcPr>
            <w:tcW w:w="7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(1,398)</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(2,153)</w:t>
            </w:r>
          </w:p>
        </w:tc>
      </w:tr>
      <w:tr>
        <w:trPr>
          <w:trHeight w:val="142"/>
        </w:trPr>
        <w:tc>
          <w:tcPr>
            <w:tcW w:w="7380" w:type="dxa"/>
            <w:vAlign w:val="bottom"/>
            <w:tcBorders>
              <w:top w:val="single" w:sz="8" w:color="CFF0FC"/>
              <w:bottom w:val="single" w:sz="8" w:color="CFF0FC"/>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(38,725)</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(52,277)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142"/>
        </w:trPr>
        <w:tc>
          <w:tcPr>
            <w:tcW w:w="73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(637)</w:t>
            </w: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marketable securities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(34,451)</w:t>
            </w: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sales of marketable securities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10,958</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36,857</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52,209</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2"/>
                <w:szCs w:val="12"/>
                <w:color w:val="auto"/>
              </w:rPr>
            </w:pPr>
          </w:p>
        </w:tc>
      </w:tr>
      <w:tr>
        <w:trPr>
          <w:trHeight w:val="142"/>
        </w:trPr>
        <w:tc>
          <w:tcPr>
            <w:tcW w:w="7380" w:type="dxa"/>
            <w:vAlign w:val="bottom"/>
            <w:tcBorders>
              <w:top w:val="single" w:sz="8" w:color="CFF0FC"/>
            </w:tcBorders>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300" w:type="dxa"/>
            <w:vAlign w:val="bottom"/>
            <w:tcBorders>
              <w:top w:val="single" w:sz="8" w:color="CFF0FC"/>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47,290</w:t>
            </w:r>
          </w:p>
        </w:tc>
        <w:tc>
          <w:tcPr>
            <w:tcW w:w="280" w:type="dxa"/>
            <w:vAlign w:val="bottom"/>
            <w:tcBorders>
              <w:top w:val="single" w:sz="8" w:color="CFF0FC"/>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17,126</w:t>
            </w:r>
          </w:p>
        </w:tc>
        <w:tc>
          <w:tcPr>
            <w:tcW w:w="120" w:type="dxa"/>
            <w:vAlign w:val="bottom"/>
            <w:tcBorders>
              <w:top w:val="single" w:sz="8" w:color="CFF0FC"/>
            </w:tcBorders>
          </w:tcPr>
          <w:p>
            <w:pPr>
              <w:spacing w:after="0"/>
              <w:rPr>
                <w:sz w:val="12"/>
                <w:szCs w:val="12"/>
                <w:color w:val="auto"/>
              </w:rPr>
            </w:pPr>
          </w:p>
        </w:tc>
      </w:tr>
      <w:tr>
        <w:trPr>
          <w:trHeight w:val="14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pre-funded warrants, and warrants in follow-on offering, net of issuance costs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48,801</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46,762</w:t>
            </w:r>
          </w:p>
        </w:tc>
        <w:tc>
          <w:tcPr>
            <w:tcW w:w="120" w:type="dxa"/>
            <w:vAlign w:val="bottom"/>
          </w:tcPr>
          <w:p>
            <w:pPr>
              <w:spacing w:after="0"/>
              <w:rPr>
                <w:sz w:val="12"/>
                <w:szCs w:val="12"/>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 and employee stock purchase plan</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120" w:type="dxa"/>
            <w:vAlign w:val="bottom"/>
            <w:shd w:val="clear" w:color="auto" w:fill="CFF0FC"/>
          </w:tcPr>
          <w:p>
            <w:pPr>
              <w:spacing w:after="0"/>
              <w:rPr>
                <w:sz w:val="12"/>
                <w:szCs w:val="12"/>
                <w:color w:val="auto"/>
              </w:rPr>
            </w:pPr>
          </w:p>
        </w:tc>
      </w:tr>
      <w:tr>
        <w:trPr>
          <w:trHeight w:val="148"/>
        </w:trPr>
        <w:tc>
          <w:tcPr>
            <w:tcW w:w="7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exercise of prefunded warrants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r>
      <w:tr>
        <w:trPr>
          <w:trHeight w:val="149"/>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at-the-market sales, net of issuance costs</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912</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738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49,783</w:t>
            </w:r>
          </w:p>
        </w:tc>
        <w:tc>
          <w:tcPr>
            <w:tcW w:w="280" w:type="dxa"/>
            <w:vAlign w:val="bottom"/>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47,341</w:t>
            </w:r>
          </w:p>
        </w:tc>
        <w:tc>
          <w:tcPr>
            <w:tcW w:w="120" w:type="dxa"/>
            <w:vAlign w:val="bottom"/>
          </w:tcPr>
          <w:p>
            <w:pPr>
              <w:spacing w:after="0"/>
              <w:rPr>
                <w:sz w:val="12"/>
                <w:szCs w:val="12"/>
                <w:color w:val="auto"/>
              </w:rPr>
            </w:pPr>
          </w:p>
        </w:tc>
      </w:tr>
      <w:tr>
        <w:trPr>
          <w:trHeight w:val="14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58,348</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12,190</w:t>
            </w:r>
          </w:p>
        </w:tc>
        <w:tc>
          <w:tcPr>
            <w:tcW w:w="120" w:type="dxa"/>
            <w:vAlign w:val="bottom"/>
            <w:shd w:val="clear" w:color="auto" w:fill="CFF0FC"/>
          </w:tcPr>
          <w:p>
            <w:pPr>
              <w:spacing w:after="0"/>
              <w:rPr>
                <w:sz w:val="12"/>
                <w:szCs w:val="12"/>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4,742</w:t>
            </w:r>
          </w:p>
        </w:tc>
        <w:tc>
          <w:tcPr>
            <w:tcW w:w="2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46,363</w:t>
            </w:r>
          </w:p>
        </w:tc>
        <w:tc>
          <w:tcPr>
            <w:tcW w:w="120" w:type="dxa"/>
            <w:vAlign w:val="bottom"/>
          </w:tcPr>
          <w:p>
            <w:pPr>
              <w:spacing w:after="0"/>
              <w:rPr>
                <w:sz w:val="12"/>
                <w:szCs w:val="12"/>
                <w:color w:val="auto"/>
              </w:rPr>
            </w:pPr>
          </w:p>
        </w:tc>
      </w:tr>
      <w:tr>
        <w:trPr>
          <w:trHeight w:val="18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1320" w:type="dxa"/>
            <w:vAlign w:val="bottom"/>
            <w:gridSpan w:val="2"/>
            <w:shd w:val="clear" w:color="auto" w:fill="CFF0FC"/>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63,090</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58,553</w:t>
            </w:r>
          </w:p>
        </w:tc>
        <w:tc>
          <w:tcPr>
            <w:tcW w:w="120" w:type="dxa"/>
            <w:vAlign w:val="bottom"/>
            <w:shd w:val="clear" w:color="auto" w:fill="CFF0FC"/>
          </w:tcPr>
          <w:p>
            <w:pPr>
              <w:spacing w:after="0"/>
              <w:rPr>
                <w:sz w:val="15"/>
                <w:szCs w:val="15"/>
                <w:color w:val="auto"/>
              </w:rPr>
            </w:pPr>
          </w:p>
        </w:tc>
      </w:tr>
      <w:tr>
        <w:trPr>
          <w:trHeight w:val="129"/>
        </w:trPr>
        <w:tc>
          <w:tcPr>
            <w:tcW w:w="73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300" w:type="dxa"/>
            <w:vAlign w:val="bottom"/>
            <w:tcBorders>
              <w:top w:val="single" w:sz="8" w:color="CFF0F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48"/>
        </w:trPr>
        <w:tc>
          <w:tcPr>
            <w:tcW w:w="7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320" w:type="dxa"/>
            <w:vAlign w:val="bottom"/>
            <w:gridSpan w:val="2"/>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62,671</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58,134</w:t>
            </w:r>
          </w:p>
        </w:tc>
        <w:tc>
          <w:tcPr>
            <w:tcW w:w="120" w:type="dxa"/>
            <w:vAlign w:val="bottom"/>
            <w:shd w:val="clear" w:color="auto" w:fill="CFF0FC"/>
          </w:tcPr>
          <w:p>
            <w:pPr>
              <w:spacing w:after="0"/>
              <w:rPr>
                <w:sz w:val="12"/>
                <w:szCs w:val="12"/>
                <w:color w:val="auto"/>
              </w:rPr>
            </w:pPr>
          </w:p>
        </w:tc>
      </w:tr>
      <w:tr>
        <w:trPr>
          <w:trHeight w:val="149"/>
        </w:trPr>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 included in other noncurrent assets</w:t>
            </w:r>
          </w:p>
        </w:tc>
        <w:tc>
          <w:tcPr>
            <w:tcW w:w="3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2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20" w:type="dxa"/>
            <w:vAlign w:val="bottom"/>
          </w:tcPr>
          <w:p>
            <w:pPr>
              <w:spacing w:after="0"/>
              <w:rPr>
                <w:sz w:val="12"/>
                <w:szCs w:val="12"/>
                <w:color w:val="auto"/>
              </w:rPr>
            </w:pPr>
          </w:p>
        </w:tc>
      </w:tr>
      <w:tr>
        <w:trPr>
          <w:trHeight w:val="182"/>
        </w:trPr>
        <w:tc>
          <w:tcPr>
            <w:tcW w:w="7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w:t>
            </w:r>
          </w:p>
        </w:tc>
        <w:tc>
          <w:tcPr>
            <w:tcW w:w="1320" w:type="dxa"/>
            <w:vAlign w:val="bottom"/>
            <w:gridSpan w:val="2"/>
            <w:shd w:val="clear" w:color="auto" w:fill="CFF0FC"/>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63,090</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58,553</w:t>
            </w:r>
          </w:p>
        </w:tc>
        <w:tc>
          <w:tcPr>
            <w:tcW w:w="120" w:type="dxa"/>
            <w:vAlign w:val="bottom"/>
            <w:shd w:val="clear" w:color="auto" w:fill="CFF0FC"/>
          </w:tcPr>
          <w:p>
            <w:pPr>
              <w:spacing w:after="0"/>
              <w:rPr>
                <w:sz w:val="15"/>
                <w:szCs w:val="15"/>
                <w:color w:val="auto"/>
              </w:rPr>
            </w:pPr>
          </w:p>
        </w:tc>
      </w:tr>
      <w:tr>
        <w:trPr>
          <w:trHeight w:val="129"/>
        </w:trPr>
        <w:tc>
          <w:tcPr>
            <w:tcW w:w="73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00" w:type="dxa"/>
            <w:vAlign w:val="bottom"/>
            <w:tcBorders>
              <w:top w:val="single" w:sz="8" w:color="CFF0F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48"/>
        </w:trPr>
        <w:tc>
          <w:tcPr>
            <w:tcW w:w="73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Property and equipment included in accounts payable and accrued and other current liabilities</w:t>
            </w:r>
          </w:p>
        </w:tc>
        <w:tc>
          <w:tcPr>
            <w:tcW w:w="1320" w:type="dxa"/>
            <w:vAlign w:val="bottom"/>
            <w:gridSpan w:val="2"/>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2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-2300605</wp:posOffset>
            </wp:positionV>
            <wp:extent cx="9398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-2300605</wp:posOffset>
            </wp:positionV>
            <wp:extent cx="10287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-1610995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-1040765</wp:posOffset>
            </wp:positionV>
            <wp:extent cx="93980" cy="136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-1040765</wp:posOffset>
            </wp:positionV>
            <wp:extent cx="102870" cy="136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13652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-624840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-607695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-624840</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-213995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-196215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-213995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-196215</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the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Tenaya Therapeutics, Inc. (the Company) was incorporated in the state of Delaware in August 2016 and is headquartered in South San Francisco, California. The Company is a clinical-stage biotechnology company focused on discovering, developing and delivering curative therapies that address the underlying drivers of heart disease. The Company’s lead product candidates include TN-201, a gene therapy for myosin binding protein C3-associated hypertrophic cardiomyopathy, TN-401, a gene therapy for plakophilin 2-associated arrhythmogenic right ventricular cardiomyopathy, and TN-301, a small molecule for heart failure with preserved ejection fraction.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incurred net losses since inception and expects such losses to continue in the future as it conducts research and development activities. As of June 30, 2025, the Company had an accumulated deficit of $564.6 million. The Company incurred a net loss of $50.1 million and $61.7 million during the six months ended June 30, 2025 and 2024, respectively. The Company had $71.7 million of cash, cash equivalents and investments in marketable securities as of June 30, 2025.</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March 5, 2025, the Company completed an underwritten offering of its common stock and accompanying warrants. The Company received net proceeds of approximately $48.8 million, after deducting underwriting discounts and commissions of approximately $3.2 million and other offering expenses of approximately $0.5 million. See Note 7,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for further details.</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August 6, 2024, the Company entered into a Loan Agreement with Silicon Valley Bank (SVB), a division of First-Citizens Bank &amp; Trust Company (the Loan Agreement). As of June 30, 2025, under the Loan Agreement, the Company has the right to draw down $7.5 million at its discretion, up to an additional $2.5 million upon the satisfaction of certain milestones and up to an additional $20.0 million that may be available at SVB's discretion, subject to specified conditions. See Note 6, </w:t>
      </w:r>
      <w:r>
        <w:rPr>
          <w:rFonts w:ascii="Times New Roman" w:cs="Times New Roman" w:eastAsia="Times New Roman" w:hAnsi="Times New Roman"/>
          <w:sz w:val="18"/>
          <w:szCs w:val="18"/>
          <w:i w:val="1"/>
          <w:iCs w:val="1"/>
          <w:color w:val="auto"/>
        </w:rPr>
        <w:t>Term Loan</w:t>
      </w:r>
      <w:r>
        <w:rPr>
          <w:rFonts w:ascii="Times New Roman" w:cs="Times New Roman" w:eastAsia="Times New Roman" w:hAnsi="Times New Roman"/>
          <w:sz w:val="18"/>
          <w:szCs w:val="18"/>
          <w:color w:val="auto"/>
        </w:rPr>
        <w:t>, for further details.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Management recognizes the need to raise additional capital to fully implement its business plan. The Company may seek to raise capital through equity financings, debt financings, license agreements, collaborative agreements or other sources of financing. In March 2025, the Company announced cost containment measures, including a committed plan to reduce its workforce (the 2025 Workforce Reduction), in alignment with its focus on generating data from the ongoing clinical trials of TN-201 and TN-401. See Note 11, </w:t>
      </w:r>
      <w:r>
        <w:rPr>
          <w:rFonts w:ascii="Times New Roman" w:cs="Times New Roman" w:eastAsia="Times New Roman" w:hAnsi="Times New Roman"/>
          <w:sz w:val="18"/>
          <w:szCs w:val="18"/>
          <w:i w:val="1"/>
          <w:iCs w:val="1"/>
          <w:color w:val="auto"/>
        </w:rPr>
        <w:t>Workforce Reduction</w:t>
      </w:r>
      <w:r>
        <w:rPr>
          <w:rFonts w:ascii="Times New Roman" w:cs="Times New Roman" w:eastAsia="Times New Roman" w:hAnsi="Times New Roman"/>
          <w:sz w:val="18"/>
          <w:szCs w:val="18"/>
          <w:color w:val="auto"/>
        </w:rPr>
        <w:t>, for further details. Management believes that savings from these measures, combined with existing cash, cash equivalents and short-term investments as of June 30, 2025, along with the $7.5 million of funds available under its Loan Agreement with SVB, will be sufficient to fund the Company’s operations for at least the next twelve months following the date these condensed financial statements are filed with the Securities and Exchange Commission (SEC).</w:t>
      </w:r>
    </w:p>
    <w:p>
      <w:pPr>
        <w:spacing w:after="0" w:line="185" w:lineRule="exact"/>
        <w:rPr>
          <w:sz w:val="20"/>
          <w:szCs w:val="20"/>
          <w:color w:val="auto"/>
        </w:rPr>
      </w:pPr>
    </w:p>
    <w:p>
      <w:pPr>
        <w:ind w:left="520" w:right="7460" w:hanging="512"/>
        <w:spacing w:after="0" w:line="378" w:lineRule="auto"/>
        <w:tabs>
          <w:tab w:leader="none" w:pos="38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interim condensed balance sheet as of June 30, 2025, the interim condensed statements of operations and comprehensive loss, stockholders’ equity and cash flows for the six months ended June 30, 2025 and 2024 are unaudited. These unaudited interim condensed financial statements have been prepared on the same basis as the Company’s annual financial statements and reflect all adjustments that are necessary for the fair statement of the Company’s financial position, results of operations and cash flows for the interim periods presented. The condensed results of operations for the six months ended June 30, 2025, are not necessarily indicative of the results to be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 w:name="page11"/>
    <w:bookmarkEnd w:id="10"/>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expected for the full year or for any other future annual or interim period. The condensed balance sheet as of December 31, 2024, included herein was derived from the audited financial statements as of that date. These condensed financial statements should be read in conjunction with the Company’s audited financial statements and the related notes thereto for the year ended December 31, 2024, included in the Company’s Annual Report on Form 10-K, filed with the SEC on March 10, 2025.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financial statements include, but are not limited to, accrued expenses related to research and development activities. The Company bases its estimates on historical experience, the current economic environment, and on various other assumptions that are believed to be reasonable under the circumstances. Actual results may differ from those estimates or assumptions.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19"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revisions to the Company’s significant accounting policies described in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to the financial statements included in the Company’s Annual Report on Form 10-K for the year ended December 31, 2024.</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CIRM Grant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February 2025, the Company announced it was awarded an $8 million grant from the California Institute for Regenerative Medicine (CIRM) to support the clinical trial of TN-401. The award is payable to the Company upon achievement of certain clinical milestones. Additionally, if CIRM determines, in its sole discretion, that the Company has not complied with the terms and conditions of the grant, CIRM may suspend or permanently cease disbursements. Funds received under this grant may only be used for allowable project costs specifically identified with the CIRM-funded project. Such costs can include, but are not limited to, salary for personnel, itemized supplies, consultants, and itemized clinical study costs. Under the terms of the grant, the Company will co-fund the research project with CIRM and the amount of the Company's co-funding requirement is predetermined as a part of the award. For the six months ended June 30, 2025, the Company received $0.6 million from CIRM in connection with the grant. The Company accounts for the grant under Accounting Standards Codification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and records the funds against the research and development expenses as the milestones are achieved.</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(ASU 2023-07), which improves reportable segment disclosure requirements,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through enhanced disclosures about significant segment expenses. In addition, ASU 2023-07 enhances interim disclosure requirements, clarifies circumstances in which an entity can disclose multiple segment measures of profit or loss, provides new segment disclosure requirements for entities with a single reportable segment, and contains other disclosure requirements. ASU 2023-07 is effective for annual periods beginning after December 15, 2023, and interim periods beginning after December 15, 2024. The adoption of ASU 2023-07 did not have any effect on the Company's financial statements.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Segment Reporting </w:t>
      </w:r>
      <w:r>
        <w:rPr>
          <w:rFonts w:ascii="Times New Roman" w:cs="Times New Roman" w:eastAsia="Times New Roman" w:hAnsi="Times New Roman"/>
          <w:sz w:val="18"/>
          <w:szCs w:val="18"/>
          <w:color w:val="auto"/>
        </w:rPr>
        <w:t>to our financial statements for the disclosure pursuant to the adoption of ASU 2023-07.</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(Topic 220):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Disaggregation of Income Statement Expenses </w:t>
      </w:r>
      <w:r>
        <w:rPr>
          <w:rFonts w:ascii="Times New Roman" w:cs="Times New Roman" w:eastAsia="Times New Roman" w:hAnsi="Times New Roman"/>
          <w:sz w:val="18"/>
          <w:szCs w:val="18"/>
          <w:color w:val="auto"/>
        </w:rPr>
        <w:t>(ASU 2024-03), which requires public companies to disclose, in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reporting periods, additional information about certain expenses in the financial statements. The amendments in this ASU will be effective for annual periods beginning after December 15, 2026, and interim reporting periods beginning after December 15, 2027. Early adoption is permitted. The Company is evaluating the impact of this standard on its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84"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ASU 2023-09 is effective for annual periods beginning after December 15, 2024. The Company is evaluating the impact of this standard on its financial statements and related disclosures.</w:t>
      </w:r>
    </w:p>
    <w:p>
      <w:pPr>
        <w:spacing w:after="0" w:line="1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tab/>
        <w:t>Balance Sheet Components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4"/>
          </w:tcPr>
          <w:p>
            <w:pPr>
              <w:jc w:val="center"/>
              <w:ind w:right="853"/>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26,217</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26,159</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8"/>
                <w:szCs w:val="18"/>
                <w:color w:val="auto"/>
              </w:rPr>
            </w:pPr>
          </w:p>
        </w:tc>
      </w:tr>
      <w:tr>
        <w:trPr>
          <w:trHeight w:val="210"/>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68,320</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68,148</w:t>
            </w:r>
          </w:p>
        </w:tc>
        <w:tc>
          <w:tcPr>
            <w:tcW w:w="10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(32,290)</w:t>
            </w:r>
          </w:p>
        </w:tc>
      </w:tr>
      <w:tr>
        <w:trPr>
          <w:trHeight w:val="20"/>
        </w:trPr>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31,285</w:t>
            </w:r>
          </w:p>
        </w:tc>
        <w:tc>
          <w:tcPr>
            <w:tcW w:w="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35,858</w:t>
            </w:r>
          </w:p>
        </w:tc>
        <w:tc>
          <w:tcPr>
            <w:tcW w:w="100" w:type="dxa"/>
            <w:vAlign w:val="bottom"/>
            <w:shd w:val="clear" w:color="auto" w:fill="CFF0FC"/>
          </w:tcPr>
          <w:p>
            <w:pPr>
              <w:spacing w:after="0"/>
              <w:rPr>
                <w:sz w:val="19"/>
                <w:szCs w:val="19"/>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-25400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each of the three months ended June 30, 2025 and 2024 was $2.1 million. Depreciation and amortization expense for each of the six months ended June 30, 2025 and 2024 was $4.7 and $4.3 million,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80" w:type="dxa"/>
            <w:vAlign w:val="bottom"/>
            <w:gridSpan w:val="4"/>
          </w:tcPr>
          <w:p>
            <w:pPr>
              <w:jc w:val="center"/>
              <w:ind w:right="855"/>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360" w:type="dxa"/>
            <w:vAlign w:val="bottom"/>
            <w:gridSpan w:val="3"/>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360" w:type="dxa"/>
            <w:vAlign w:val="bottom"/>
            <w:gridSpan w:val="3"/>
          </w:tcPr>
          <w:p>
            <w:pPr>
              <w:jc w:val="center"/>
              <w:ind w:lef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0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98"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40" w:type="dxa"/>
            <w:vAlign w:val="bottom"/>
            <w:gridSpan w:val="3"/>
          </w:tcPr>
          <w:p>
            <w:pPr>
              <w:jc w:val="center"/>
              <w:ind w:right="897"/>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80" w:type="dxa"/>
            <w:vAlign w:val="bottom"/>
          </w:tcPr>
          <w:p>
            <w:pPr>
              <w:spacing w:after="0"/>
              <w:rPr>
                <w:sz w:val="12"/>
                <w:szCs w:val="12"/>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40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8"/>
                <w:szCs w:val="18"/>
                <w:color w:val="auto"/>
              </w:rPr>
            </w:pPr>
          </w:p>
        </w:tc>
      </w:tr>
      <w:tr>
        <w:trPr>
          <w:trHeight w:val="230"/>
        </w:trPr>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40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80" w:type="dxa"/>
            <w:vAlign w:val="bottom"/>
            <w:shd w:val="clear" w:color="auto" w:fill="CFF0FC"/>
          </w:tcPr>
          <w:p>
            <w:pPr>
              <w:spacing w:after="0"/>
              <w:rPr>
                <w:sz w:val="19"/>
                <w:szCs w:val="19"/>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-24765</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59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7" w:lineRule="exact"/>
        <w:rPr>
          <w:sz w:val="20"/>
          <w:szCs w:val="20"/>
          <w:color w:val="auto"/>
        </w:rPr>
      </w:pPr>
    </w:p>
    <w:p>
      <w:pPr>
        <w:ind w:left="520" w:right="8220" w:hanging="512"/>
        <w:spacing w:after="0" w:line="378" w:lineRule="auto"/>
        <w:tabs>
          <w:tab w:leader="none" w:pos="38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Facility Leases</w:t>
      </w: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December 2016, the Company entered into a lease agreement for office and laboratory space in South San Francisco, California. The lease was initially set to expire in May 2025 with two five-year renewal options. In June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 w:name="page13"/>
    <w:bookmarkEnd w:id="12"/>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2024, the Company amended the lease to extend the term to November 2027. Pursuant to the terms of the amended lease, the Company has one remaining five-year renewal option.</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February 2021, the Company entered into a lease agreement for office and manufacturing space in Union City, California. The lease commenced in May 2021 and has a ten-year term with one five-year renewal option.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related to operating lease activity during the three and six months ended June 30, 2025 was as follows (in thousands):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gridSpan w:val="2"/>
            <w:shd w:val="clear" w:color="auto" w:fill="CFF0FC"/>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48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FF0FC"/>
          </w:tcPr>
          <w:p>
            <w:pPr>
              <w:spacing w:after="0"/>
              <w:rPr>
                <w:sz w:val="18"/>
                <w:szCs w:val="18"/>
                <w:color w:val="auto"/>
              </w:rPr>
            </w:pPr>
          </w:p>
        </w:tc>
      </w:tr>
      <w:tr>
        <w:trPr>
          <w:trHeight w:val="216"/>
        </w:trPr>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Borders>
              <w:bottom w:val="single" w:sz="8" w:color="CFF0FC"/>
            </w:tcBorders>
          </w:tcPr>
          <w:p>
            <w:pPr>
              <w:spacing w:after="0"/>
              <w:rPr>
                <w:sz w:val="18"/>
                <w:szCs w:val="18"/>
                <w:color w:val="auto"/>
              </w:rPr>
            </w:pPr>
          </w:p>
        </w:tc>
      </w:tr>
      <w:tr>
        <w:trPr>
          <w:trHeight w:val="249"/>
        </w:trPr>
        <w:tc>
          <w:tcPr>
            <w:tcW w:w="45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6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1,154</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8"/>
        </w:trPr>
        <w:tc>
          <w:tcPr>
            <w:tcW w:w="45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assets obtained in exchange for</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20" w:type="dxa"/>
            <w:vAlign w:val="bottom"/>
            <w:shd w:val="clear" w:color="auto" w:fill="CFF0FC"/>
          </w:tcPr>
          <w:p>
            <w:pPr>
              <w:spacing w:after="0"/>
              <w:rPr>
                <w:sz w:val="20"/>
                <w:szCs w:val="20"/>
                <w:color w:val="auto"/>
              </w:rPr>
            </w:pPr>
          </w:p>
        </w:tc>
      </w:tr>
      <w:tr>
        <w:trPr>
          <w:trHeight w:val="198"/>
        </w:trPr>
        <w:tc>
          <w:tcPr>
            <w:tcW w:w="4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-711200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-693420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-856615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-711200</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-693420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-856615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-711200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-693420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-856615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-711200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-693420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-856615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the Company’s operating leases had a weighted average remaining lease term of 4.4 years and a weighted average discount rate of 9.0%. As of December 31, 2024, the Company’s operating leases had a weighted average remaining lease term of 4.8 years and a weighted average discount rate of 8.9%. Future minimum lease payments under the Company’s operating leases as of June 30, 2025 were as follows:</w:t>
      </w:r>
    </w:p>
    <w:p>
      <w:pPr>
        <w:spacing w:after="0" w:line="61"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4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(six months remaining)</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6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6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60" w:type="dxa"/>
            <w:vAlign w:val="bottom"/>
          </w:tcPr>
          <w:p>
            <w:pPr>
              <w:spacing w:after="0"/>
              <w:rPr>
                <w:sz w:val="18"/>
                <w:szCs w:val="18"/>
                <w:color w:val="auto"/>
              </w:rPr>
            </w:pPr>
          </w:p>
        </w:tc>
      </w:tr>
      <w:tr>
        <w:trPr>
          <w:trHeight w:val="209"/>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6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Imputed interest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(2,799)</w:t>
            </w:r>
          </w:p>
        </w:tc>
      </w:tr>
      <w:tr>
        <w:trPr>
          <w:trHeight w:val="20"/>
        </w:trPr>
        <w:tc>
          <w:tcPr>
            <w:tcW w:w="4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60" w:type="dxa"/>
            <w:vAlign w:val="bottom"/>
            <w:shd w:val="clear" w:color="auto" w:fill="CFF0FC"/>
          </w:tcPr>
          <w:p>
            <w:pPr>
              <w:spacing w:after="0"/>
              <w:rPr>
                <w:sz w:val="19"/>
                <w:szCs w:val="19"/>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contractual agreements with various suppliers in the normal course of its business, including vendors that provide machinery and equipment. All contracts are terminable, with varying provisions regarding termination. In general, if a contract with a specific vendor were to be terminated, the Company would only be obligated for the products or services that the Company had received up to the time of termination.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financial statements indicates that it is probable that a liability had been incurred at the date of the financial statements and (ii) the range of loss can be reasonably estimated. The Company was not involved in any material litigation as of June 30, 2025 and December 31, 2024.</w:t>
      </w:r>
    </w:p>
    <w:p>
      <w:pPr>
        <w:spacing w:after="0" w:line="7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June 30, 2025 and December 31, 2024, the Company did not have any material indemnification claims that were probable or reasonably possible and, consequently, has not recorded any related liabilities.</w:t>
      </w:r>
    </w:p>
    <w:p>
      <w:pPr>
        <w:spacing w:after="0" w:line="172"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Inducement Equity Incentive Plan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September 2024, the Board of Directors (the Board) adopted the Company's 2024 Inducement Equity Incentive Plan (the Inducement Plan), and subject to the adjustment provisions of the Inducement Plan, reserved 1,200,000 shares of the Company’s common stock for issuance pursuant to equity awards granted under the Inducement Plan. The Inducement Plan allows the Company to make equity awards to prospective employees of the Company as an inducement to such individual's commencement of employment with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shares reserved and available for grant under the Inducement Plan as of June 30, 2025, are 727,000.</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Under the Company's 2021 Equity Incentive Plan (the 2021 Plan), 4,000,000 shares of the Company’s common stock were initially reserved for issuance of equity awards to employees, directors, and consultants, under terms and provisions established by the Board.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board of directors may determine.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number of shares reserved and available for grant under the 2021 Plan as of June 30, 2025 is 1,579,201.</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Repricing</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January 22, 2025, the Compensation Committee of the Company's Board approved a repricing of certain outstanding vested and unvested stock option awards under the 2016 Plan and 2021 Plan for eligible employees and certain other service providers (the Repricing Participants). The per share exercise price of eligible stock option awards was reduced to $1.21, the closing price of the Company's common stock on January 24, 2025 (the Repricing Effective Date). To receive the benefit of the repricing, Repricing Participants were required to remain a Service Provider (as such term is defined in the 2016 Plan or 2021 Plan) through the period (the Retention Period) that began on the Repricing Effective Date and ended on July 24, 2025 (the Retention Date) and not exercise any of their repriced stock options prior to the Retention Date. Option holders who exercised their repriced stock options prior to the Retention Date were required to pay the original exercise price per share of such repriced options. No other changes were made to the terms and conditions of the eligible stock option awards. The stock option repricing impacted 4.1 million stock option awards and affected 89 employees and service providers.</w:t>
      </w:r>
    </w:p>
    <w:p>
      <w:pPr>
        <w:spacing w:after="0" w:line="84"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On February 6, 2025, the Company's Board approved an option repricing applicable to Faraz Ali, the Company's Chief Executive Officer, with terms mirroring the aforementioned repricing approved on January 22, 2025, except that for Mr. Ali, the options eligible for repricing were limited to options with exercise prices higher than $5.25 per share. The total number of shares underlying Mr. Ali’s repriced options was 915,875 shares.</w:t>
      </w:r>
    </w:p>
    <w:p>
      <w:pPr>
        <w:spacing w:after="0" w:line="6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repricing resulted in a total incremental stock-based compensation expense of $1.3 million, which was calculated using the Black-Scholes option pricing model, of which $1.0 million is associated with vested repriced options as of the Retention Date and will be recognized on a straight-line basis over the Retention Period. The remaining $0.3 million of the incremental stock-based compensation expense is associated with unvested repriced options beyond the Retention Period and will be recognized on a straight-line basis over the remaining original vesting periods. For the six months ended June 30, 2025, the Company recognized $0.9 million of incremental stock-based compensation expense.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8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(in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9,253,976</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3,627,175</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(660,917)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12,220,234</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520" w:right="820"/>
        <w:spacing w:after="0" w:line="261" w:lineRule="auto"/>
        <w:rPr>
          <w:sz w:val="20"/>
          <w:szCs w:val="20"/>
          <w:color w:val="auto"/>
        </w:rPr>
      </w:pPr>
      <w:r>
        <w:rPr>
          <w:rFonts w:ascii="Times New Roman" w:cs="Times New Roman" w:eastAsia="Times New Roman" w:hAnsi="Times New Roman"/>
          <w:sz w:val="14"/>
          <w:szCs w:val="14"/>
          <w:color w:val="auto"/>
        </w:rPr>
        <w:t>Since the reporting period covered by the table above is before the aforementioned Retention Date and any employees who exercised their repriced stock options during the reporting period would have to pay the original exercise price, the weighted average exercise price in the table above does not include the effect of repricing.</w:t>
      </w:r>
    </w:p>
    <w:p>
      <w:pPr>
        <w:spacing w:after="0" w:line="16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Stock option awards granted to employees generally vest over a four-year period. The contractual term of stock option awards is generally 10 years from the grant date.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Company’s stock option awards is estimated on the date of grant using the Black-Scholes option pricing model using the following assumptions:</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60" w:type="dxa"/>
            <w:vAlign w:val="bottom"/>
            <w:gridSpan w:val="4"/>
          </w:tcPr>
          <w:p>
            <w:pPr>
              <w:jc w:val="center"/>
              <w:ind w:right="4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80" w:type="dxa"/>
            <w:vAlign w:val="bottom"/>
            <w:gridSpan w:val="3"/>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00" w:type="dxa"/>
            <w:vAlign w:val="bottom"/>
          </w:tcPr>
          <w:p>
            <w:pPr>
              <w:spacing w:after="0"/>
              <w:rPr>
                <w:sz w:val="13"/>
                <w:szCs w:val="13"/>
                <w:color w:val="auto"/>
              </w:rPr>
            </w:pPr>
          </w:p>
        </w:tc>
      </w:tr>
      <w:tr>
        <w:trPr>
          <w:trHeight w:val="173"/>
        </w:trPr>
        <w:tc>
          <w:tcPr>
            <w:tcW w:w="47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r>
      <w:tr>
        <w:trPr>
          <w:trHeight w:val="142"/>
        </w:trPr>
        <w:tc>
          <w:tcPr>
            <w:tcW w:w="476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940" w:type="dxa"/>
            <w:vAlign w:val="bottom"/>
            <w:shd w:val="clear" w:color="auto" w:fill="CFF0FC"/>
          </w:tcPr>
          <w:p>
            <w:pPr>
              <w:jc w:val="center"/>
              <w:ind w:right="234"/>
              <w:spacing w:after="0"/>
              <w:rPr>
                <w:sz w:val="20"/>
                <w:szCs w:val="20"/>
                <w:color w:val="auto"/>
              </w:rPr>
            </w:pPr>
            <w:r>
              <w:rPr>
                <w:rFonts w:ascii="Times New Roman" w:cs="Times New Roman" w:eastAsia="Times New Roman" w:hAnsi="Times New Roman"/>
                <w:sz w:val="18"/>
                <w:szCs w:val="18"/>
                <w:color w:val="auto"/>
                <w:w w:val="97"/>
              </w:rPr>
              <w:t>6.0</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6.1</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90%</w:t>
            </w:r>
          </w:p>
        </w:tc>
        <w:tc>
          <w:tcPr>
            <w:tcW w:w="940" w:type="dxa"/>
            <w:vAlign w:val="bottom"/>
          </w:tcPr>
          <w:p>
            <w:pPr>
              <w:jc w:val="center"/>
              <w:ind w:right="234"/>
              <w:spacing w:after="0"/>
              <w:rPr>
                <w:sz w:val="20"/>
                <w:szCs w:val="20"/>
                <w:color w:val="auto"/>
              </w:rPr>
            </w:pPr>
            <w:r>
              <w:rPr>
                <w:rFonts w:ascii="Times New Roman" w:cs="Times New Roman" w:eastAsia="Times New Roman" w:hAnsi="Times New Roman"/>
                <w:sz w:val="18"/>
                <w:szCs w:val="18"/>
                <w:color w:val="auto"/>
              </w:rPr>
              <w:t>92%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91%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93%</w:t>
            </w: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4.2%</w:t>
            </w:r>
          </w:p>
        </w:tc>
        <w:tc>
          <w:tcPr>
            <w:tcW w:w="940" w:type="dxa"/>
            <w:vAlign w:val="bottom"/>
            <w:shd w:val="clear" w:color="auto" w:fill="CFF0FC"/>
          </w:tcPr>
          <w:p>
            <w:pPr>
              <w:jc w:val="center"/>
              <w:ind w:right="234"/>
              <w:spacing w:after="0"/>
              <w:rPr>
                <w:sz w:val="20"/>
                <w:szCs w:val="20"/>
                <w:color w:val="auto"/>
              </w:rPr>
            </w:pPr>
            <w:r>
              <w:rPr>
                <w:rFonts w:ascii="Times New Roman" w:cs="Times New Roman" w:eastAsia="Times New Roman" w:hAnsi="Times New Roman"/>
                <w:sz w:val="18"/>
                <w:szCs w:val="18"/>
                <w:color w:val="auto"/>
              </w:rPr>
              <w:t>4.5%</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4.5%</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4.5%</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6"/>
              </w:rPr>
              <w:t>—%</w:t>
            </w:r>
          </w:p>
        </w:tc>
        <w:tc>
          <w:tcPr>
            <w:tcW w:w="940" w:type="dxa"/>
            <w:vAlign w:val="bottom"/>
          </w:tcPr>
          <w:p>
            <w:pPr>
              <w:jc w:val="center"/>
              <w:ind w:right="2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Restricted stock units (RSUs) are awards that entitle the holder to receive freely tradable shares of the Company’s common stock upon the completion of a specific period of continued service. RSUs generally vest over a two to four year period and are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3"/>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3"/>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3"/>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dollars)</w:t>
            </w:r>
          </w:p>
        </w:tc>
        <w:tc>
          <w:tcPr>
            <w:tcW w:w="6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4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1,354,178</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4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1,497,678</w:t>
            </w:r>
          </w:p>
        </w:tc>
        <w:tc>
          <w:tcPr>
            <w:tcW w:w="1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46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(491,198)</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278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(329,050)</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June 30, 2025</w:t>
            </w:r>
          </w:p>
        </w:tc>
        <w:tc>
          <w:tcPr>
            <w:tcW w:w="27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2,031,608</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FF0FC"/>
            </w:tcBorders>
            <w:shd w:val="clear" w:color="auto" w:fill="CFF0FC"/>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78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15</w:t>
            </w: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-1071245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-1053465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Company's 2021 Employee Stock Purchase Plan (the ESPP), the Company initially reserved 800,000 shares for future issuance. The number of shares of common stock available for issuance under the ESPP automatically increases on the first day of each fiscal year for a period of ten years beginning with 2022 in an amount equal to the lesser of: 800,000 shares; 1% of the outstanding shares of the Company’s common stock as of the last day of the immediately preceding year; or such other amount as the Board may determine. As of June 30, 2025, 2,345,079 shares were reserved for future issuance under the ESPP. Under the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 qualified compensation, up to an annual limit of $25,000 per the Internal Revenue Service. For the six months ended June 30, 2025 and 2024, the stock-based compensation expense for ESPP was not material.</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recognized in the Company’s condensed statements of operations and comprehensive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w:t>
      </w:r>
    </w:p>
    <w:p>
      <w:pPr>
        <w:spacing w:after="0" w:line="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8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1,873</w:t>
            </w:r>
          </w:p>
        </w:tc>
        <w:tc>
          <w:tcPr>
            <w:tcW w:w="9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2,246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20" w:type="dxa"/>
            <w:vAlign w:val="bottom"/>
            <w:shd w:val="clear" w:color="auto" w:fill="CFF0FC"/>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1,762</w:t>
            </w:r>
          </w:p>
        </w:tc>
        <w:tc>
          <w:tcPr>
            <w:tcW w:w="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2,365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tcPr>
          <w:p>
            <w:pPr>
              <w:spacing w:after="0"/>
              <w:rPr>
                <w:sz w:val="18"/>
                <w:szCs w:val="18"/>
                <w:color w:val="auto"/>
              </w:rPr>
            </w:pPr>
          </w:p>
        </w:tc>
      </w:tr>
      <w:tr>
        <w:trPr>
          <w:trHeight w:val="230"/>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3,635</w:t>
            </w:r>
          </w:p>
        </w:tc>
        <w:tc>
          <w:tcPr>
            <w:tcW w:w="9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4,611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20" w:type="dxa"/>
            <w:vAlign w:val="bottom"/>
            <w:shd w:val="clear" w:color="auto" w:fill="CFF0FC"/>
          </w:tcPr>
          <w:p>
            <w:pPr>
              <w:spacing w:after="0"/>
              <w:rPr>
                <w:sz w:val="19"/>
                <w:szCs w:val="19"/>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-24765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12529"/>
        </w:rPr>
        <w:t xml:space="preserve">On August 6, 2024, the Company entered into the Loan Agreement with SVB. </w:t>
      </w:r>
      <w:r>
        <w:rPr>
          <w:rFonts w:ascii="Times New Roman" w:cs="Times New Roman" w:eastAsia="Times New Roman" w:hAnsi="Times New Roman"/>
          <w:sz w:val="18"/>
          <w:szCs w:val="18"/>
          <w:color w:val="000000"/>
        </w:rPr>
        <w:t>Pursuant to the terms of the Loan Agreement, term loans in an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aggregate principal amount of up to $45.0 million may be made under multiple tranches. The tranches can be drawn as follows: the first tranche of up to $15.0 million became available on the closing date but expired on June 30, 2025; the second tranche of $5.0 million and the third tranche of $2.5 million became available in October 2024 and December 2024, respectively, upon the achievement of certain clinical milestones and are available for draw down through December 31, 2025; the fourth tranche of $2.5 million is subject to the achievement of a clinical milestone or satisfaction of certain capitalization requirements, and if achieved, would be available for draw down through December 31, 2025; and the final tranche of $20.0 million would be available for draw down through July 31, 2026, on such terms as may be agreed by the parties and subject to approval by SVB's credit committee and subject to SVB's discretion. With the exception of the final tranche, and subject to achievement of the applicable milestones and other requirements with respect to each tranche, draw downs are at the Company's election. As of June 30, 2025, the Company has not drawn any funds under the Loan Agreement.</w:t>
      </w:r>
    </w:p>
    <w:p>
      <w:pPr>
        <w:spacing w:after="0" w:line="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Interest will accrue on the term loan advances at a rate per annum that is equal to the greater of 8.50% and the prime rate and will be payable monthly in arrears. Principal payments on any term loan advances that are borrowed would commence on January 1, 2026, subject to extension to July 1, 2026, upon the satisfaction of certain milestones.</w:t>
      </w:r>
    </w:p>
    <w:p>
      <w:pPr>
        <w:spacing w:after="0" w:line="6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security for its obligations under the Loan Agreement, the Company granted SVB a security interest in substantially all of the assets of the Company, other than its intellectual property.</w:t>
      </w:r>
    </w:p>
    <w:p>
      <w:pPr>
        <w:spacing w:after="0" w:line="158" w:lineRule="exact"/>
        <w:rPr>
          <w:sz w:val="20"/>
          <w:szCs w:val="20"/>
          <w:color w:val="auto"/>
        </w:rPr>
      </w:pPr>
    </w:p>
    <w:p>
      <w:pPr>
        <w:ind w:left="520" w:right="9180" w:hanging="512"/>
        <w:spacing w:after="0" w:line="400" w:lineRule="auto"/>
        <w:tabs>
          <w:tab w:leader="none" w:pos="385"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Lender Warrant</w:t>
      </w: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Loan Agreement, the Company issued to SVB a warrant to purchase up to 171,848 shares of our common stock (the Lender Warrant). </w:t>
      </w:r>
      <w:r>
        <w:rPr>
          <w:rFonts w:ascii="Times New Roman" w:cs="Times New Roman" w:eastAsia="Times New Roman" w:hAnsi="Times New Roman"/>
          <w:sz w:val="18"/>
          <w:szCs w:val="18"/>
          <w:color w:val="212529"/>
        </w:rPr>
        <w:t>The Lender Warrant became exercisable for 73,649 shares upon closing (the Initial Lender Warrant), which represented 0.075</w:t>
      </w:r>
      <w:r>
        <w:rPr>
          <w:rFonts w:ascii="Times New Roman" w:cs="Times New Roman" w:eastAsia="Times New Roman" w:hAnsi="Times New Roman"/>
          <w:sz w:val="18"/>
          <w:szCs w:val="18"/>
          <w:color w:val="auto"/>
        </w:rPr>
        <w:t>% of the Company's common stock and common stock</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 w:name="page17"/>
    <w:bookmarkEnd w:id="16"/>
    <w:p>
      <w:pPr>
        <w:spacing w:after="0" w:line="8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equivalents outstanding as of the day before the closing, on a fully-diluted basis, at an exercise price of $2.55 per share. The Initial Lender Warrant was classified as equity and its fair value was recorded in the stockholders’ equity section of the balance sheet. On June 30, 2025, following the expiration of the first tranche of $15.0 million, 49,099 shares subject to the Lender Warrant became unexercisable. </w:t>
      </w:r>
      <w:r>
        <w:rPr>
          <w:rFonts w:ascii="Times New Roman" w:cs="Times New Roman" w:eastAsia="Times New Roman" w:hAnsi="Times New Roman"/>
          <w:sz w:val="18"/>
          <w:szCs w:val="18"/>
          <w:color w:val="212529"/>
        </w:rPr>
        <w:t>The Lender Warrant will become exercisable for 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to an additional 49,100 shares pro-rated based on amounts actually advanced for the various tranches under the Loan Agreement (the Remaining Lender Warrant). </w:t>
      </w:r>
      <w:r>
        <w:rPr>
          <w:rFonts w:ascii="Times New Roman" w:cs="Times New Roman" w:eastAsia="Times New Roman" w:hAnsi="Times New Roman"/>
          <w:sz w:val="18"/>
          <w:szCs w:val="18"/>
          <w:color w:val="000000"/>
        </w:rPr>
        <w:t>The Remaining Lender Warrant under the Loan Agreement is considered an outstanding instrument upon closing of the Loan Agreement for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accounting purposes. In accordance with ASC 815-40, </w:t>
      </w:r>
      <w:r>
        <w:rPr>
          <w:rFonts w:ascii="Times New Roman" w:cs="Times New Roman" w:eastAsia="Times New Roman" w:hAnsi="Times New Roman"/>
          <w:sz w:val="18"/>
          <w:szCs w:val="18"/>
          <w:i w:val="1"/>
          <w:iCs w:val="1"/>
          <w:color w:val="000000"/>
        </w:rPr>
        <w:t>Derivatives and Hedging - Contracts in Entity's Own Equity</w:t>
      </w:r>
      <w:r>
        <w:rPr>
          <w:rFonts w:ascii="Times New Roman" w:cs="Times New Roman" w:eastAsia="Times New Roman" w:hAnsi="Times New Roman"/>
          <w:sz w:val="18"/>
          <w:szCs w:val="18"/>
          <w:color w:val="000000"/>
        </w:rPr>
        <w:t>, the Remaining Lender Warrant is recognized at its fair value as a warrant liability given the variable settlement amount of the warrant shares and included in other non-current liabilities within the condensed balance sheets. The Lender Warrant expires on August 6, 2034.</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August 10, 2022, the Company entered into a sales agreement (the Sales Agreement) with Leerink Partners LLC to establish an “at-the-market” (ATM) offering defined in Rule 415 under the Securities Act. Pursuant to the Sales Agreement, the Company is permitted to offer and sell, from time to time, shares of its common stock having a maximum aggregate offering price of up to $75.0 million. In January 2025, the Company sold 822,566 shares of our common stock under the ATM offering for net proceeds of $0.9 million, after deducting commissions and offering costs of $0.3 million. As of June 30, 2025, the Company may issue and sell up to approximately $69.8 million of common stock under the ATM offering.</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March 5, 2025, the Company completed an underwritten public offering of 75,000,000 units, priced at a public offering price of $0.70 per unit, with each unit consisting of one share of its common stock, a warrant to purchase one share of its common stock at an exercise price of $0.80 per share, which will be immediately exercisable and will expire five years from the date of issuance (a Series A Warrant) and a warrant to purchase one-half of a share of its common stock at an exercise price of $0.70 per share, which will be immediately exercisable and expire on June 30, 2026 (a Series B Warrant), under its registration statement on Form S-3 (File No. 333-266741). The Company received net proceeds of approximately $48.8 million, after deducting underwriting discounts and commissions of approximately $3.2 million and other offering expenses of approximately $0.5 million.</w:t>
      </w:r>
    </w:p>
    <w:p>
      <w:pPr>
        <w:spacing w:after="0" w:line="77"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Company analyzed the Series A and Series B Warrants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815-40,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 - Contracts in Entity's Own Equity</w:t>
      </w:r>
      <w:r>
        <w:rPr>
          <w:rFonts w:ascii="Times New Roman" w:cs="Times New Roman" w:eastAsia="Times New Roman" w:hAnsi="Times New Roman"/>
          <w:sz w:val="18"/>
          <w:szCs w:val="18"/>
          <w:color w:val="auto"/>
        </w:rPr>
        <w:t>, and concluded that the Series A and Series B Warrants are not liabilities, are indexed to its own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all other conditions for equity classification. Accordingly, the Company has classified the Series A and Series B Warrants as permanent equity.</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February 12, 2024, the Company completed an underwritten offering of 8,888,890 shares of its common stock at a price of $4.50 per share and, to an investor in lieu of common stock, pre-funded warrants to purchase 2,222,271 shares of its common stock at a price of $4.499 per pre-funded warrant. The Company received net proceeds of approximately $46.8 million, after deducting underwriting discounts and commissions of approximately $3.0 million and offering expenses of $0.2 million. As of December 31, 2024, all pre-funded warrants have been exercised for an exercise price of $0.001 per share.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total shares of common stock reserved for issuance, on an as-if converted basis, are as follows:</w:t>
      </w:r>
    </w:p>
    <w:p>
      <w:pPr>
        <w:spacing w:after="0" w:line="11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wp:posOffset>
            </wp:positionV>
            <wp:extent cx="641223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Outstanding stock options and awards</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Outstanding Lender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8"/>
          <w:szCs w:val="18"/>
          <w:color w:val="auto"/>
        </w:rPr>
        <w:t>Outstanding Series A and Series B Warrants</w:t>
      </w:r>
    </w:p>
    <w:p>
      <w:pPr>
        <w:spacing w:after="0" w:line="9" w:lineRule="exact"/>
        <w:rPr>
          <w:sz w:val="20"/>
          <w:szCs w:val="20"/>
          <w:color w:val="auto"/>
        </w:rPr>
      </w:pPr>
    </w:p>
    <w:p>
      <w:pPr>
        <w:ind w:left="580" w:right="2140"/>
        <w:spacing w:after="0" w:line="250" w:lineRule="auto"/>
        <w:rPr>
          <w:sz w:val="20"/>
          <w:szCs w:val="20"/>
          <w:color w:val="auto"/>
        </w:rPr>
      </w:pPr>
      <w:r>
        <w:rPr>
          <w:rFonts w:ascii="Times New Roman" w:cs="Times New Roman" w:eastAsia="Times New Roman" w:hAnsi="Times New Roman"/>
          <w:sz w:val="18"/>
          <w:szCs w:val="18"/>
          <w:color w:val="auto"/>
        </w:rPr>
        <w:t>Shares available for further issuance under the 2024 Inducement Equity Incentive Plan Shares available for further issuance under the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-135890</wp:posOffset>
            </wp:positionV>
            <wp:extent cx="641223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640" w:right="2360" w:hanging="73"/>
        <w:spacing w:after="0" w:line="276" w:lineRule="auto"/>
        <w:rPr>
          <w:sz w:val="20"/>
          <w:szCs w:val="20"/>
          <w:color w:val="auto"/>
        </w:rPr>
      </w:pPr>
      <w:r>
        <w:rPr>
          <w:rFonts w:ascii="Times New Roman" w:cs="Times New Roman" w:eastAsia="Times New Roman" w:hAnsi="Times New Roman"/>
          <w:sz w:val="18"/>
          <w:szCs w:val="18"/>
          <w:color w:val="auto"/>
        </w:rPr>
        <w:t>Shares available for further issuance under the 2021 Employee Stock Purchase Plan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-156210</wp:posOffset>
            </wp:positionV>
            <wp:extent cx="641223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620"/>
        <w:spacing w:after="0"/>
        <w:rPr>
          <w:sz w:val="20"/>
          <w:szCs w:val="20"/>
          <w:color w:val="auto"/>
        </w:rPr>
      </w:pPr>
      <w:r>
        <w:rPr>
          <w:rFonts w:ascii="Times New Roman" w:cs="Times New Roman" w:eastAsia="Times New Roman" w:hAnsi="Times New Roman"/>
          <w:sz w:val="18"/>
          <w:szCs w:val="18"/>
          <w:color w:val="auto"/>
        </w:rPr>
        <w:t>14,251,842</w:t>
      </w:r>
    </w:p>
    <w:p>
      <w:pPr>
        <w:spacing w:after="0" w:line="7"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122,749</w:t>
      </w:r>
    </w:p>
    <w:p>
      <w:pPr>
        <w:spacing w:after="0" w:line="9"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112,500,000</w:t>
      </w:r>
    </w:p>
    <w:p>
      <w:pPr>
        <w:spacing w:after="0" w:line="9"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727,000</w:t>
      </w:r>
    </w:p>
    <w:p>
      <w:pPr>
        <w:spacing w:after="0" w:line="9"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1,579,201</w:t>
      </w:r>
    </w:p>
    <w:p>
      <w:pPr>
        <w:spacing w:after="0" w:line="9"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2,345,079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5715</wp:posOffset>
            </wp:positionV>
            <wp:extent cx="11055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131,525,871</w:t>
      </w:r>
    </w:p>
    <w:p>
      <w:pPr>
        <w:spacing w:after="0" w:line="253" w:lineRule="exact"/>
        <w:rPr>
          <w:sz w:val="20"/>
          <w:szCs w:val="20"/>
          <w:color w:val="auto"/>
        </w:rPr>
      </w:pPr>
    </w:p>
    <w:p>
      <w:pPr>
        <w:sectPr>
          <w:pgSz w:w="11900" w:h="16838" w:orient="portrait"/>
          <w:cols w:equalWidth="0" w:num="2">
            <w:col w:w="8960" w:space="720"/>
            <w:col w:w="1520"/>
          </w:cols>
          <w:pgMar w:left="320" w:top="1440" w:right="37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7" w:name="page18"/>
    <w:bookmarkEnd w:id="17"/>
    <w:p>
      <w:pPr>
        <w:spacing w:after="0" w:line="200" w:lineRule="exact"/>
        <w:rPr>
          <w:sz w:val="20"/>
          <w:szCs w:val="20"/>
          <w:color w:val="auto"/>
        </w:rPr>
      </w:pPr>
    </w:p>
    <w:p>
      <w:pPr>
        <w:spacing w:after="0" w:line="233"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11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10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60,721</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69,718</w:t>
            </w:r>
          </w:p>
        </w:tc>
        <w:tc>
          <w:tcPr>
            <w:tcW w:w="26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0" w:type="dxa"/>
            <w:vAlign w:val="bottom"/>
          </w:tcPr>
          <w:p>
            <w:pPr>
              <w:spacing w:after="0"/>
              <w:rPr>
                <w:sz w:val="24"/>
                <w:szCs w:val="24"/>
                <w:color w:val="auto"/>
              </w:rPr>
            </w:pPr>
          </w:p>
        </w:tc>
        <w:tc>
          <w:tcPr>
            <w:tcW w:w="1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10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620" w:type="dxa"/>
            <w:vAlign w:val="bottom"/>
            <w:tcBorders>
              <w:bottom w:val="single" w:sz="8" w:color="CFF0FC"/>
            </w:tcBorders>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58,385</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-170815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Money market funds and U.S. treasury securities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it is more likely than not that its marketable securities in an unrealized loss position will be held until maturity or the recovery of the cost basis of the investment. To date, the Company has not recorded any allowance for credit losses on its investment securities. Based upon its quarterly impairment review, the Company determined that the unrealized losses were not attributed to credit risk but were primarily driven by the broader change in interest rates.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the fair value of available-for-sale marketable securities was $9.0 million, all of which had remaining maturities of less than one year.</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Company's financial liability measured at fair value on a recurring basis consists of the Remaining Lender Warrant issued in connection with the Loan Agreement (see Note 7,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fair value of the warrant liability was determined based on significant inputs not observable in the market, which represents a Level 3 measurement within the fair value hierarchy. The Company utilized the Black-Scholes option valuation model to fair value the warrant liability. The fair value is estimated using the Black-Scholes option-pricing model and adjusted for the likelihood of draw downs. The expected term is based on the remaining contractual term of the warrant. The Company estimates its expected stock volatility based on the historical volatility of a set of peer companies, which are publicly traded, and expects to continue to do so until it has adequate historical data regarding the volatility of its own publicly-traded stock price. The risk-free interest rate is determined by reference to the U.S. Treasury yield curve in effect at the time of measurement for time periods approximately equal to the expected term of the Lender Warrant. The Company uses an expected dividend yield of zero based on the fact that the Company has never paid cash dividends and does not expect to pay cash dividends in the foreseeable future. The warrant liability is subject to re-measurement at each balance sheet date, and any change in fair value is recognized as a gain or loss in our statement of operations and comprehensive loss. During the three and six months ended June 30, 2025, the fair value of the warrant liability and its change were not material.</w:t>
      </w:r>
    </w:p>
    <w:p>
      <w:pPr>
        <w:spacing w:after="0" w:line="8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remaining financial assets and liabilities, which include cash, receivables and payables, approximate their fair values due to their short-term nature.</w:t>
      </w:r>
    </w:p>
    <w:p>
      <w:pPr>
        <w:spacing w:after="0" w:line="158"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and 2024, the Company did not record any income tax expense or benefit. The Company has recorded a full valuation allowance against its U.S. federal and state deferred tax assets as the Company believes it is more likely than not that the benefit will not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Basic and diluted loss per share are computed by dividing net loss by the weighted-average number of common shares outstanding during the reporting period. The following potentially dilutive securities were not included in the calculation of diluted net loss per share as of the periods presented because the effect would have been anti-dilutive:</w:t>
      </w:r>
    </w:p>
    <w:tbl>
      <w:tblPr>
        <w:tblLayout w:type="fixed"/>
        <w:tblInd w:w="7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120" w:type="dxa"/>
            <w:vAlign w:val="bottom"/>
            <w:tcBorders>
              <w:bottom w:val="single" w:sz="8" w:color="auto"/>
            </w:tcBorders>
            <w:gridSpan w:val="3"/>
          </w:tcPr>
          <w:p>
            <w:pPr>
              <w:ind w:left="1380"/>
              <w:spacing w:after="0" w:line="158"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54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 and restricted stock units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14,251,842</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12,073,489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Lender Warrant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Series A and B Warrants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112,500,000</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636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126,874,591</w:t>
            </w:r>
          </w:p>
        </w:tc>
        <w:tc>
          <w:tcPr>
            <w:tcW w:w="20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12,073,489</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-170815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-170815</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Workforce Reduction</w:t>
      </w:r>
    </w:p>
    <w:p>
      <w:pPr>
        <w:spacing w:after="0" w:line="12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212529"/>
        </w:rPr>
        <w:t>In March 2025, the Company announced cost containment measures, including a committed plan to reduce its workforce (the 2025 Workforce Reduction), in alignment with the Company's focus on generating data from the ongoing MyPEAK</w:t>
      </w:r>
      <w:r>
        <w:rPr>
          <w:rFonts w:ascii="Times New Roman" w:cs="Times New Roman" w:eastAsia="Times New Roman" w:hAnsi="Times New Roman"/>
          <w:sz w:val="24"/>
          <w:szCs w:val="24"/>
          <w:color w:val="212529"/>
          <w:vertAlign w:val="superscript"/>
        </w:rPr>
        <w:t>TM</w:t>
      </w:r>
      <w:r>
        <w:rPr>
          <w:rFonts w:ascii="Times New Roman" w:cs="Times New Roman" w:eastAsia="Times New Roman" w:hAnsi="Times New Roman"/>
          <w:sz w:val="18"/>
          <w:szCs w:val="18"/>
          <w:color w:val="212529"/>
        </w:rPr>
        <w:t>-1 and RIDGE</w:t>
      </w:r>
      <w:r>
        <w:rPr>
          <w:rFonts w:ascii="Times New Roman" w:cs="Times New Roman" w:eastAsia="Times New Roman" w:hAnsi="Times New Roman"/>
          <w:sz w:val="24"/>
          <w:szCs w:val="24"/>
          <w:color w:val="212529"/>
          <w:vertAlign w:val="superscript"/>
        </w:rPr>
        <w:t>TM</w:t>
      </w:r>
      <w:r>
        <w:rPr>
          <w:rFonts w:ascii="Times New Roman" w:cs="Times New Roman" w:eastAsia="Times New Roman" w:hAnsi="Times New Roman"/>
          <w:sz w:val="18"/>
          <w:szCs w:val="18"/>
          <w:color w:val="212529"/>
        </w:rPr>
        <w:t>-1 clinical trials of TN-201 and TN-401, respectively. In connection with the 2025 Workforce Reduction, the Company estimated that it would incur approximately $1.6 million to $2.7 million of aggregate charges, primarily related to employee cash severance and continuing health benefits. During the six months ended June 30, 2025, the Company recognized $1.1 million of the total estimated charges. The Company expects to recognize substantially all of the remaining charges by the end of the third quarter of 2025.</w:t>
      </w:r>
    </w:p>
    <w:p>
      <w:pPr>
        <w:spacing w:after="0" w:line="9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12529"/>
        </w:rPr>
        <w:t>On May 14, 2024, the Company announced cost containment measures, including a committed plan to reduce its workforce (the 2024 Workforce Reduction) by approximately 22%. The cost containment measures align with the Company's focus on generating data from its clinical-stage gene therapy programs. The 2024 Workforce Reduction was completed as of September 30, 2024. During the year ended December 31, 2024, the Company recognized $1.4 million of aggregate charges, primarily related to employee cash severance and continuing health insurance benefits.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is a clinical-stage biotechnology company focused on discovering, developing and delivering curative therapies that address the underlying drivers of heart disease and has one operating and reportable segment. The Company’s chief operating decision maker (CODM) is the chief executive officer.</w:t>
      </w:r>
    </w:p>
    <w:p>
      <w:pPr>
        <w:spacing w:after="0" w:line="10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statement of operations includes research and development expenses, general and administrative costs, interest income, and income taxes; the Company has not generated any revenue. In addition to reviewing the expenses in the Company’s statement of operations, the CODM is regularly provided with operating expenses by function. The CODM does not review assets at a different asset level or category than the amounts disclosed in the Company’s balance sheet. The Company’s long-lived assets are located in the United States.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operating expenses by function and includes a reconciliation to net loss.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3"/>
                <w:szCs w:val="13"/>
                <w:color w:val="auto"/>
              </w:rPr>
            </w:pPr>
          </w:p>
        </w:tc>
        <w:tc>
          <w:tcPr>
            <w:tcW w:w="23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7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Clinical</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Manufacturing (pre-commercial)</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100" w:type="dxa"/>
            <w:vAlign w:val="bottom"/>
          </w:tcPr>
          <w:p>
            <w:pPr>
              <w:spacing w:after="0"/>
              <w:rPr>
                <w:sz w:val="18"/>
                <w:szCs w:val="18"/>
                <w:color w:val="auto"/>
              </w:rPr>
            </w:pPr>
          </w:p>
        </w:tc>
      </w:tr>
      <w:tr>
        <w:trPr>
          <w:trHeight w:val="210"/>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38,446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47,704</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10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24,082</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(24,082)</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(30,823)</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(51,620)</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(64,585)</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income (loss), net</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8"/>
                <w:szCs w:val="18"/>
                <w:color w:val="auto"/>
              </w:rPr>
            </w:pPr>
          </w:p>
        </w:tc>
      </w:tr>
      <w:tr>
        <w:trPr>
          <w:trHeight w:val="210"/>
        </w:trPr>
        <w:tc>
          <w:tcPr>
            <w:tcW w:w="57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00" w:type="dxa"/>
            <w:vAlign w:val="bottom"/>
            <w:tcBorders>
              <w:top w:val="single" w:sz="8" w:color="CFF0FC"/>
            </w:tcBorders>
          </w:tcPr>
          <w:p>
            <w:pPr>
              <w:spacing w:after="0"/>
              <w:rPr>
                <w:sz w:val="18"/>
                <w:szCs w:val="18"/>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(23,283)</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(29,431)</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(50,147)</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(61,659)</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(23,283)</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(29,431)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(50,147)</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(61,659)</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-1156970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-1156970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-1156970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-599440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-599440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-599440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2024, included in our Annual Report on Form 10-K filed with the Securities and Exchange Commission on March 10, 2025, or Annual Report.</w:t>
      </w:r>
    </w:p>
    <w:p>
      <w:pPr>
        <w:spacing w:after="0" w:line="18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analysis and other parts of this report contain forward-looking statements within the meaning of Section 27A of the Securities Act of 1933, as amended (the Securities Act),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patients.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targeted therapies that includes both gene therapies and small molecules discovered internally and developed using our extensive core capabilities to address rare or highly prevalent forms of heart disease. All of our programs are currently being assessed in clinical trials or are in the preclinical stage; we do not have any products approved for sale and have not generated any revenue to date.</w:t>
      </w:r>
    </w:p>
    <w:p>
      <w:pPr>
        <w:spacing w:after="0" w:line="7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are primarily focused on development of our lead investigational product candidates, TN-201, a gene therapy for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hypertrophic cardiomyopathy (HCM), and TN-401, a gene therapy for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arrhythmogenic right ventricular cardiomyopathy (ARVC). Each candidate is currently in clinical testing to establish the safety profile of two different doses in adults with disease due to pathogenic/likely pathogenic mutations. We anticipate that data generated in the next year will inform late-stage development by characterizing each candidates’ safety and tolerability profile, ability to transduce target heart cells, and produce the lacking protein underlying disease to slow – or even halt – disease progression. Where our discovery efforts lead to product candidates intended for relatively prevalent indications, such as TN-301, our small molecule histone deacetylase-6 (HDAC6) inhibitor for heart failure with preserved ejection fraction (HFpEF), our strategy is to out-license or partner with third parties on such programs.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TN-201 is our potential first-in-class and best-in-class gene therapy for adults and children with HCM due to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These mutations result in a deficiency of myosin binding protein (MyBP-C), which in turn can cause the heart walls of affected individuals to become significantly thickened, leading to fibrosis, abnormal heart rhythms, cardiac dysfunction, heart failure and death. HCM is a chronic, progressive condition and those diagnosed with the disease often experience significant impairment in overall quality of life and may be at higher risk for serious complications and co-morbidities. TN-201 utilizes a recombinant adeno-associated virus serotype 9 (AAV9) capsid and is designed to deliver a working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to specific cells of the heart in order to produce MyBP-C and thereby potentially slow or even reverse the course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 following a single infusion.</w:t>
      </w:r>
    </w:p>
    <w:p>
      <w:pPr>
        <w:spacing w:after="0" w:line="83"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MyPEAK</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-1 is our Phase 1b/2 multi-center, open-label clinical trial, designed to assess the safety, tolerability and efficacy of a one-time intravenous infusion of TN-201. Enrollment in both the 3E13 vg/kg dose (Cohort 1) and 6E13 vg/kg dose (Cohort 2) cohorts are complete. We plan to present initial Cohort 2 data, along with an update on Cohort 1 patients, in the fourth quarter of 2025. In July 2025, following review of safety data from the first six MyPEAK-1 patients by an independent data safety monitoring board (DSMB), the DSMB determined that TN-201 had an acceptable safety profile and endorsed proceeding into expansion cohorts at either dose level for TN-201, per protocol. We currently anticipate enrolling patients in the 6E13 vg/kg dose expansion cohort. Data from MyPEAK-1 is intended to inform dose selection and pivotal trial designs in pediatric and adult individuals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-associated HCM.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1" w:name="page22"/>
    <w:bookmarkEnd w:id="21"/>
    <w:p>
      <w:pPr>
        <w:spacing w:after="0" w:line="8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In December 2024, we announced early but encouraging initial interim safety and biopsy data from Cohort 1 of MyPEAK-1, and in March 2025, we presented data from Cohort 1 in a Late-Breaker presentation at the 2025 American College of Cardiology Scientific (ACC) Sessions. Interim data presented at ACC included results from serial biopsies taken at two time points for all three patients and assessments of the first two patients at Week 52 and Patient</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3 at Week 26. TN-201 was generally well tolerated at the 3E13 vg/kg dose, and treatment-emergent adverse events (AEs) were primarily mild, manageable and/or reversible. Biopsy data indicated robust transduction as evidenced by the sustained presence of TN-201 DNA in the heart (0.8 to 1.4 vg/dg) post-dose and at week 52 for Patients 1 and 2 and at Week 26 for Patient 3. TN-201 RNA expression was present at post-dose biopsies conducted in the first two patients at Week 8 and increased as much as 13-fold from Week 8 to Week 52. MyBP-C protein levels increased modestly between Week 8 and Week 52 for Patients 1 and 2, respectively. This increase, combined with the increase observed in TN-201 mRNA expression, suggests that TN-201 gene therapy is successfully being transcribed and expressed after reaching target cells.</w:t>
      </w:r>
    </w:p>
    <w:p>
      <w:pPr>
        <w:spacing w:after="0" w:line="8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Promising early signals of TN-201’s efficacy suggesting clinical improvement or stability were observed across multiple parameters measured. Cardiac troponin, a biomarker of myocardial injury, was elevated in Cohort 1 patients at baseline and decreased by more than 60% in two patients to normal or near normal levels. NT-proBNP, a biomarker of cardiac strain, increased and remained elevated while patients were on immunosuppression, but returned to baseline as immunosuppressive drugs were discontinued. Two of three patients experienced improvements in one or more measures of hypertrophy, or enlargement of the heart, while other assessments remained stable. All Cohort 1 patients with objectively severe disease at baseline experienced improvements in New York Heart Association (NYHA) classification, moving from mild-to moderate heart failure symptoms that interfered in activities of daily living, Class II or Class III, to Class I, indicating no limitations to physical activities due to symptoms of heart failure.</w:t>
      </w:r>
    </w:p>
    <w:p>
      <w:pPr>
        <w:spacing w:after="0" w:line="8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To support our development efforts for TN-201 we are conducting two noninterventional studies: a study evaluating seroprevalence to AAV9 antibodies among adults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-associated HCM, and MyClimb, a prospective and retrospective global natural history study focused on pediatric patients with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mutation-associated cardiomyopathy. The seroprevalence study has completed enrollment. Initial data indicated that antibodies to AAV9 in the majority of participants were below the eligibility threshold that would allow for participation in MyPEAK-1. The MyClimb natural history study is following patient medical history to characterize the outcomes, burden of illness, risk factors, quality of life, and biomarkers associated with disease progression in pediatric patients. MyClimb complements existing disease registries focused primarily on adult patient HCM populations and may support and expedite the development of TN-201 in the pediatric patient population. We plan to present data from MyClimb at the European Society of Cardiology Annual Meeting being held August 29 - September 1, 2025.</w:t>
      </w:r>
    </w:p>
    <w:p>
      <w:pPr>
        <w:spacing w:after="0" w:line="8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U.S. Food and Drug Administration (FDA) has granted TN-201 Fast Track, Orphan Drug and Rare Pediatric Drug Designations. TN-201 has also received orphan medicinal product designation from the European Commission (EC).</w:t>
      </w:r>
    </w:p>
    <w:p>
      <w:pPr>
        <w:spacing w:after="0" w:line="5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TN-401 is our AAV9-based gene therapy for the treatment of ARVC due to disease-causing variants in the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ARVC, also known as arrhythmogenic cardiomyopathy, or ACM, is a chronic, progressive disease characterized by frequent, severe, and potentially life-threatening ventricular arrhythmias. The disease is associated with adverse heart remodeling, fibrosis, cardiac dysfunction, significant impairment to patients’ overall quality of life, as well as an elevated risk of sudden cardiac death.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mutations are the most common genetic cause of ARVC and result in insufficient expression of a protein needed for proper functioning of the desmosomal complex that maintains physical connections and electrical signaling between heart muscle cells. TN-401 utilizes a recombinant AAV9 capsid and is designed to deliver a working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xml:space="preserve"> gene to specific cells of the heart in order to produce plakophilin protein and thereby potentially slow or even reverse the course of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following a single infusion.</w:t>
      </w:r>
    </w:p>
    <w:p>
      <w:pPr>
        <w:spacing w:after="0" w:line="83"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RIDGE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-1 is our Phase 1b multi-center, open-label clinical trial, designed to assess the safety, tolerability and efficacy of a one-time intravenous infusion of TN-401. We completed dosing of three patients at the 3E13 vg/kg dose (Cohort 1) in April 2025. Per protocol, safety data from the first three RIDGE-1 patients were reviewed by an independent DSMB which endorsed both dose escalation to the 6E13 vg/kg dose cohort (Cohort 2) and expanding enrollment at the 3E13 vg/kg dose level. The first patient enrolled in Cohort 2 received TN-401 at the 6E13 vg/kg dose level in July 2025 and we are continuing to enroll patients in Cohort 2. We may also enroll additional patients at the 3E13 vg/kg dose level. Initial clinical data from Cohort 1 is expected in the fourth quarter of 2025.</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February 2025, we were awarded a Clinical Grant (Clin2) of $8.0 million from the California Institute for Regenerative Medicine (CIRM), a state of California Agency that funds regenerative medicine, stem cell, and gene therapy research. Proceeds from the grant will help fund clinical trial costs for our ongoing Phase 1b RIDGE-1 clinical trial of TN-401 gene therapy. RIDGE-1 is being conducted at multiple clinical trial sites with ARVC expertise at leading cardiology centers in the U.S. and United Kingdom.</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support of our development efforts for TN-401, we initiated RIDGE, a global noninterventional study to collect natural history and seroprevalence to AAV9 antibodies data among ARVC patients who carry pathogenic or likely pathogenic PKP2 gene mutations. Interim data from RIDGE, believed to be the largest natural history study of adults with PKP2-associated ARVC was presented at Heart Rhythm Society’s annual meeting in April 2025. Adults with PKP2-associated ARVC experience a high burden of arrhythmias despite treatments with anti-arrhythmic medications, beta blockers and the anti-arrhythmic flecainide, as well as surgical interventions such as ablation and ICD placement. Further, current treatments appeared to do little to halt or prevent progressive structural changes to the heart that occur as a result of PKP2 mutations. A large majority of adults with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-associated ARVC would be eligible to participate in our ongoing Phase 1b RIDGE-1 clinical trial of TN-401 gene therapy based on low levels of antibodies to AAV9.</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TN-401 has received Orphan Drug and Fast Track designation from the FDA and orphan medicinal product designation from the EC.</w:t>
      </w:r>
    </w:p>
    <w:p>
      <w:pPr>
        <w:spacing w:after="0" w:line="117" w:lineRule="exact"/>
        <w:rPr>
          <w:sz w:val="20"/>
          <w:szCs w:val="20"/>
          <w:color w:val="auto"/>
        </w:rPr>
      </w:pPr>
    </w:p>
    <w:p>
      <w:pPr>
        <w:jc w:val="both"/>
        <w:ind w:right="3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TN-301 is our small molecule HDAC6 inhibitor initially discovered and validated as having cardioprotective qualities in preclinical studies of a rapidly worsening mouse model of </w:t>
      </w:r>
      <w:r>
        <w:rPr>
          <w:rFonts w:ascii="Times New Roman" w:cs="Times New Roman" w:eastAsia="Times New Roman" w:hAnsi="Times New Roman"/>
          <w:sz w:val="18"/>
          <w:szCs w:val="18"/>
          <w:i w:val="1"/>
          <w:iCs w:val="1"/>
          <w:color w:val="auto"/>
        </w:rPr>
        <w:t>BAG3</w:t>
      </w:r>
      <w:r>
        <w:rPr>
          <w:rFonts w:ascii="Times New Roman" w:cs="Times New Roman" w:eastAsia="Times New Roman" w:hAnsi="Times New Roman"/>
          <w:sz w:val="18"/>
          <w:szCs w:val="18"/>
          <w:color w:val="auto"/>
        </w:rPr>
        <w:t xml:space="preserve"> mutant dilated cardiomyopathy (DCM). HDAC6 is a cytoplasmic enzyme known to regulate diverse cellular processes. Based on TN-301’s multi-modal mechanism of action, TN-301 may have future potential in a number of cardiometabolic conditions.</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Subsequent preclinical studies have shown that TN-301 addresses diverse pathological processes with a direct and systemic benefits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of HFpEF. HFpEF is characterized by a stiffening of the heart muscle resulting in an inability for the left ventricle to relax and fill with oxygenated blood sufficient to meet the body’s needs. The pathophysiology of HFpEF is complex and is driven by metabolic dysfunction or oxidative stress and inflammation, with diverse conditions serving as risk factors for disease, including obesity, diabetes, aging, kidney disease and hypertension. Although HFpEF accounts for approximately half of all heart failures, there are few proven treatment options.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shared positive data from our Phase 1 clinical trial of TN-301 in healthy participants at the 2023 Heart Failure Society of America Annual Scientific Meeting. TN-301 was generally well tolerated across the broad range of doses studied. Pharmacokinetic results showed overall dose proportionality with a half-life supportive of once-daily dosing. Increasing doses and exposures with TN-301 correlated with increased pharmacodynamic effects. There were no changes in histone acetylation with TN-301 underscoring the selectivity of TN-301 for HDAC6 and potentially reducing the risk of off target effects. In comparative studies, selective HDAC6 inhibition as a single agent has been shown to have similar efficacy to empagliflozin, a sodium-glucose cotransporter-2 (SGLT2) inhibitor which is approved for the treatment of HFpEF and co-administration of our HDAC6 inhibition with a SGLT2 inhibitor in a HFpEF mouse model demonstrated additive benefit. Taken together, these data support continued development of TN-301 as a potential treatment for patients with HFpEF and other severe diseases - including those outside of cardiology- in which inflammation, fibrosis and metabolic dysregulation may be implicated. We believe late-stage clinical development of TN-301 is best suited for development by or with a well-resourced partner</w:t>
      </w:r>
      <w:r>
        <w:rPr>
          <w:rFonts w:ascii="Times New Roman" w:cs="Times New Roman" w:eastAsia="Times New Roman" w:hAnsi="Times New Roman"/>
          <w:sz w:val="18"/>
          <w:szCs w:val="18"/>
          <w:color w:val="333333"/>
        </w:rPr>
        <w:t>.</w:t>
      </w:r>
    </w:p>
    <w:p>
      <w:pPr>
        <w:spacing w:after="0" w:line="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to our lead product candidates, we have multiple early-stage programs using various therapeutic approaches, including gene addition, gene editing, gene silencing, and cellular regeneration to address other forms of rare and/or prevalent heart disease.</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Early on in our company history, we invested in differentiated capabilities to enable modality-agnostic target identification and validation, anchored in human genetics and the use of human disease models. That proprietary expertise has directly informed the design, optimization and production of our pipeline. To support our initial focus on gene therapy candidates, we internalized expertise in capsid engineering, novel promoter constructs and manufacturing anchored on the use of AAVs as the method of delivery to the heart with the aim of increasing the safety and efficacy of our product candidates and accelerating early-stage discovery and preclinical optimization across modalities.</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For the production of our lead gene therapy candidates, we maintained complete ownership of process development, analytical development, and quality control and have already produced all necessary clinical trial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material needed for our ongoing clinical trials at our Good Manufacturing Practice (cGMP)-certified Genetic Medicines Manufacturing Center in Union City, California.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73"/>
        </w:trPr>
        <w:tc>
          <w:tcPr>
            <w:tcW w:w="4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42"/>
        </w:trPr>
        <w:tc>
          <w:tcPr>
            <w:tcW w:w="4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12"/>
                <w:szCs w:val="12"/>
                <w:color w:val="auto"/>
              </w:rPr>
            </w:pPr>
          </w:p>
        </w:tc>
        <w:tc>
          <w:tcPr>
            <w:tcW w:w="96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17,370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22,649</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(5,279)</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6,712</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8,174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(1,462)</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(18%)</w:t>
            </w:r>
          </w:p>
        </w:tc>
      </w:tr>
      <w:tr>
        <w:trPr>
          <w:trHeight w:val="20"/>
        </w:trPr>
        <w:tc>
          <w:tcPr>
            <w:tcW w:w="4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(6,741)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r>
      <w:tr>
        <w:trPr>
          <w:trHeight w:val="20"/>
        </w:trPr>
        <w:tc>
          <w:tcPr>
            <w:tcW w:w="4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(24,082)</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(30,823)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6,741</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(578)</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w:t>
            </w:r>
          </w:p>
        </w:tc>
      </w:tr>
      <w:tr>
        <w:trPr>
          <w:trHeight w:val="20"/>
        </w:trPr>
        <w:tc>
          <w:tcPr>
            <w:tcW w:w="4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4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(593)</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r>
      <w:tr>
        <w:trPr>
          <w:trHeight w:val="20"/>
        </w:trPr>
        <w:tc>
          <w:tcPr>
            <w:tcW w:w="4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(23,283)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(29,431)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6,148</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r>
      <w:tr>
        <w:trPr>
          <w:trHeight w:val="20"/>
        </w:trPr>
        <w:tc>
          <w:tcPr>
            <w:tcW w:w="4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-1019175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-1019175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-1019175</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-170815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59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Research and development expenses relate primarily to discovery and development of our research programs, product candidates and proprietary platform technology, and are recognized as incurred. Internal research and development costs include, among others, employee-related costs (including salaries, benefits and stock-based compensation for employees engaged in research and development functions), laboratory supplies, other non-capital equipment utilized for in-house research, and allocated overhead costs. External research and development expenses include, among others, fees paid to contract research organizations to execute preclinical studies and clinical trials on our behalf, and consulting fees. We do not allocate our costs by research program, product candidate or proprietary platform technology, as a significant amount of research and development expenses represent internal costs, which are deployed across our programs, product candidates, proprietary platform technology, and other activities.</w:t>
      </w:r>
    </w:p>
    <w:p>
      <w:pPr>
        <w:spacing w:after="0" w:line="8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Costs of certain research and development activities are recognized based on estimates from a number of factors, including an evaluation of the progress of the activities, as well as input from external service providers.</w:t>
      </w:r>
    </w:p>
    <w:p>
      <w:pPr>
        <w:spacing w:after="0" w:line="68"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The process of conducting the necessary research to advance through the clinical stages and ultimately obtain regulatory approval is costly and time-consuming, and the successful development of our product candidates is highly uncertain. As a result, we cannot reasonably estimate or know the nature, timing or estimated costs of the efforts that will be necessary to complete the development of, and obtain regulatory approval for, or when and to what extent we will generate revenue from the commercialization and sale of any of our product candidates. The level of our research and development expenses over the next twelve months will be subject to operational decisions made following data generated from our MyPEAK-1 and RIDGE-1 clinical trials.</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3"/>
        </w:trPr>
        <w:tc>
          <w:tcPr>
            <w:tcW w:w="5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5"/>
                <w:szCs w:val="15"/>
                <w:color w:val="auto"/>
              </w:rPr>
            </w:pPr>
          </w:p>
        </w:tc>
      </w:tr>
      <w:tr>
        <w:trPr>
          <w:trHeight w:val="142"/>
        </w:trPr>
        <w:tc>
          <w:tcPr>
            <w:tcW w:w="580" w:type="dxa"/>
            <w:vAlign w:val="bottom"/>
          </w:tcPr>
          <w:p>
            <w:pPr>
              <w:spacing w:after="0"/>
              <w:rPr>
                <w:sz w:val="12"/>
                <w:szCs w:val="12"/>
                <w:color w:val="auto"/>
              </w:rPr>
            </w:pPr>
          </w:p>
        </w:tc>
        <w:tc>
          <w:tcPr>
            <w:tcW w:w="44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c>
          <w:tcPr>
            <w:tcW w:w="1360" w:type="dxa"/>
            <w:vAlign w:val="bottom"/>
            <w:tcBorders>
              <w:bottom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5,397</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6,524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(1,127)</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Research</w:t>
            </w: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4,182</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(pre-commercial)</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4,077</w:t>
            </w:r>
          </w:p>
        </w:tc>
        <w:tc>
          <w:tcPr>
            <w:tcW w:w="3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6,708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(2,631)</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3,714</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17,370</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22,649</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(5,279)</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560" w:type="dxa"/>
            <w:vAlign w:val="bottom"/>
          </w:tcPr>
          <w:p>
            <w:pPr>
              <w:spacing w:after="0"/>
              <w:rPr>
                <w:sz w:val="21"/>
                <w:szCs w:val="21"/>
                <w:color w:val="auto"/>
              </w:rPr>
            </w:pPr>
          </w:p>
        </w:tc>
      </w:tr>
      <w:tr>
        <w:trPr>
          <w:trHeight w:val="844"/>
        </w:trPr>
        <w:tc>
          <w:tcPr>
            <w:tcW w:w="580" w:type="dxa"/>
            <w:vAlign w:val="bottom"/>
          </w:tcPr>
          <w:p>
            <w:pPr>
              <w:spacing w:after="0"/>
              <w:rPr>
                <w:sz w:val="24"/>
                <w:szCs w:val="24"/>
                <w:color w:val="auto"/>
              </w:rPr>
            </w:pPr>
          </w:p>
        </w:tc>
        <w:tc>
          <w:tcPr>
            <w:tcW w:w="44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-1070610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-1053465</wp:posOffset>
            </wp:positionV>
            <wp:extent cx="596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-1070610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-1053465</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-1070610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-1053465</wp:posOffset>
            </wp:positionV>
            <wp:extent cx="59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$17.4 million and $22.6 million for the three months ended June 30, 2025 and 2024, respectively. The year-over-year decrease of $5.3 million, or 23%, was primarily due to:</w:t>
      </w:r>
    </w:p>
    <w:p>
      <w:pPr>
        <w:spacing w:after="0" w:line="54" w:lineRule="exact"/>
        <w:rPr>
          <w:sz w:val="20"/>
          <w:szCs w:val="20"/>
          <w:color w:val="auto"/>
        </w:rPr>
      </w:pPr>
    </w:p>
    <w:p>
      <w:pPr>
        <w:ind w:left="900" w:right="240" w:hanging="383"/>
        <w:spacing w:after="0" w:line="312"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$2.6 million in manufacturing costs reflecting lower employee-related costs driven by our workforce reductions initiated in March 2025 and May 2024 (together, the Workforce Reductions), lower costs of supplies and materials and lower facility management fees;</w:t>
      </w:r>
    </w:p>
    <w:p>
      <w:pPr>
        <w:spacing w:after="0" w:line="31" w:lineRule="exact"/>
        <w:rPr>
          <w:rFonts w:ascii="Times New Roman" w:cs="Times New Roman" w:eastAsia="Times New Roman" w:hAnsi="Times New Roman"/>
          <w:sz w:val="17"/>
          <w:szCs w:val="17"/>
          <w:color w:val="auto"/>
        </w:rPr>
      </w:pPr>
    </w:p>
    <w:p>
      <w:pPr>
        <w:ind w:left="900" w:right="16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$1.1 million in clinical trial related costs primarily driven by a decrease in clinical support costs, including clinical supply chain services and regulatory consulting fees; and</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of $0.9 million in other research and development costs and $0.6 million in research reflecting lower employee-related costs driven by the Workforce Reductions.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for our employees in finance, human resources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property-related matters.</w:t>
      </w:r>
    </w:p>
    <w:p>
      <w:pPr>
        <w:spacing w:after="0" w:line="7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will continue to incur legal, accounting, insurance and other expenses in operating our business as a public company, including costs associated with regulatory and compliance activities. As with our research and development, the level of our general and administrative expenses over the next twelve months will be subject to operational decisions made following data generated from our MyPEAK-1 and RIDGE-1 clinical trials.</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$6.7 million and $8.2 million for the three months ended June 30, 2025 and 2024, respectively. The year-over-year decrease of $1.5 million, or 18%, was primarily due to decreases in employee-related costs driven by the Workforce Reductions and lower professional fees.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primarily consists of interest earned on our cash, cash equivalents and investment balances. Interest income was $0.8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million for the three months ended June 30, 2025 and 2024, respectively. The year-over-year decrease of $0.6 million was primarily due to lower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and investment balances.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for the three months ended June 30, 2025, was $23.3 million, compared to a net loss of $29.4 million for the three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3"/>
        </w:trPr>
        <w:tc>
          <w:tcPr>
            <w:tcW w:w="3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42"/>
        </w:trPr>
        <w:tc>
          <w:tcPr>
            <w:tcW w:w="35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38,446</w:t>
            </w:r>
          </w:p>
        </w:tc>
        <w:tc>
          <w:tcPr>
            <w:tcW w:w="3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47,704</w:t>
            </w:r>
          </w:p>
        </w:tc>
        <w:tc>
          <w:tcPr>
            <w:tcW w:w="1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(9,258)</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(3,707)</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r>
      <w:tr>
        <w:trPr>
          <w:trHeight w:val="20"/>
        </w:trPr>
        <w:tc>
          <w:tcPr>
            <w:tcW w:w="350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10"/>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(12,965)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r>
      <w:tr>
        <w:trPr>
          <w:trHeight w:val="20"/>
        </w:trPr>
        <w:tc>
          <w:tcPr>
            <w:tcW w:w="3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(51,620)</w:t>
            </w:r>
          </w:p>
        </w:tc>
        <w:tc>
          <w:tcPr>
            <w:tcW w:w="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(64,585)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(1,396)</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r>
      <w:tr>
        <w:trPr>
          <w:trHeight w:val="216"/>
        </w:trPr>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r>
      <w:tr>
        <w:trPr>
          <w:trHeight w:val="20"/>
        </w:trPr>
        <w:tc>
          <w:tcPr>
            <w:tcW w:w="3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09"/>
        </w:trPr>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other income, net</w:t>
            </w: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(1,453)</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r>
      <w:tr>
        <w:trPr>
          <w:trHeight w:val="20"/>
        </w:trPr>
        <w:tc>
          <w:tcPr>
            <w:tcW w:w="3500" w:type="dxa"/>
            <w:vAlign w:val="bottom"/>
            <w:shd w:val="clear" w:color="auto" w:fill="CFF0FC"/>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(50,147)</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(61,659)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r>
      <w:tr>
        <w:trPr>
          <w:trHeight w:val="20"/>
        </w:trPr>
        <w:tc>
          <w:tcPr>
            <w:tcW w:w="3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844"/>
        </w:trPr>
        <w:tc>
          <w:tcPr>
            <w:tcW w:w="3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-2065020</wp:posOffset>
            </wp:positionV>
            <wp:extent cx="768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-2065020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-2065020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-1216660</wp:posOffset>
            </wp:positionV>
            <wp:extent cx="768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-1216660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-1216660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3"/>
        </w:trPr>
        <w:tc>
          <w:tcPr>
            <w:tcW w:w="3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42"/>
        </w:trPr>
        <w:tc>
          <w:tcPr>
            <w:tcW w:w="3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2"/>
                <w:szCs w:val="12"/>
                <w:color w:val="auto"/>
              </w:rPr>
            </w:pPr>
          </w:p>
        </w:tc>
        <w:tc>
          <w:tcPr>
            <w:tcW w:w="1460" w:type="dxa"/>
            <w:vAlign w:val="bottom"/>
            <w:tcBorders>
              <w:bottom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w:t>
            </w:r>
          </w:p>
        </w:tc>
        <w:tc>
          <w:tcPr>
            <w:tcW w:w="12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11,345</w:t>
            </w:r>
          </w:p>
        </w:tc>
        <w:tc>
          <w:tcPr>
            <w:tcW w:w="78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(2,977)</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Research</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(pre-commercial)</w:t>
            </w: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(3,660)</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r>
      <w:tr>
        <w:trPr>
          <w:trHeight w:val="20"/>
        </w:trPr>
        <w:tc>
          <w:tcPr>
            <w:tcW w:w="3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30"/>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38,446</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47,704</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(9,258)</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$38.4 million and $47.7 million for the six months ended June 30, 2025 and 2024, respectively. The year-over-year decrease of $9.3 million, or 19%, was primarily due to:</w:t>
      </w:r>
    </w:p>
    <w:p>
      <w:pPr>
        <w:spacing w:after="0" w:line="54" w:lineRule="exact"/>
        <w:rPr>
          <w:sz w:val="20"/>
          <w:szCs w:val="20"/>
          <w:color w:val="auto"/>
        </w:rPr>
      </w:pPr>
    </w:p>
    <w:p>
      <w:pPr>
        <w:ind w:left="900" w:right="14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$3.7 million in manufacturing costs reflecting lower employee-related costs driven by the Workforce Reductions, lower costs of supplies and materials and lower facility management fees;</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$3.0 million in clinical trial related costs primarily driven by a decrease in clinical support costs, including clinical supply chain services and regulatory consulting fees; and</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of $1.6 million in other research and development costs and $1.0 million in research reflecting lower employee-related costs driven by the Workforce Reductions.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$13.2 million and $16.9 million for the six months ended June 30, 2025 and 2024, respectively. The year-over-year decrease of $3.7 million, or 22%, was primarily due to decreases in employee-related costs driven by the Workforce Reductions and lower professional fees.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$1.4 million and $2.8 million for the six months ended June 30, 2025 and 2024, respectively. The year-over-year decrease of $1.4 million was primarily due to lower cash, cash equivalents and investment balances.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for the six months ended June 30, 2025, was $50.1 million, compared to a net loss of $61.7 million for the six months ended June 30, 2024.</w:t>
      </w:r>
    </w:p>
    <w:p>
      <w:pPr>
        <w:spacing w:after="0" w:line="221"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generated any revenue and we have incurred significant net losses and negative cash flows from operations. From our inception through June 30, 2025, we have funded our operations primarily from the sale and issuance of our equity securities. As of June 30, 2025, we had cash, cash equivalents and investments in marketable securities of $71.7 million and an accumulated deficit of $564.6 million.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CIRM Grant</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February 2025, we announced we were awarded an $8 million grant from the CIRM to support RIDGE-1. The award is payable to us upon achievement of certain clinical milestones. Additionally, if CIRM determines, in its sole discretion, that we have not complied with the terms and conditions of the grant, CIRM may suspend or permanently cease disbursements. Funds received under this grant may only be used for allowable project costs specifically identified with the CIRM-funded project. Such costs can include, but are not limited to, salary for personnel, itemized supplies, consultants, and itemized clinical study costs. Under the terms of the grant, we will co-fund the research project with CIRM and the amount of our co-funding requirement is predetermined as a part of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For the six months ended June 30, 2025, the Company received $0.6 million from CIRM in connection with the grant.</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12529"/>
        </w:rPr>
        <w:t xml:space="preserve">On August 6, 2024, we entered into a </w:t>
      </w:r>
      <w:r>
        <w:rPr>
          <w:rFonts w:ascii="Times New Roman" w:cs="Times New Roman" w:eastAsia="Times New Roman" w:hAnsi="Times New Roman"/>
          <w:sz w:val="18"/>
          <w:szCs w:val="18"/>
          <w:color w:val="000000"/>
        </w:rPr>
        <w:t>Loan Agreement with Silicon Valley Bank (SVB)</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 of June 30, 2025, u</w:t>
      </w:r>
      <w:r>
        <w:rPr>
          <w:rFonts w:ascii="Times New Roman" w:cs="Times New Roman" w:eastAsia="Times New Roman" w:hAnsi="Times New Roman"/>
          <w:sz w:val="18"/>
          <w:szCs w:val="18"/>
          <w:color w:val="212529"/>
        </w:rPr>
        <w:t xml:space="preserve">nder the Loan Agreement, we have the right to draw down $7.5 million at our discretion, up to an additional $2.5 million upon the satisfaction of a clinical milestone or </w:t>
      </w:r>
      <w:r>
        <w:rPr>
          <w:rFonts w:ascii="Times New Roman" w:cs="Times New Roman" w:eastAsia="Times New Roman" w:hAnsi="Times New Roman"/>
          <w:sz w:val="18"/>
          <w:szCs w:val="18"/>
          <w:color w:val="000000"/>
        </w:rPr>
        <w:t>the receipt of specified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proceeds from equity financings and other qualified funding, </w:t>
      </w:r>
      <w:r>
        <w:rPr>
          <w:rFonts w:ascii="Times New Roman" w:cs="Times New Roman" w:eastAsia="Times New Roman" w:hAnsi="Times New Roman"/>
          <w:sz w:val="18"/>
          <w:szCs w:val="18"/>
          <w:color w:val="212529"/>
        </w:rPr>
        <w:t>and up to an additional $20.0 million that may be available at SVB’s discretion, subject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specified conditions.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On March 5, 2025, we completed an underwritten offering of 75,000,000 units, priced at a public offering price of $0.70 per unit, with each unit consisting of one share of our common stock, a warrant to purchase one share of our common stock at an exercise price of $0.80 per share, which will be immediately exercisable and will expire five years from the date of issuance (a Series A Warrant) and a warrant to purchase one-half of a share of our common stock at an exercise price of $0.70 per share, which will be immediately exercisable and expire on June 30, 2026 (a Series B Warrant), under our registration statement on Form S-3 (File No. 333-266741). We received net proceeds of approximately $48.8 million, after deducting underwriting discounts and commissions of approximately $3.2 million and other offering expenses of approximately $0.5 million.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February 12, 2024, we completed an underwritten offering of 8,888,890 shares of our common stock at a price of $4.50 per share and, to an investor in lieu of common stock, pre-funded warrants to purchase 2,222,271 shares of our common stock at a price of $4.499 per pre-funded warrant under our registration statement on Form S-3 (File No. 333-266741). We received net proceeds of approximately $46.8 million, after deducting underwriting discounts and commissions of approximately $3.0 million and other offering expenses of approximately $0.2 million. As of December 31, 2024, all pre-funded warrants have been exercised for an exercise price of $0.001 per share.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On August 10, 2022, we entered into a sales agreement (the Sales Agreement) with Leerink Partners LLC to establish an “at-the-market” (ATM) offering defined in Rule 415 under the Securities Act. Pursuant to the Sales Agreement, the Company is permitted to offer and sell, from time to time, shares of its common stock having a maximum aggregate offering price of up to $75.0 million. In January 2025, we sold 822,566 shares of our common stock under the ATM offering for net proceeds of $0.9 million, after deducting commissions and offering costs of $0.3 million. As of June 30, 2025, the Company may issue and sell up to approximately $69.8 million of common stock under the ATM offering.</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we will continue to incur operating losses over the foreseeable future. Our operating expenses may increase in the future, if and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w:t>
      </w:r>
    </w:p>
    <w:p>
      <w:pPr>
        <w:spacing w:after="0" w:line="99"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lead gene therapy product candidates, TN-201 and TN-401;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scope of our existing clinical trials and transition into late-stage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of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commercial-scale manufacturing capabilities;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information systems and personnel to support our future product development and commercialization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we identify;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future product candidates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develop, expand, enforce, defend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investments in marketable securities, along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million of funds available under our Loan Agreement with SVB, will be sufficient to meet our working capital and capital expenditure needs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least the next twelve months following the date of this Quarterly Report on Form 10-Q.</w:t>
      </w:r>
    </w:p>
    <w:p>
      <w:pPr>
        <w:spacing w:after="0" w:line="9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8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global economic conditions or disruptions to, and volatility in, the credit and financial markets in the United States and worldwide.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11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616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520" w:type="dxa"/>
        <w:tblCellMar>
          <w:top w:w="0" w:type="dxa"/>
          <w:left w:w="0" w:type="dxa"/>
          <w:bottom w:w="0" w:type="dxa"/>
          <w:right w:w="0" w:type="dxa"/>
        </w:tblCellMar>
      </w:tblPr>
      <w:tr>
        <w:trPr>
          <w:trHeight w:val="142"/>
        </w:trPr>
        <w:tc>
          <w:tcPr>
            <w:tcW w:w="5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activities</w:t>
            </w:r>
          </w:p>
        </w:tc>
        <w:tc>
          <w:tcPr>
            <w:tcW w:w="220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(38,725)</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(52,277)</w:t>
            </w:r>
          </w:p>
        </w:tc>
      </w:tr>
      <w:tr>
        <w:trPr>
          <w:trHeight w:val="216"/>
        </w:trPr>
        <w:tc>
          <w:tcPr>
            <w:tcW w:w="5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47,290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17,126</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47,341</w:t>
            </w:r>
          </w:p>
        </w:tc>
        <w:tc>
          <w:tcPr>
            <w:tcW w:w="100" w:type="dxa"/>
            <w:vAlign w:val="bottom"/>
          </w:tcPr>
          <w:p>
            <w:pPr>
              <w:spacing w:after="0"/>
              <w:rPr>
                <w:sz w:val="18"/>
                <w:szCs w:val="18"/>
                <w:color w:val="auto"/>
              </w:rPr>
            </w:pPr>
          </w:p>
        </w:tc>
      </w:tr>
      <w:tr>
        <w:trPr>
          <w:trHeight w:val="229"/>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58,348</w:t>
            </w: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100" w:type="dxa"/>
            <w:vAlign w:val="bottom"/>
            <w:shd w:val="clear" w:color="auto" w:fill="CFF0FC"/>
          </w:tcPr>
          <w:p>
            <w:pPr>
              <w:spacing w:after="0"/>
              <w:rPr>
                <w:sz w:val="19"/>
                <w:szCs w:val="19"/>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-25400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-8255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2025 was $38.7 million, which consisted primarily of a net loss of $50.1 million and a net change in operating assets and liabilities of $2.4 million, partially offset by $13.3 million in non-cash charges. The change in net operating assets and liabilities was primarily due to a decrease in accounts payable and accrued expenses and other current liabilities of $3.0 million. Cash flows from operations are generally impacted by the timing of payments to vendors and vendor payment terms. The non-cash charges primarily consisted of stock-based compensation of $7.4 million and depreciation and amortization of $4.7 million.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8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$52.3 million, which consisted primarily of a net loss of $61.7 million and a net change in operating assets and liabilities of $5.6 million, partially offset by $14.2 million in non-cash charges. The change in net operating assets and liabilities was primarily due to a decrease in accounts payable and accrued expenses and other current liabilities of $4.9 million and a decrease in operating lease liabilities of $2.2 million, partially offset by a decrease of prepaid expenses and other current assets of $1.1 million. Cash flows from operations are generally impacted by the timing of payments to vendors and vendor payment terms. The non-cash charges primarily consisted of stock-based compensation of $8.8 million and depreciation and amortization of $4.3 million.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2025 was $47.3 million, which consisted primarily of proceeds from maturities of marketable securities of $36.9 million and sales of marketable securities of $11.0 million.</w:t>
      </w:r>
    </w:p>
    <w:p>
      <w:pPr>
        <w:spacing w:after="0" w:line="5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2024 was $17.1 million, which consisted primarily of proceeds from maturities of marketable securities of $52.2 million, partially offset by purchases of marketable securities of $34.5 million.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was $49.8 million, which primarily consisted of net proceeds from our March 2025 follow-on offering of $48.8 million.</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$47.3 million, which primarily consisted of net proceeds from our February 2024 follow-on offering of $46.8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contractual obligations and commitments previously disclosed in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 summary of our critical accounting policies and estimates is presented in Part II, Item 7 of our Annual Report on Form 10-K for the year ended December 31, 2024. There were no material changes to our critical accounting policies and estimates during the three and six months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unaudited interim condensed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delaying the adoption of these accounting standards until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231F20"/>
        </w:rPr>
        <w:t>We are a smaller reporting company, as defined by Rule 12b-2 under the Securities and Exchange Act of 1934 and in Item 10(f)(1) of Regulation S-K, and are not required to provide the information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who is also serving as our interim Principal Financial Officer, has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interim Principal Financial Officer has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interim Principal Financial Officer,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quarter ended June 30,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Inherent Limitations on Effectiveness of Controls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500" w:firstLine="509"/>
        <w:spacing w:after="0" w:line="258" w:lineRule="auto"/>
        <w:rPr>
          <w:sz w:val="20"/>
          <w:szCs w:val="20"/>
          <w:color w:val="auto"/>
        </w:rPr>
      </w:pPr>
      <w:r>
        <w:rPr>
          <w:rFonts w:ascii="Times New Roman" w:cs="Times New Roman" w:eastAsia="Times New Roman" w:hAnsi="Times New Roman"/>
          <w:sz w:val="18"/>
          <w:szCs w:val="18"/>
          <w:i w:val="1"/>
          <w:iCs w:val="1"/>
          <w:color w:val="231F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 Factors Summary</w:t>
      </w:r>
    </w:p>
    <w:p>
      <w:pPr>
        <w:spacing w:after="0" w:line="119" w:lineRule="exact"/>
        <w:rPr>
          <w:sz w:val="20"/>
          <w:szCs w:val="20"/>
          <w:color w:val="auto"/>
        </w:rPr>
      </w:pPr>
    </w:p>
    <w:p>
      <w:pPr>
        <w:ind w:right="260"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execute on our business strategy is subject to a number of risks and uncertainties, including those outside of our control, that could cause our actual results to be harmed, including risks regarding the following:</w:t>
      </w:r>
    </w:p>
    <w:p>
      <w:pPr>
        <w:spacing w:after="0" w:line="52" w:lineRule="exact"/>
        <w:rPr>
          <w:sz w:val="20"/>
          <w:szCs w:val="20"/>
          <w:color w:val="auto"/>
        </w:rPr>
      </w:pPr>
    </w:p>
    <w:p>
      <w:pPr>
        <w:ind w:left="1020" w:right="28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3"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not generated any product revenue to date, have incurred significant net losses since our inception, and expect to continue to incur significant net losses for the foreseeable future.</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61"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71"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Our loan agreement with Silicon Valley Bank (SVB), </w:t>
      </w:r>
      <w:r>
        <w:rPr>
          <w:rFonts w:ascii="Times New Roman" w:cs="Times New Roman" w:eastAsia="Times New Roman" w:hAnsi="Times New Roman"/>
          <w:sz w:val="18"/>
          <w:szCs w:val="18"/>
          <w:color w:val="000000"/>
        </w:rPr>
        <w:t>a division of First-Citizens Bank &amp; Trust Company (the Loan Agreement),</w:t>
      </w:r>
      <w:r>
        <w:rPr>
          <w:rFonts w:ascii="Times New Roman" w:cs="Times New Roman" w:eastAsia="Times New Roman" w:hAnsi="Times New Roman"/>
          <w:sz w:val="18"/>
          <w:szCs w:val="18"/>
          <w:color w:val="231F20"/>
        </w:rPr>
        <w:t xml:space="preserve"> requires us to comply with specified operating covenants and places restrictions on our operating and financial flexibility.</w:t>
      </w:r>
    </w:p>
    <w:p>
      <w:pPr>
        <w:spacing w:after="0" w:line="53" w:lineRule="exact"/>
        <w:rPr>
          <w:rFonts w:ascii="Times New Roman" w:cs="Times New Roman" w:eastAsia="Times New Roman" w:hAnsi="Times New Roman"/>
          <w:sz w:val="18"/>
          <w:szCs w:val="18"/>
          <w:color w:val="231F20"/>
        </w:rPr>
      </w:pPr>
    </w:p>
    <w:p>
      <w:pPr>
        <w:jc w:val="both"/>
        <w:ind w:left="1020" w:right="240" w:hanging="503"/>
        <w:spacing w:after="0" w:line="266"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rFonts w:ascii="Times New Roman" w:cs="Times New Roman" w:eastAsia="Times New Roman" w:hAnsi="Times New Roman"/>
          <w:sz w:val="18"/>
          <w:szCs w:val="18"/>
          <w:color w:val="231F20"/>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rFonts w:ascii="Times New Roman" w:cs="Times New Roman" w:eastAsia="Times New Roman" w:hAnsi="Times New Roman"/>
          <w:sz w:val="18"/>
          <w:szCs w:val="18"/>
          <w:color w:val="231F20"/>
        </w:rPr>
      </w:pPr>
    </w:p>
    <w:p>
      <w:pPr>
        <w:ind w:left="1020" w:right="46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mechanisms of action of our product candidates are unproven, and we do not know whether we will be able to develop any drug of commercial value.</w:t>
      </w:r>
    </w:p>
    <w:p>
      <w:pPr>
        <w:spacing w:after="0" w:line="53" w:lineRule="exact"/>
        <w:rPr>
          <w:rFonts w:ascii="Times New Roman" w:cs="Times New Roman" w:eastAsia="Times New Roman" w:hAnsi="Times New Roman"/>
          <w:sz w:val="18"/>
          <w:szCs w:val="18"/>
          <w:color w:val="231F20"/>
        </w:rPr>
      </w:pPr>
    </w:p>
    <w:p>
      <w:pPr>
        <w:ind w:left="1020" w:right="440" w:hanging="503"/>
        <w:spacing w:after="0" w:line="282" w:lineRule="auto"/>
        <w:tabs>
          <w:tab w:leader="none" w:pos="10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Drug development involves a lengthy and expensive process with an uncertain outcome. The preclinical studies, clinical trials and post-marketing studies of our product candidates may not demonstrate safety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86" w:lineRule="exact"/>
        <w:rPr>
          <w:sz w:val="20"/>
          <w:szCs w:val="20"/>
          <w:color w:val="auto"/>
        </w:rPr>
      </w:pPr>
    </w:p>
    <w:p>
      <w:pPr>
        <w:ind w:left="1020" w:right="120"/>
        <w:spacing w:after="0" w:line="261" w:lineRule="auto"/>
        <w:rPr>
          <w:sz w:val="20"/>
          <w:szCs w:val="20"/>
          <w:color w:val="auto"/>
        </w:rPr>
      </w:pPr>
      <w:r>
        <w:rPr>
          <w:rFonts w:ascii="Times New Roman" w:cs="Times New Roman" w:eastAsia="Times New Roman" w:hAnsi="Times New Roman"/>
          <w:sz w:val="18"/>
          <w:szCs w:val="18"/>
          <w:color w:val="231F20"/>
        </w:rPr>
        <w:t>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2" w:lineRule="exact"/>
        <w:rPr>
          <w:sz w:val="20"/>
          <w:szCs w:val="20"/>
          <w:color w:val="auto"/>
        </w:rPr>
      </w:pPr>
    </w:p>
    <w:p>
      <w:pPr>
        <w:ind w:left="1020" w:right="20" w:hanging="503"/>
        <w:spacing w:after="0" w:line="261"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71" w:lineRule="exact"/>
        <w:rPr>
          <w:rFonts w:ascii="Times New Roman" w:cs="Times New Roman" w:eastAsia="Times New Roman" w:hAnsi="Times New Roman"/>
          <w:sz w:val="18"/>
          <w:szCs w:val="18"/>
          <w:color w:val="231F20"/>
        </w:rPr>
      </w:pPr>
    </w:p>
    <w:p>
      <w:pPr>
        <w:jc w:val="both"/>
        <w:ind w:left="1020" w:right="60" w:hanging="503"/>
        <w:spacing w:after="0" w:line="261"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1"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Due to our limited manufacturing experience, there can be no assurance that we will be able to successfully manufacture product candidates to support our clinical development and commercialization plans.</w:t>
      </w:r>
    </w:p>
    <w:p>
      <w:pPr>
        <w:spacing w:after="0" w:line="53" w:lineRule="exact"/>
        <w:rPr>
          <w:rFonts w:ascii="Times New Roman" w:cs="Times New Roman" w:eastAsia="Times New Roman" w:hAnsi="Times New Roman"/>
          <w:sz w:val="18"/>
          <w:szCs w:val="18"/>
          <w:color w:val="231F20"/>
        </w:rPr>
      </w:pPr>
    </w:p>
    <w:p>
      <w:pPr>
        <w:jc w:val="both"/>
        <w:ind w:left="1020" w:right="200" w:hanging="503"/>
        <w:spacing w:after="0" w:line="26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rFonts w:ascii="Times New Roman" w:cs="Times New Roman" w:eastAsia="Times New Roman" w:hAnsi="Times New Roman"/>
          <w:sz w:val="18"/>
          <w:szCs w:val="18"/>
          <w:color w:val="231F20"/>
        </w:rPr>
      </w:pPr>
    </w:p>
    <w:p>
      <w:pPr>
        <w:ind w:left="1020" w:right="20" w:hanging="503"/>
        <w:spacing w:after="0" w:line="26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7" w:lineRule="exact"/>
        <w:rPr>
          <w:rFonts w:ascii="Times New Roman" w:cs="Times New Roman" w:eastAsia="Times New Roman" w:hAnsi="Times New Roman"/>
          <w:sz w:val="18"/>
          <w:szCs w:val="18"/>
          <w:color w:val="231F20"/>
        </w:rPr>
      </w:pPr>
    </w:p>
    <w:p>
      <w:pPr>
        <w:ind w:left="1020" w:right="520" w:hanging="503"/>
        <w:spacing w:after="0" w:line="282"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commercial success depends significantly on our ability to operate without infringing, misappropriating or otherwise violating the patents and other intellectual property and proprietary rights of third parties.</w:t>
      </w:r>
    </w:p>
    <w:p>
      <w:pPr>
        <w:spacing w:after="0" w:line="53" w:lineRule="exact"/>
        <w:rPr>
          <w:rFonts w:ascii="Times New Roman" w:cs="Times New Roman" w:eastAsia="Times New Roman" w:hAnsi="Times New Roman"/>
          <w:sz w:val="18"/>
          <w:szCs w:val="18"/>
          <w:color w:val="231F20"/>
        </w:rPr>
      </w:pPr>
    </w:p>
    <w:p>
      <w:pPr>
        <w:jc w:val="both"/>
        <w:ind w:left="1020" w:right="100" w:hanging="503"/>
        <w:spacing w:after="0" w:line="26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67" w:lineRule="exact"/>
        <w:rPr>
          <w:rFonts w:ascii="Times New Roman" w:cs="Times New Roman" w:eastAsia="Times New Roman" w:hAnsi="Times New Roman"/>
          <w:sz w:val="18"/>
          <w:szCs w:val="18"/>
          <w:color w:val="231F20"/>
        </w:rPr>
      </w:pPr>
    </w:p>
    <w:p>
      <w:pPr>
        <w:jc w:val="both"/>
        <w:ind w:left="1020" w:right="200" w:hanging="503"/>
        <w:spacing w:after="0" w:line="266" w:lineRule="auto"/>
        <w:tabs>
          <w:tab w:leader="none" w:pos="10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Financial Position, Need for Additional Capital and Limited Operating History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have limited experience conducting clinical trials, have no products approved for commercial sale and have not generated any revenue. We are developing therapies that address the underlying drivers of heart disease, which is an unproven and highly uncertain undertaking and involves a substantial degree of risk. Since our inception, we have devoted substantially all of our focus and financial resources to identifying and developing product candidates, conducting preclinical studies and clinical trials, developing our internal capabilities, acquiring technology, organizing and recruiting management and technical staff, business planning, establishing our intellectual property portfolio, raising capital, and providing general and administrative support for these operations.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We have not yet demonstrated our ability to successfully complete any late-stage clinical trials, obtain marketing approvals, manufacture a late stage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would be if we had a longer operating history.</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not generated any product revenue to date, have incurred significant net losses since our inception, and expect to continue to incur significant net losses for the foreseeable future.</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We have incurred significant net losses since our inception, have not generated any product revenue to date and have financed our operations principally through issuances of our stock. As of June 30, 2025, we had an accumulated deficit of $564.6 million. Substantially all of our losses have resulted from expenses incurred in connection with our research and development programs, manufacturing activities and from general and administrative costs associated with our operations.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84"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late-stage clinical development, where costs may increase significantly.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6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5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231F20"/>
        </w:rPr>
        <w:t>Our business depends on the successful research, development, manufacturing, regulatory approval and commercialization of product candidates that we discover. Our ability to generate revenue and achieve profitability depends significantly on our ability, or any future collaborator’s ability, to achieve several objectives, including:</w:t>
      </w:r>
    </w:p>
    <w:p>
      <w:pPr>
        <w:spacing w:after="0" w:line="68" w:lineRule="exact"/>
        <w:rPr>
          <w:sz w:val="20"/>
          <w:szCs w:val="20"/>
          <w:color w:val="auto"/>
        </w:rPr>
      </w:pPr>
    </w:p>
    <w:p>
      <w:pPr>
        <w:ind w:left="1020" w:right="16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and timely completion of preclinical and clinical development of product candidates and programs, including, but not limited to, generating sufficient data to support the initiation or continuation of clinical trials;</w:t>
      </w:r>
    </w:p>
    <w:p>
      <w:pPr>
        <w:spacing w:after="0" w:line="53"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of INDs or other regulatory applications for our planned clinical trials, obtaining regulatory approval to commence clinical trials of our product candidates, and achieving favorable results from clinical trials;</w:t>
      </w:r>
    </w:p>
    <w:p>
      <w:pPr>
        <w:spacing w:after="0" w:line="53"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relationships with contract research organizations (CROs) and clinical sites for the clinical development of our product candidates;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initiation and successful patient enrollment and completion of clinical trials on a timely basis;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acceptable frequency and severity of adverse events in the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efficacy and safety profiles that are satisfactory to the FDA or any comparable foreign regulatory authority for marketing approval;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86" w:lineRule="exact"/>
        <w:rPr>
          <w:sz w:val="20"/>
          <w:szCs w:val="20"/>
          <w:color w:val="auto"/>
        </w:rPr>
      </w:pPr>
    </w:p>
    <w:p>
      <w:pPr>
        <w:ind w:left="1020" w:right="16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timely receipt of marketing approvals from applicable regulatory authorities for any product candidates for which we successfully complete clinical development;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complying with any required post-marketing approval commitments to applicable regulatory authorities;</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operating a manufacturing facility and developing an efficient and scalable manufacturing process for our product candidates, and the timely manufacture of sufficient quantities of a product candidate for use in clinical trials and, if approved, commercialization;</w:t>
      </w:r>
    </w:p>
    <w:p>
      <w:pPr>
        <w:spacing w:after="0" w:line="53" w:lineRule="exact"/>
        <w:rPr>
          <w:rFonts w:ascii="Times New Roman" w:cs="Times New Roman" w:eastAsia="Times New Roman" w:hAnsi="Times New Roman"/>
          <w:sz w:val="18"/>
          <w:szCs w:val="18"/>
          <w:color w:val="231F20"/>
        </w:rPr>
      </w:pPr>
    </w:p>
    <w:p>
      <w:pPr>
        <w:ind w:left="1020" w:right="240" w:hanging="503"/>
        <w:spacing w:after="0" w:line="266"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67"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commercial launch following any marketing approval, including the development of a commercial infrastructure, whether in-house or with one or more collaborators;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outputs from our capsid engineering and promoter and regulatory elements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continued acceptable safety profile following any marketing approval of our product candidates;</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market-size, ability to identify patients and the demographics of patients eligible for our product candidates, which may be different than expected;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commercial acceptance of our product candidates by patients, the medical community and third-party payors;</w:t>
      </w:r>
    </w:p>
    <w:p>
      <w:pPr>
        <w:spacing w:after="0" w:line="117"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distribute our products to certain segments of the patient population only accessible through restricted or closed distribution channels;</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satisfying any required post-marketing approval commitments to applicable regulatory authorities, and maintaining consistent quality, purity, and potency across clinical supplies and commercial supplies for any approved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assessing and developing new product candidates, and our ability to expand into multiple indications;</w:t>
      </w:r>
    </w:p>
    <w:p>
      <w:pPr>
        <w:spacing w:after="0" w:line="117" w:lineRule="exact"/>
        <w:rPr>
          <w:rFonts w:ascii="Times New Roman" w:cs="Times New Roman" w:eastAsia="Times New Roman" w:hAnsi="Times New Roman"/>
          <w:sz w:val="18"/>
          <w:szCs w:val="18"/>
          <w:color w:val="231F20"/>
        </w:rPr>
      </w:pPr>
    </w:p>
    <w:p>
      <w:pPr>
        <w:ind w:left="1020" w:right="30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maintaining, and expanding patent and other intellectual property protection, trade secret protection and regulatory exclusivity, both in the U.S. and internationally;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protecting and enforcing our rights in our intellectual property portfolio;</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defending against third-party infringement, misappropriation, or other claims, if any;</w:t>
      </w:r>
    </w:p>
    <w:p>
      <w:pPr>
        <w:spacing w:after="0" w:line="117" w:lineRule="exact"/>
        <w:rPr>
          <w:rFonts w:ascii="Times New Roman" w:cs="Times New Roman" w:eastAsia="Times New Roman" w:hAnsi="Times New Roman"/>
          <w:sz w:val="18"/>
          <w:szCs w:val="18"/>
          <w:color w:val="231F20"/>
        </w:rPr>
      </w:pPr>
    </w:p>
    <w:p>
      <w:pPr>
        <w:ind w:left="1020" w:right="80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entering into, on favorable terms, any collaboration, licensing or other arrangements that may be necessary or desirable to develop, manufacture or commercialize our product candidates and to meet our obligations set forth under such arrangements;</w:t>
      </w:r>
    </w:p>
    <w:p>
      <w:pPr>
        <w:spacing w:after="0" w:line="53"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coverage and adequate reimbursement by third-party payors for our products and patients’ willingness to pay in the absence of such coverage and adequate reimbursement;</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additional funding to develop, manufacture and commercialize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addressing any competing therapies and technological and market developments;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managing costs, including any unforeseen costs, that we may incur as a result of nonclinical study or clinical trial delays;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attracting, hiring and retaining qualified and key personnel including clinical, scientific, management and administrative personnel.</w:t>
      </w:r>
    </w:p>
    <w:p>
      <w:pPr>
        <w:spacing w:after="0" w:line="117"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231F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and continue our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cost containment initiative, including our committed plan to reduce our workforce, may not result in the anticipated savings and could result in total costs and expenses that are greater than expected and could disrupt our business.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March 27, 2025, in alignment with our focus on generating data from the ongoing MyPEAK-1 and RIDGE-1 clinical trials of TN-201 and TN-401, respectively, we announced cost containment measures, including the 2025 Workforce Reduction. We expect to incur approximately $1.6 to $2.7 million of aggregate charges, primarily related to employee cash severance and continuing health benefits. During the six months ended June 30, 2025, we recognized $1.1 million of the total estimated charges. We expect to recognize substantially all of the remaining charges by the end of the third quarter of 2025.</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cost containment initiative, including the 2025 Workforce Reduction, may be disruptive to our operations. For example, the 2025 Workforce Reduction could yield unanticipated consequences, such as attrition beyond planned staff reductions, the loss of institutional knowledge and expertise, increased difficulties in our day-to-day operations, reduced employee morale and diversion of our management and employee attention from other business priorities. The 2025 Workforce Reduction could also harm our ability to attract and retain qualified personnel who are critical to our business, make it difficult for us to pursue new opportunities and initiatives and require us to hire qualified replacement personnel. We also may be required to take additional cost-saving measures in the future, including those involving personnel, and we may incur severance and other related costs.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experience excessive unanticipated inefficiencies or incremental costs in connection with the 2025 Workforce Reduction, we may be unable to meaningfully realize cost savings and we may incur expenses in excess of what we anticipate. If we are unable to realize the anticipated benefits from the 2025 Workforce Reduction and our other cost-saving measures, or if we experience significant adverse consequences from these measures, it could prevent us from meeting our strategic objectives and could adversely impact our results of operations and financial condition.</w:t>
      </w:r>
    </w:p>
    <w:p>
      <w:pPr>
        <w:spacing w:after="0" w:line="176"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231F20"/>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4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preclinical studies and clinical trials are highly uncertain, we cannot reasonably estimate the actual amount of resources and funding that will be necessary to successfully complete the development and commercialization of any product candidate we develop. We also expect to incur costs associated with operating as a public company. Accordingly, we will need to obtain substantial additional funding in order to continue our operations.</w:t>
      </w:r>
    </w:p>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As of June 30, 2025, we had $71.7 million in cash, cash equivalents and investments in marketable securities.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preclinical development programs, platforms, manufacturing activities, ongoing or planned clinical trials or future commercialization efforts.</w:t>
      </w:r>
    </w:p>
    <w:p>
      <w:pPr>
        <w:spacing w:after="0" w:line="7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31F20"/>
        </w:rPr>
        <w:t>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31F20"/>
        </w:rPr>
        <w:t>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including those in our Loan Agreement, could adversely impact our ability to conduct our operations and execute our business plan.</w:t>
      </w:r>
    </w:p>
    <w:p>
      <w:pPr>
        <w:spacing w:after="0" w:line="7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231F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 requires us to comply with specified operating covenants and places restrictions on our operating and financial flexibility.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the filing date of this periodic report, under our Loan Agreement, we have the right to draw down $7.5 million at our discretion, up to an additional $2.5 million, subject to specified conditions, and up to an additional $20.0 million may be made available to us at the lender’s sole discretion. Our ability to draw down an additional tranche commitment of $2.5 million is subject to our achievement, as determined by SVB in its discretion, of a clinical milestone or the receipt of specified proceeds from equity financings and other qualified funding. Our ability to draw down an additional tranche of $20.0 million is subject to agreement on the terms and conditions thereof and SVB’s sole discretion. As security for our obligations under the Loan Agreement, we granted SVB a first priority security interest on substantially all of our assets (other than intellectual property), subject to certain exceptions. We intend to satisfy our future debt service obligations with our existing cash and cash equivalents. However, we may not have sufficient funds or may be unable to arrange for additional financing to pay the amounts due under our outstanding debt. Funds from external sources may not be available on acceptable terms, if at all.</w:t>
      </w:r>
    </w:p>
    <w:p>
      <w:pPr>
        <w:spacing w:after="0" w:line="80"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Loan Agreement contains customary representations and warranties, events of default and affirmative and negative covenants, including covenants that limit or restrict our ability to, among other things, dispose of assets, make changes to our business, merge or consolidate, incur additional indebtedness, incur additional liens, pay dividends or other distributions or repurchase equity, make investments, and enter into certain transactions with affiliates, in each case subject to certain exceptions. These restrictive covenants could limit our flexibility in operating our business and our ability to pursue business opportunities that we or our stockholders may consider beneficial. In addition, a failure to comply with the conditions of our Loan Agreement, including a breach of any covenant, could limit our ability to draw upon available tranches or result in an event of default and an acceleration of any outstanding loans thereunder.</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event of an acceleration of amounts due under our Loan Agreement as a result of an event of default, including upon the occurrence of an event or circumstance that could be expected to have a material adverse effect on our business, operations, properties, assets or financial condition or a failure to pay any principal or interest due, we may not have sufficient funds or may be unable to arrange for additional financing to repay our indebtedness or to make any accelerated payments, and SVB could seek to enforce security interests in the collateral securing such indebtedness. Even if we are able to repay such accelerated debt amount under the Loan Agreement, the repayment of these sums may significantly reduce our working capital and impair our ability to operate as planned. As such, any declaration by SVB of an event of default could significantly harm our business and prospects and could cause the price of our common stock to decline. Further, if we are liquidated, SVB’s rights to repayment under the Loan Agreement would be senior to the rights of the holders of our common stock to receive any proceeds from the liquidation.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utilize our net operating loss carryforwards and certain other tax attributes to offset future taxable income may be limited.</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231F20"/>
        </w:rPr>
        <w:t>Our net operating loss (NOL) carryforwards may be unavailable to offset future taxable income because of restrictions on their use under U.S. tax law. In addition, under Sections 382 and 383 of the Internal Revenue Code of 1986, as amended, if a corporation undergoes an “ownership change” (generally defined as a cumulative change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the corporation’s 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In addition, the use of our NOLs and other tax attributes may be subject to other limitations under applicable law. For example, California has recently enacted a temporary suspension on the use of state NOLs in taxable years beginning in 2024, 2025 and 2026, which would adversely affect our company if we earn taxable income in the impacted tax years. Consequently, our ability to use our NOLs and certain other tax attributes may be limited.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Discovery, Development, Manufacturing and Commercialization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Before we are able to generate any revenue from product sales, each of our programs and product candidates will require additional preclinical and/or clinical development, expansion of manufacturing capabilities and expertise, regulatory approval, building a commercial organization or successfully outsourcing commercialization, substantial investment and significant marketing efforts. Consequently, because of the substantial operational and financial investment required to further develop and commercialize our product candidates, there is a high risk of failure and we may never succeed in developing marketable products.</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If we are unable to optimize our manufacturing processes to produce product candidates that meet applicable regulatory standards, do not successfully initiate and complete our clinical trials in a timely manner or fail to achieve favorable results from our trials, we may experience significant delays or be unable to advance our programs. We cannot be certain that our clinical trials will be initiated and completed on time, if at all, or whether our planned clinical strategy will be acceptable to the FDA or comparable foreign regulatory authorities. Furthermore, any changes to our development programs may cause our product candidates to perform differently and affect the results of planned clinical trials, which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There is a high failure rate for biopharmaceutical products proceeding through clinical trials. It is not uncommon for product candidates to exhibit unforeseen safety issues or inadequate efficacy when tested in humans despite promising results in preclinical animal models or earlier clinical studies. In addition, a number of companies in the pharmaceutical and biotechnology industries have suffered significant setbacks in later stage clinical trials even after achieving promising results in earlier stage clinical trials and we may experience the same. We may also encounter regulatory delays or rejections as a result of many factors, including varying interpretations of data or changes in regulatory policy during the period of product development.</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Because of the early stage of development of our programs, our ability to eventually generate significant revenues from our product candidates, which we do not expect will occur for several years, if ever, will depend on a number of factors, including those described in the Risk Factor entitled “</w:t>
      </w:r>
      <w:r>
        <w:rPr>
          <w:rFonts w:ascii="Times New Roman" w:cs="Times New Roman" w:eastAsia="Times New Roman" w:hAnsi="Times New Roman"/>
          <w:sz w:val="18"/>
          <w:szCs w:val="18"/>
          <w:i w:val="1"/>
          <w:iCs w:val="1"/>
          <w:color w:val="231F20"/>
        </w:rPr>
        <w:t>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ability to generate revenue and achieve profitability depends significantly on our ability to achieve several objectives relating to the discovery, development and commercialization of our product candidates, if approved</w:t>
      </w:r>
      <w:r>
        <w:rPr>
          <w:rFonts w:ascii="Times New Roman" w:cs="Times New Roman" w:eastAsia="Times New Roman" w:hAnsi="Times New Roman"/>
          <w:sz w:val="18"/>
          <w:szCs w:val="18"/>
          <w:color w:val="231F20"/>
        </w:rPr>
        <w:t>.”</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We do not have control over many of these factors, including certain aspects of the manufacturing process, preclinical and clinical development, the regulatory review process and potential threats to our intellectual property rights. If we are not successful with respect to one or more of these factors, we could experience significant delays or an inability to successfully commercialize our product candidates, which would materially harm our business.</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To become and remain profitable, we must develop, obtain approval for and eventually commercialize product candidates that generate significant revenue. We do not expect to receive approval of any product candidates for many years and may never succeed in these activities. Even if we obtain approval and begin commercializing one or more of our product candidates, we may never generate revenue that is significant enough to achieve profitability, as we will continue to incur substantial research and development, manufacturing and other expenditures to develop</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and market additional product candidates. 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Within the broader genetic medicine field, very few therapeutic products, including those that utilize AAV-mediated gene transfer, have received marketing authorization from the FDA, EMA or comparable foreign regulatory authorities. No AAV-based gene therapies have yet been approved for the heart, much less therapies for the heart using novel capsids or promoters or delivery methods. It is therefore difficult to determine how long it will take, how much it will cost, or how likely it will be to obtain regulatory approvals for our product candidates in the U.S., EU or other jurisdictions.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The regulatory requirements that will govern any novel gene therapy product candidate we develop are not entirely clear, have changed over time and are subject to further change. Even with respect to more established products that fit into the categories of gene therapies or cell therapies, the regulatory landscape is still developing.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or preclude regulatory approval of our product candidates. Moreover, there is substantial overlap in those responsible for regulation of existing gene therapy products and cell therapy products. For example, in the U.S.,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Our product candidates will need to meet safety and efficacy standards applicable to any new biologic under the regulatory framework administered by the FDA. In addition to FDA oversight and oversight by investigational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clinical study sites receive NIH funding and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231F20"/>
        </w:rPr>
        <w:t>The same applies in the EU. The EMA’s Committee for Advanced Therapies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guidelines. The EMA may issue new guidelines concerning the development and marketing authorization for gene therapy products and require that we comply with these new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guidelines. As a result, the procedures and standards applied to gene therapy products and cell therapy products in the EU may be applied to any gene therapy product candidate we may develop, but that remains uncertain at this point. Furthermore, approvals by the EMA may not be indicative of what the FDA may require for approval.</w:t>
      </w:r>
    </w:p>
    <w:p>
      <w:pPr>
        <w:spacing w:after="0" w:line="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Delay or failure to obtain, or unexpected costs in obtaining, the regulatory approvals necessary to bring a potential gene therapy product to market could decrease our ability to generate sufficient product revenue and our business, financial condition, results of operations and prospects could be materially harmed.</w:t>
      </w:r>
    </w:p>
    <w:p>
      <w:pPr>
        <w:spacing w:after="0" w:line="6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Adverse developments in preclinical studies or clinical trials conducted by others in the field of gene therapy and gene regulation products may cause the FDA, EMA, and other regulatory bodies to revise the requirements for the conduct of the clinical trials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product candidates in a timely manner, if at all.</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mechanisms of action of our product candidates are unproven, and we do not know whether we will be able to develop any drug of commercial value.</w:t>
      </w:r>
    </w:p>
    <w:p>
      <w:pPr>
        <w:spacing w:after="0" w:line="51"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7"/>
          <w:szCs w:val="17"/>
          <w:color w:val="231F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regulatory approval for that or other product candidates for the treatment of other diseases. If we are unable to successfully develop and commercialize our product candidates, our business will be materially harmed.</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Preclinical and </w:t>
      </w:r>
      <w:r>
        <w:rPr>
          <w:rFonts w:ascii="Times New Roman" w:cs="Times New Roman" w:eastAsia="Times New Roman" w:hAnsi="Times New Roman"/>
          <w:sz w:val="18"/>
          <w:szCs w:val="18"/>
          <w:color w:val="231F20"/>
        </w:rPr>
        <w:t>clinical testing is expensive, difficult to design and implement, can take many years to complete and its ultimate outcome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uncertain. We cannot guarantee that any of our preclinical studies or clinical trials will be initiated, conducted or completed on schedule or as planned, or at all. </w:t>
      </w:r>
      <w:r>
        <w:rPr>
          <w:rFonts w:ascii="Times New Roman" w:cs="Times New Roman" w:eastAsia="Times New Roman" w:hAnsi="Times New Roman"/>
          <w:sz w:val="18"/>
          <w:szCs w:val="18"/>
          <w:color w:val="000000"/>
        </w:rPr>
        <w:t>Failure can occur at any stage of testing.</w:t>
      </w:r>
      <w:r>
        <w:rPr>
          <w:rFonts w:ascii="Times New Roman" w:cs="Times New Roman" w:eastAsia="Times New Roman" w:hAnsi="Times New Roman"/>
          <w:sz w:val="18"/>
          <w:szCs w:val="18"/>
          <w:color w:val="231F20"/>
        </w:rPr>
        <w:t xml:space="preserve"> Such failure may result from a multitude of factors, including, among other things, flaws in study design, dose selection issues, placebo effects, patient enrollment criteria, novel assay design and failure to demonstrate favorable safety or efficacy traits, which could delay or prevent the submission of an IND or CTA, initiation of a clinical trial, receipt of marketing approval or our ability to commercialize our product candidates, or require us to suspended or terminate further development of our product candidates. Moreover,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preclinical studies, clinical trials or post-marketing studies that we conduct will demonstrate consistent or adequate efficacy and safety to support marketing approval.</w:t>
      </w:r>
    </w:p>
    <w:p>
      <w:pPr>
        <w:spacing w:after="0" w:line="86" w:lineRule="exact"/>
        <w:rPr>
          <w:sz w:val="20"/>
          <w:szCs w:val="20"/>
          <w:color w:val="auto"/>
        </w:rPr>
      </w:pPr>
    </w:p>
    <w:p>
      <w:pPr>
        <w:jc w:val="both"/>
        <w:ind w:right="160" w:firstLine="509"/>
        <w:spacing w:after="0" w:line="254" w:lineRule="auto"/>
        <w:rPr>
          <w:sz w:val="20"/>
          <w:szCs w:val="20"/>
          <w:color w:val="auto"/>
        </w:rPr>
      </w:pPr>
      <w:r>
        <w:rPr>
          <w:rFonts w:ascii="Times New Roman" w:cs="Times New Roman" w:eastAsia="Times New Roman" w:hAnsi="Times New Roman"/>
          <w:sz w:val="18"/>
          <w:szCs w:val="18"/>
          <w:color w:val="231F20"/>
        </w:rPr>
        <w:t>Further, FDA and other regulatory authorities may implement new policies and regulations on clinical trials. For example, the EU Clinical Trials Regulation (CTR), which repealed the EU Clinical Trials Directive, became applicable on January 31, 2022, and provided a three-year transition period. The CTR streamlined the processes for applying for authorization and supervision of clinical trials in the EU. From January 31, 2025, any trials approved under the Clinical Trials Directive that continue running will need to comply with the CTR, and their sponsors must enter information on the trials in the Clinical Trials Information System. Trials we initiate in the United Kingdom are also subject to regulatory requirements and policies of the MHRA.</w:t>
      </w:r>
    </w:p>
    <w:p>
      <w:pPr>
        <w:spacing w:after="0" w:line="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231F20"/>
        </w:rPr>
        <w:t>Compliance with the CTR and/or MHRA requirements by us, our collaborators and third-party service providers, such as contract research organizations, may increase our clinical trial costs and impact the timeline of our development plans. If we are slow or unable to adapt to changes in clinical trial requirements or the adoption of new requirements or policies governing clinical trials, our development plans may be negatively impacted.</w:t>
      </w:r>
    </w:p>
    <w:p>
      <w:pPr>
        <w:spacing w:after="0" w:line="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may experience numerous unforeseen events during, or as a result of, preclinical studies, clinical trials or post-marketing studies that could delay or prevent receipt of marketing approval or our ability to commercialize our product candidates, including:</w:t>
      </w:r>
    </w:p>
    <w:p>
      <w:pPr>
        <w:spacing w:after="0" w:line="5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inability to generate sufficient preclinical, toxicology, or other </w:t>
      </w:r>
      <w:r>
        <w:rPr>
          <w:rFonts w:ascii="Times New Roman" w:cs="Times New Roman" w:eastAsia="Times New Roman" w:hAnsi="Times New Roman"/>
          <w:sz w:val="18"/>
          <w:szCs w:val="18"/>
          <w:i w:val="1"/>
          <w:iCs w:val="1"/>
          <w:color w:val="231F20"/>
        </w:rPr>
        <w:t>in vivo</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in vitro</w:t>
      </w:r>
      <w:r>
        <w:rPr>
          <w:rFonts w:ascii="Times New Roman" w:cs="Times New Roman" w:eastAsia="Times New Roman" w:hAnsi="Times New Roman"/>
          <w:sz w:val="18"/>
          <w:szCs w:val="18"/>
          <w:color w:val="231F20"/>
        </w:rPr>
        <w:t xml:space="preserve"> data to support the initiation of clinical trials;</w:t>
      </w:r>
    </w:p>
    <w:p>
      <w:pPr>
        <w:spacing w:after="0" w:line="119"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sufficiently developing, characterizing or controlling a manufacturing process suitable for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receipt of feedback from regulatory authorities that requires us to modify the design of our preclinical or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preclinical study or clinical trial observations or results that require us to modify the design of our clinical trials;</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or inconclusive preclinical study or clinical trial results that may require us to conduct additional preclinical studies or clinical trials or abandon certain research and/or drug development programs;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extended IRB, IBC and/or EC review process, or inability to obtain approval from one or more of these committees;</w:t>
      </w:r>
    </w:p>
    <w:p>
      <w:pPr>
        <w:spacing w:after="0" w:line="117" w:lineRule="exact"/>
        <w:rPr>
          <w:rFonts w:ascii="Times New Roman" w:cs="Times New Roman" w:eastAsia="Times New Roman" w:hAnsi="Times New Roman"/>
          <w:sz w:val="18"/>
          <w:szCs w:val="18"/>
          <w:color w:val="231F20"/>
        </w:rPr>
      </w:pPr>
    </w:p>
    <w:p>
      <w:pPr>
        <w:ind w:left="1020" w:right="540" w:hanging="503"/>
        <w:spacing w:after="0" w:line="266"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patients required for clinical trials being larger than anticipated, enrollment in these clinical trials being slower than anticipated, participants dropping out of these clinical trials at a higher rate than anticipated, or more patients failing to meet eligibility criteria than anticipated;</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failure or delay in reaching an agreement with CROs and clinical trial sites;</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66"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suspension or termination of our clinical trials, as a result of </w:t>
      </w:r>
      <w:r>
        <w:rPr>
          <w:rFonts w:ascii="Times New Roman" w:cs="Times New Roman" w:eastAsia="Times New Roman" w:hAnsi="Times New Roman"/>
          <w:sz w:val="18"/>
          <w:szCs w:val="18"/>
          <w:color w:val="000000"/>
        </w:rPr>
        <w:t>a clinical hold by regulatory authorities or a voluntary pause,</w:t>
      </w:r>
      <w:r>
        <w:rPr>
          <w:rFonts w:ascii="Times New Roman" w:cs="Times New Roman" w:eastAsia="Times New Roman" w:hAnsi="Times New Roman"/>
          <w:sz w:val="18"/>
          <w:szCs w:val="18"/>
          <w:color w:val="231F20"/>
        </w:rPr>
        <w:t xml:space="preserve"> for various reasons, including a finding that our product candidates have undesirable side effects or other unfavorable or unexpected characteristics or risks or non-compliance with regulatory requirements;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clinical trial protocol;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sites deviating from trial protocol or dropping out of a trial;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and/or duration of preclinical studies or clinical trials being greater than anticipated;</w:t>
      </w:r>
    </w:p>
    <w:p>
      <w:pPr>
        <w:spacing w:after="0" w:line="117" w:lineRule="exact"/>
        <w:rPr>
          <w:rFonts w:ascii="Times New Roman" w:cs="Times New Roman" w:eastAsia="Times New Roman" w:hAnsi="Times New Roman"/>
          <w:sz w:val="18"/>
          <w:szCs w:val="18"/>
          <w:color w:val="231F20"/>
        </w:rPr>
      </w:pPr>
    </w:p>
    <w:p>
      <w:pPr>
        <w:ind w:left="1020" w:right="700" w:hanging="503"/>
        <w:spacing w:after="0" w:line="282"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supply or quality of our product candidates or other materials necessary to conduct clinical trials of our product candidates being insufficient or inadequate or slower than anticipated;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subjects experiencing serious, severe, unexpected or otherwise important drug-related or study-related adverse effects;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selection of clinical end 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inaccurate clinical data entry or reporting by clinical sites;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variability of efficacy assessments;</w:t>
      </w:r>
    </w:p>
    <w:p>
      <w:pPr>
        <w:spacing w:after="0" w:line="117" w:lineRule="exact"/>
        <w:rPr>
          <w:rFonts w:ascii="Times New Roman" w:cs="Times New Roman" w:eastAsia="Times New Roman" w:hAnsi="Times New Roman"/>
          <w:sz w:val="18"/>
          <w:szCs w:val="18"/>
          <w:color w:val="231F20"/>
        </w:rPr>
      </w:pPr>
    </w:p>
    <w:p>
      <w:pPr>
        <w:ind w:left="1020" w:right="180" w:hanging="503"/>
        <w:spacing w:after="0" w:line="266" w:lineRule="auto"/>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facility manufacturing our product candidates or any of their components being ordered by the FDA or comparable foreign regulatory authorities to temporarily or permanently shut down due to violations of cGMPs, regulations or other applicable requirements, or infections or cross-contaminations of product candidates in the manufacturing process;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changes to our manufacturing process that may be necessary or desired;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ind w:left="1020" w:right="26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clinical investigators losing the licenses or permits necessary to perform our clinical trials, not performing our clinical trials on our anticipated schedule or consistent with the clinical trial protocol, GCP or other regulatory requirements;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CROs and other third-party contractors not performing data collection or analysis in a timely or accurate manner;</w:t>
      </w:r>
    </w:p>
    <w:p>
      <w:pPr>
        <w:spacing w:after="0" w:line="117" w:lineRule="exact"/>
        <w:rPr>
          <w:rFonts w:ascii="Times New Roman" w:cs="Times New Roman" w:eastAsia="Times New Roman" w:hAnsi="Times New Roman"/>
          <w:sz w:val="18"/>
          <w:szCs w:val="18"/>
          <w:color w:val="231F20"/>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regulators revising the requirements for approving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unsuccessful post-marketing study or failure to complete such a study;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absence in some countries of established groups with sufficient regulatory expertise for review of AAV gene therapy protocols; and</w:t>
      </w:r>
    </w:p>
    <w:p>
      <w:pPr>
        <w:spacing w:after="0" w:line="117"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more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trials, such as bridging studies and additional safety studies before we can commence our clinical trials in pediatric populations. The FDA or other health authorities may require us to complete studies in adults prior to initiating testing in children. Any delays in our planned clinical development activities for pediatric patients could have an adverse effect on our business operations.</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Times New Roman" w:cs="Times New Roman" w:eastAsia="Times New Roman" w:hAnsi="Times New Roman"/>
          <w:sz w:val="18"/>
          <w:szCs w:val="18"/>
          <w:color w:val="000000"/>
        </w:rPr>
        <w:t>mitting an IND, initiating clinical trials or seek</w:t>
      </w:r>
      <w:r>
        <w:rPr>
          <w:rFonts w:ascii="Times New Roman" w:cs="Times New Roman" w:eastAsia="Times New Roman" w:hAnsi="Times New Roman"/>
          <w:sz w:val="18"/>
          <w:szCs w:val="18"/>
          <w:color w:val="231F20"/>
        </w:rPr>
        <w:t>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including by shortening any period during which we may have the exclusive right to commercialize our product candidates and permitting our competitors to bring products to market before we do. If we receive approval, it is possible that we may receive limited or restrictive marketing approval, be subject to additional post-marketing testing requirements or have the drug removed from the market after obtaining marketing approval.</w:t>
      </w:r>
    </w:p>
    <w:p>
      <w:pPr>
        <w:spacing w:after="0" w:line="8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231F20"/>
        </w:rPr>
        <w:t>foreign regulatory authority, as the case may be, and may ultimately lead to the denial of marketing approval of one or more of our product candidates, which may harm our business, financial condition and prospects significantly.</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cause serious adverse events, toxicities or other undesirable side effects when used alone or in combination with other approved products or investigational new drugs that may 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developing novel therapies for the treatment of heart disease. As a result, there is uncertainty as to the safety profile of product candidates we may develop. Patients in our clinical trials have suffered and may continue to suffer adverse events, including serious adverse events or other side effects, including those not observed in our preclinical studies or previous clinical trials. Patients treated with our product candidates may also be undergoing other therapies or procedures which can cause side effects or adverse events that are unrelated to our product candidates but may still impact the success of our clinical trials. The inclusion of critically ill patients in our clinical trials may result in deaths or other adverse medical events, either during the course of or after participating in such trials. These events may be due to one or more factors, including, without limitation, the underlying heart disease, other therapies or medications that such patients may be using, the drug product formulation of our product candidates, complications arising from protocol regimens, the method of delivery of our product candidates or other diseases the patients have. In some cases, it may not be clear if an adverse event is due to the product candidate, another therapy, the underlying disease, or another cause, and causality may be incorrectly attributed to the product candidate</w:t>
      </w:r>
      <w:r>
        <w:rPr>
          <w:rFonts w:ascii="Times New Roman" w:cs="Times New Roman" w:eastAsia="Times New Roman" w:hAnsi="Times New Roman"/>
          <w:sz w:val="18"/>
          <w:szCs w:val="18"/>
          <w:color w:val="231F20"/>
        </w:rPr>
        <w:t>.</w:t>
      </w:r>
    </w:p>
    <w:p>
      <w:pPr>
        <w:spacing w:after="0" w:line="8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Serious adverse events or other side effects observed in any of our clinical trials, or similar trials by other sponsors, may result in difficulty recruiting patients to the clinical trials, cause patients to drop out of our trials, or require that we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or that the expected benefit does not justify the risk. Some potential therapeutics developed in the biotechnology industry that initially showed therapeutic promise in early-stage trials have later been found to cause side effects that prevented their further development. There is no guarantee that our product candidates will not have side effects similar to those seen in other gene therapies or that we will be able to prevent such side effects from escalating to an unsafe level for our patients. Even if the side effects do not preclude the product candidate from obtaining or maintaining marketing approval, undesirable side effects may inhibit market acceptance due to its tolerability versus other therapies, result in marketing approval with restrictive label warnings or for limited patient populations, or result in potential product liability claims.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No regulatory agency has made any determination that any of our product candidates or discovery programs is safe or effective for use by the general public for any indication. We cannot predict whether our product candidates will cause toxicities in humans that would preclude regulatory approval, or if approved, lead to the revocation of regulatory approval based on preclinical studies or early-stage clinical trials.</w:t>
      </w:r>
    </w:p>
    <w:p>
      <w:pPr>
        <w:spacing w:after="0" w:line="1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31F20"/>
        </w:rPr>
        <w:t>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 and success in one trial does not ensure success in the next.</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We do not know whether any clinical trials we may conduct will demonstrate consistent or adequate efficacy and safety sufficient to obtain approval to market any of our product candidates.</w:t>
      </w:r>
    </w:p>
    <w:p>
      <w:pPr>
        <w:spacing w:after="0" w:line="15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We may not be able to initiate or continue clinical trials for our product candidates if we are unable to locate and enroll a sufficient number of eligible patients to participate in these trials to such trial’s conclusion. Patient enrollment and retention are significant factors in the timing of clinical trials and our ability to enroll eligible patients may be limited or slower than we anticipate.</w:t>
      </w:r>
    </w:p>
    <w:p>
      <w:pPr>
        <w:spacing w:after="0" w:line="6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231F20"/>
        </w:rPr>
        <w:t>We are developing product candidates for the treatment of heart disease, including for certain indications, such as rare genetic diseases, that have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 Patients also have the right to withdraw from our clinical trials for any reason. Additionally, the FDA, EMA or other comparable foreign regulatory authorities may require long-term follow-up assessments for a certain number of patients, which could delay marketing approval.</w:t>
      </w:r>
    </w:p>
    <w:p>
      <w:pPr>
        <w:spacing w:after="0" w:line="8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231F20"/>
        </w:rPr>
        <w:t>We also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clinical trials has been and may continue to be affected by other factors, including:</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size and nature of the patient population;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perceived risks and benefits of novel, unproven approaches;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severity of the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availability and efficacy of approved drugs for the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ongoing clinical trials evaluating other product candidates in the same disease under investigation;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eligibility criteria for the trial in question as defined in the protocol;</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risks and benefits of the product candidate under study;</w:t>
      </w:r>
    </w:p>
    <w:p>
      <w:pPr>
        <w:spacing w:after="0" w:line="117" w:lineRule="exact"/>
        <w:rPr>
          <w:rFonts w:ascii="Times New Roman" w:cs="Times New Roman" w:eastAsia="Times New Roman" w:hAnsi="Times New Roman"/>
          <w:sz w:val="18"/>
          <w:szCs w:val="18"/>
          <w:color w:val="231F20"/>
        </w:rPr>
      </w:pPr>
    </w:p>
    <w:p>
      <w:pPr>
        <w:jc w:val="both"/>
        <w:ind w:left="1020" w:right="560" w:hanging="503"/>
        <w:spacing w:after="0" w:line="266" w:lineRule="auto"/>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public perception about the use of genetic medicines in human therapeutics or precision medicine;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referral practices of physicians;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associated with recruiting eligible patients;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86"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monitor patients adequately during and after treatment;</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limited resources at clinical trial sites, including support for clinical trial enrollment and the availability of hospital beds;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activities of key opinion leaders (KOLs) and patient advocacy groups;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proximity and availability of clinical trial sites for prospective patients and the ability of patients to travel to these sites;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burden of the study protocol on patients, including conflicts with their work, family and personal activities;</w:t>
      </w:r>
    </w:p>
    <w:p>
      <w:pPr>
        <w:spacing w:after="0" w:line="117"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risk that patients enrolled in clinical trials will drop out of the trials before completion or, because they may have an advanced disease, will not survive the full terms of the clinical trials;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limitations on the rate of patient enrollment required by the clinical trial protocol, including those that may be requested by health authorities.</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Due to the significant resources required for the development of product candidates, in particular our product candidates in clinical trials, we must decide which programs, product candidates and indications to pursue and advance the amount of resources to allocate to each. </w:t>
      </w:r>
      <w:r>
        <w:rPr>
          <w:rFonts w:ascii="Times New Roman" w:cs="Times New Roman" w:eastAsia="Times New Roman" w:hAnsi="Times New Roman"/>
          <w:sz w:val="18"/>
          <w:szCs w:val="18"/>
          <w:color w:val="000000"/>
        </w:rPr>
        <w:t>For example, in connection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with our cost containment measures, including the Workforce Reduction, we are prioritizing generating data from the ongoing MyPEAK-1 and RIDGE-1 clinical trials of TN-201 and TN-401, respectively. </w:t>
      </w:r>
      <w:r>
        <w:rPr>
          <w:rFonts w:ascii="Times New Roman" w:cs="Times New Roman" w:eastAsia="Times New Roman" w:hAnsi="Times New Roman"/>
          <w:sz w:val="18"/>
          <w:szCs w:val="18"/>
          <w:color w:val="231F20"/>
        </w:rPr>
        <w:t>Our decisions concerning the allocation of research, development, collaboration, management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financial resources toward particular programs, product candidates or therapeutic areas may not lead to the development of any viable commercial product and may result in the diversion of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assumptions and/or determinations regarding data emerging from our clinical trials,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1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number of products are currently under development, and may become commercially available in the future, for the treatment of conditions for which we may attempt to develop product candidates.</w:t>
      </w:r>
    </w:p>
    <w:p>
      <w:pPr>
        <w:spacing w:after="0" w:line="54"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231F20"/>
        </w:rPr>
        <w:t>We have competitors both in the U.S. and internationally, including major multinational pharmaceutical companies, established biotechnology companies, specialty pharmaceutical companies, emerging and start-up companies, universities and other research institutions. We face competition in recruiting personnel, establishing clinical trial sites, enrolling subjects for clinical trials and in identifying and in-licensing new product candidates.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Due to the nature of gene therapy products, use of a competitor gene therapy product by a prospective patient may preclude use of our gene therapy product candidate at a later point in time.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Initial, interim and topline data from our clinical trials that we announce or publish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From time to time, we may publicly disclose initial, interim or topline data from our clinical trials. These updates are based on a preliminary analysis of then-available data, and the results and related findings and conclusions are subject to change following availability of additional data and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initial, interim and/or topline results that we report may differ from future results of the same studies, or different conclusions or considerations may qualify such results, once additional data have been received and fully evaluated. Initial, interim and/or topline data also remain subject to audit and verification procedures that may result in the final data being materially different from the preliminary data we previously published. As a result, initial, interim and topline data should be viewed with caution until the final data is available. In addition, we may report interim analyses of only certain endpoints rather than all endpoints. Initial and interim data from clinical trials that we may complete are subject to the risk that one or more of the clinical outcomes may materially change as patient enrollment continues and more patient data become available. Adverse changes between initial and/or interim data and final data could significantly harm our business and prospects. Further, additional disclosure of initial and/or interim data by us or by our competitors in the future could result in volatility in the price of our common stock.</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Further, others, including regulatory agencies, may not accept or agree with our assumptions, estimates, calculations, conclusions or analyses, may do their own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initial, interim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Problems with the manufacturing process, even minor deviations from the normal process, including during the manufacture of drug substance, drug product filling, labeling, packaging, storage and shipping and quality control and testing, could result in product defects, lot failures, product recalls, product liability claims or insufficient inventory. Additionally,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Furthermore, should any of our manufacturing agreements with third parties be terminated for any reason, there are a limited number of manufacturers who would be suitable replacements, and it would take a significant amount of time to transition the manufacturing to a replacement. If we or our third-party manufacturers or suppliers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Due to our limited manufacturing experience, there can be no assurance that we will be able to successfully manufacture product candidates to support our clinical development and commercialization plans.</w:t>
      </w:r>
    </w:p>
    <w:p>
      <w:pPr>
        <w:spacing w:after="0" w:line="5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have fully integrated and internalized AAV manufacturing capabilities to support our gene therapy product candidates</w:t>
      </w:r>
      <w:r>
        <w:rPr>
          <w:rFonts w:ascii="Times New Roman" w:cs="Times New Roman" w:eastAsia="Times New Roman" w:hAnsi="Times New Roman"/>
          <w:sz w:val="18"/>
          <w:szCs w:val="18"/>
          <w:color w:val="231F20"/>
        </w:rPr>
        <w:t>. However, to optimize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our resources and to utilize extensive third-party experience in small molecule manufacturing, we intend to work with CDMOs for our small molecule programs.</w:t>
      </w:r>
    </w:p>
    <w:p>
      <w:pPr>
        <w:spacing w:after="0" w:line="68"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231F20"/>
        </w:rPr>
        <w:t>Although some of our employees have experience in the manufacturing of biopharmaceutical products from prior employment at other companies, we as a company have limited experience in manufacturing. Furthermore, maintaining manufacturing operations requires significant resources, management time and capital expenditures, particularly in areas relating to operations, quality, regulatory, facilities and information technology.</w:t>
      </w:r>
    </w:p>
    <w:p>
      <w:pPr>
        <w:spacing w:after="0" w:line="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cannot guarantee that our facility will be able to produce sufficient quantities of product candidates needed to support our preclinical studies and ongoing and planned clinical trials. We may face delays or increased costs in the production of clinical supply at our manufacturing facility.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Any delays in the ongoing development of our internal manufacturing capabilities may disrupt or delay the supply of our product candidates if we have not maintained a sufficient back-up supply of such product candidates.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It may also hamper our ability to further process improvement, maintain quality control, limit our reliance on contract manufacturers and protect our trade secrets and other intellectual property, and could adversely impact the development or commercialization of our product candidates. Moreover, if we were required to change manufacturing facilities during the clinical development process, we may also be required to conduct additional studies, make notifications to regulatory authorities, make additional filings to regulatory authorities, and obtain regulatory authority approval for the new facilities, which approval may be delayed or never received.</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We will need to comply with the FDA’s and applicable foreign regulatory authorities’ cGMP requirements for the production of product candidates for clinical trials and, if approved, commercial supply.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 Furthermore, regulatory requirements for the manufacturing of genetic medicines may change over time. Our failure to comply with such changes could have a material impact on the manufacturing costs for our product candidates, delay our planned preclinical and clinical trial timelines and/or preclude regulatory approval of our product candidates.</w:t>
      </w:r>
    </w:p>
    <w:p>
      <w:pPr>
        <w:spacing w:after="0" w:line="1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successfully manufacture our product candidates in sufficient quality and quantity, which would delay or prevent us from developing our product candidates and commercializing resulting approved products, if any.</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231F20"/>
        </w:rPr>
        <w:t>To date, our product candidates have been manufactured in quantities adequate for preclinical studies and our Phase 1 clinical trials for our lead product candidates. In order to conduct later-stage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w:t>
      </w:r>
    </w:p>
    <w:p>
      <w:pPr>
        <w:spacing w:after="0" w:line="7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231F20"/>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While the manufacturing process alone is complex, quality issues may also arise during drug product filling, labeling, packaging, storage, shipping and ongoing quality control and testing activities.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86"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231F20"/>
        </w:rPr>
        <w:t>If we are unable to successfully manufacture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7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Even if our product candidates receive regulatory approval, they may not gain adequate market acceptance among physicians, patients, third-party payors and others in the medical community. If we are unable to demonstrate sufficient safety or efficacy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and safety profile as demonstrated in clinical trials compared to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perceived safety and efficacy profile and ease of use for pediatric patient population if approved for a pediatric indication;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clinical indications for which a product candidate is approved;</w:t>
      </w:r>
    </w:p>
    <w:p>
      <w:pPr>
        <w:spacing w:after="0" w:line="117" w:lineRule="exact"/>
        <w:rPr>
          <w:rFonts w:ascii="Times New Roman" w:cs="Times New Roman" w:eastAsia="Times New Roman" w:hAnsi="Times New Roman"/>
          <w:sz w:val="18"/>
          <w:szCs w:val="18"/>
          <w:color w:val="231F20"/>
        </w:rPr>
      </w:pPr>
    </w:p>
    <w:p>
      <w:pPr>
        <w:jc w:val="both"/>
        <w:ind w:left="1020" w:right="100" w:hanging="503"/>
        <w:spacing w:after="0" w:line="312" w:lineRule="auto"/>
        <w:tabs>
          <w:tab w:leader="none" w:pos="1020"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31" w:lineRule="exact"/>
        <w:rPr>
          <w:rFonts w:ascii="Times New Roman" w:cs="Times New Roman" w:eastAsia="Times New Roman" w:hAnsi="Times New Roman"/>
          <w:sz w:val="17"/>
          <w:szCs w:val="17"/>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physicians, hospitals, treatment centers and patients considering our product candidates as a safe, pure and effective treatment;</w:t>
      </w:r>
    </w:p>
    <w:p>
      <w:pPr>
        <w:spacing w:after="0" w:line="117"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perceived prevalence and severity of any side effects for our product candidates compared to the prevalence and severity of any side effects for conventional products and other gene therapies;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of treatment in relation to alternative treatments;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relative convenience and ease of administration;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the target patient population or their caregivers to try new therapies and of physicians to prescribe these therapies;</w:t>
      </w:r>
    </w:p>
    <w:p>
      <w:pPr>
        <w:spacing w:after="0" w:line="117"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relevant pediatric patient population if approved for a pediatric indication, including challenges associated with diagnosing or identifying pediatric populations with the applicable target disease or condition;</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coverage and adequate reimbursement by third-party payors, including government authorities;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patients’ willingness to pay for these therapies in the absence of such coverage and adequate reimbursement;</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effectiveness of sales and marketing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support from KOLs and patient advocacy groups;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negative public perception about the use of genetic medicines, whether related to our technology or our competitor’s technology;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unfavorable publicity relating to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approval of other new therapies for the same indications; and</w:t>
      </w:r>
    </w:p>
    <w:p>
      <w:pPr>
        <w:spacing w:after="0" w:line="117" w:lineRule="exact"/>
        <w:rPr>
          <w:rFonts w:ascii="Times New Roman" w:cs="Times New Roman" w:eastAsia="Times New Roman" w:hAnsi="Times New Roman"/>
          <w:sz w:val="18"/>
          <w:szCs w:val="18"/>
          <w:color w:val="231F20"/>
        </w:rPr>
      </w:pPr>
    </w:p>
    <w:p>
      <w:pPr>
        <w:ind w:left="1020" w:right="280" w:hanging="503"/>
        <w:spacing w:after="0" w:line="282" w:lineRule="auto"/>
        <w:tabs>
          <w:tab w:leader="none" w:pos="102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acceptance and use of genetic testing required to diagnose the disease and identify patients who qualify for treatment with our product candidates.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6"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5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8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231F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7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Any product candidates we develop may become subject to unfavorable third-party coverage and reimbursement practices, as well as pricing regulations.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for our gene therapy product candidates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Sales of any of our product candidates that receive marketing approval will depend substantially, both in the U.S.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8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There is significant uncertainty related to third-party payor coverage and reimbursement of newly approved products. In the U.S., for example, principal decisions about reimbursement for new products are typically made by the </w:t>
      </w:r>
      <w:r>
        <w:rPr>
          <w:rFonts w:ascii="Times New Roman" w:cs="Times New Roman" w:eastAsia="Times New Roman" w:hAnsi="Times New Roman"/>
          <w:sz w:val="18"/>
          <w:szCs w:val="18"/>
          <w:color w:val="000000"/>
        </w:rPr>
        <w:t>Centers for Medicare &amp; Medicaid Services (</w:t>
      </w:r>
      <w:r>
        <w:rPr>
          <w:rFonts w:ascii="Times New Roman" w:cs="Times New Roman" w:eastAsia="Times New Roman" w:hAnsi="Times New Roman"/>
          <w:sz w:val="18"/>
          <w:szCs w:val="18"/>
          <w:color w:val="231F20"/>
        </w:rPr>
        <w:t>CMS), an agency within the U.S. Department of Health and Human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8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231F20"/>
        </w:rPr>
        <w:t>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7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business exposes us to significant product liability risks inherent in the development, testing, manufacturing and marketing of therapeutic treatments. We have limited product liability insurance. Any insurance we have or may obtain may not provide sufficient coverage against potential liabilities. As clinical trial and product liability insurance becomes increasingly expensive,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may be sued if any of our product candidates or any medications, procedures or activities associated with our clinical trial protocols cause or are perceived to cause injury, or if our product candidates are found to be otherwise unsuitable during clinical testing, manufacturing, marketing, or sale post-approval. Any such product liability claims may include allegations of defects in manufacturing, defects in design, a failure to warn of dangers inherent in the protocol or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a successful defense would require significant financial and management resources.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Regardless of the merits or eventual outcome, liability claims may result in:</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the development of our product candidates;</w:t>
      </w:r>
    </w:p>
    <w:p>
      <w:pPr>
        <w:spacing w:after="0" w:line="117" w:lineRule="exact"/>
        <w:rPr>
          <w:rFonts w:ascii="Times New Roman" w:cs="Times New Roman" w:eastAsia="Times New Roman" w:hAnsi="Times New Roman"/>
          <w:sz w:val="18"/>
          <w:szCs w:val="18"/>
          <w:color w:val="231F20"/>
        </w:rPr>
      </w:pPr>
    </w:p>
    <w:p>
      <w:pPr>
        <w:ind w:left="1020" w:right="440" w:hanging="503"/>
        <w:spacing w:after="0" w:line="282" w:lineRule="auto"/>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EMA or other regulatory authority investigation of the safety and effectiveness of our products, our manufacturing processes and facilities or our marketing programs;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decreased or interrupted demand for our products;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injury to our reputation;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withdrawal of clinical trial participants and inability to continue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to defend the related litigation;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diversion of management’s time and our resources;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substantial monetary awards to trial participants or patients;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recalls, withdrawals or labeling, marketing, or promotional restrictions;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revenue;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inability to raise capital or enter into strategic agreements for the development of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exhaustion of any available insurance and our capital resources;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commercialize any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Regulatory Approval and Other Legal Compliance Matters</w:t>
      </w:r>
    </w:p>
    <w:p>
      <w:pPr>
        <w:spacing w:after="0" w:line="117"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distribution and orphan exclusivity of drugs. Rigorous preclinical testing and clinical trials and an extensive regulatory approval process must be successfully completed in the U.S.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and the availability of alternative therapies.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w:t>
      </w:r>
    </w:p>
    <w:p>
      <w:pPr>
        <w:spacing w:after="0" w:line="8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231F20"/>
        </w:rPr>
        <w:t>We cannot provide assurance that any of the product candidates we develop will progress through required clinical testing and obtain the regulatory approvals necessary for us to begin selling them. Applications for our product candidates could be delayed or fail to receive regulatory approval for many reasons, including the following:</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86" w:lineRule="exact"/>
        <w:rPr>
          <w:sz w:val="20"/>
          <w:szCs w:val="20"/>
          <w:color w:val="auto"/>
        </w:rPr>
      </w:pPr>
    </w:p>
    <w:p>
      <w:pPr>
        <w:ind w:left="1020" w:right="30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disagree with the design, implementation or results of our clinical trials;</w:t>
      </w:r>
    </w:p>
    <w:p>
      <w:pPr>
        <w:spacing w:after="0" w:line="53" w:lineRule="exact"/>
        <w:rPr>
          <w:rFonts w:ascii="Times New Roman" w:cs="Times New Roman" w:eastAsia="Times New Roman" w:hAnsi="Times New Roman"/>
          <w:sz w:val="18"/>
          <w:szCs w:val="18"/>
          <w:color w:val="231F20"/>
        </w:rPr>
      </w:pPr>
    </w:p>
    <w:p>
      <w:pPr>
        <w:ind w:left="1020" w:right="14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refuse to accept an application or decide not to accept data from our clinical trials conducted in locations outside of their jurisdiction;</w:t>
      </w:r>
    </w:p>
    <w:p>
      <w:pPr>
        <w:spacing w:after="0" w:line="53"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67"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231F20"/>
        </w:rPr>
      </w:pPr>
    </w:p>
    <w:p>
      <w:pPr>
        <w:ind w:left="1020" w:right="30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disagree with our interpretation of data from preclinical studies or clinical trials;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require that we conduct additional preclinical studies or clinical trials;</w:t>
      </w:r>
    </w:p>
    <w:p>
      <w:pPr>
        <w:spacing w:after="0" w:line="117" w:lineRule="exact"/>
        <w:rPr>
          <w:rFonts w:ascii="Times New Roman" w:cs="Times New Roman" w:eastAsia="Times New Roman" w:hAnsi="Times New Roman"/>
          <w:sz w:val="18"/>
          <w:szCs w:val="18"/>
          <w:color w:val="231F20"/>
        </w:rPr>
      </w:pPr>
    </w:p>
    <w:p>
      <w:pPr>
        <w:ind w:left="1020" w:right="36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unable to demonstrate to the FDA, EMA or other comparable foreign regulatory authorities that our product candidate’s risk-benefit ratio for its proposed indication is acceptable;</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231F20"/>
        </w:rPr>
      </w:pPr>
    </w:p>
    <w:p>
      <w:pPr>
        <w:ind w:left="1020" w:right="110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EMA or other comparable foreign regulatory authorities may fail to approve companion diagnostic tests required for commercialization of our product candidates; and</w:t>
      </w:r>
    </w:p>
    <w:p>
      <w:pPr>
        <w:spacing w:after="0" w:line="53" w:lineRule="exact"/>
        <w:rPr>
          <w:rFonts w:ascii="Times New Roman" w:cs="Times New Roman" w:eastAsia="Times New Roman" w:hAnsi="Times New Roman"/>
          <w:sz w:val="18"/>
          <w:szCs w:val="18"/>
          <w:color w:val="231F20"/>
        </w:rPr>
      </w:pPr>
    </w:p>
    <w:p>
      <w:pPr>
        <w:ind w:left="1020" w:right="500" w:hanging="503"/>
        <w:spacing w:after="0" w:line="282" w:lineRule="auto"/>
        <w:tabs>
          <w:tab w:leader="none" w:pos="10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Further, under the new leadership at the HHS under the current administration, layoffs due to the reduction in force initiative and other measures implemented by the Department of Government Efficiency may impact the normal operations of the FDA as well as other federal agencies. FDA may lack adequate staff and resources to meet current review, approval, and inspection schedules, which could delay our anticipated timelines. It is unclear how our industry and our clinical programs will be impacted by policies, regulations and initiatives implemented under the current administration and FDA commissioner, or other executive orders. There is significant uncertainty in the industry and how federal agencies like the FDA will change in the coming years under the current administration. To the extent the agency reorganization and other agency changes lead to disruptions in FDA’s operations, our correspondence and regulatory review processes with the FDA may be materially delayed.</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231F20"/>
        </w:rPr>
        <w:t>If the FDA or EMA grants marketing approval of a product candidate, other comparable regulatory authorities in foreign jurisdictions must still approve the manufacturing, marketing and promotion and reimbursement of the product candidate in those countries.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8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our product candidates receive regulatory approval, such approval may be for a narrower indication than we seek, and our product candidates will be subject to significant post-marketing regulatory requirements and oversight.</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Furthermore, any regulatory approval to market a drug may be subject to significant limitations on the approved uses or indications for which we may market, promote and advertise the drug or the labeling or other restrictions. The regulatory authorities may require precautions or contra-indications with respect to conditions of use or they may grant approval subject to the performance of costly post-marketing clinical trials. In addition, the FDA has the authority to require a Risk Evaluation and Mitigation Strategy plan as part of approving a new drug application (NDA) or biologics license application,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Any of the foregoing scenarios could materially harm the commercial prospects for our product candidates and materially harm our business, financial condition, results of operations and prospects, and may significantly limit the size of the market for the drug and affect reimbursement by third-party payors.</w:t>
      </w:r>
    </w:p>
    <w:p>
      <w:pPr>
        <w:spacing w:after="0" w:line="8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 and GCP for any clinical trials that we conduct post-approval. Manufacturers of drug products and their facilities are also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8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or the rejection of product approvals;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our ability to conduct clinical trials, including full or partial clinical holds on ongoing or planned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restrictions on the products, manufacturers or manufacturing process;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warning or untitled letters;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civil and criminal penalties;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injunctions;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suspension or withdrawal of regulatory approvals;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seizures, detentions or import bans;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voluntary or mandatory product recalls and publicity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or partial suspension of production;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6"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imposition of restrictions on operations, including costly new manufacturing requirements.</w:t>
      </w:r>
    </w:p>
    <w:p>
      <w:pPr>
        <w:spacing w:after="0" w:line="11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231F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17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To the extent we obtain orphan drug and other designations from the FDA for our product candidates, we may not realize the full benefits of such designations. Further, orphan drug exclusivity may not prevent the FDA, EMA or other comparable foreign regulatory authorities, from approving competing products.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Similarly, in the EU, the EC,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In the EU, orphan drug designation entitles a party to financial incentives such as reduction of fees or fee waivers and without incentives, it is unlikely that sales of the drug in Europe would be sufficient to justify the necessary investment in developing the drug.</w:t>
      </w:r>
    </w:p>
    <w:p>
      <w:pPr>
        <w:spacing w:after="0" w:line="86"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231F20"/>
        </w:rPr>
        <w:t xml:space="preserve">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U.S. provides that the FDA may not approve any other applications, including a full NDA, to market the same drug for the same indication for seven years, except in limited circumstances. In view of the court decision in the </w:t>
      </w:r>
      <w:r>
        <w:rPr>
          <w:rFonts w:ascii="Times New Roman" w:cs="Times New Roman" w:eastAsia="Times New Roman" w:hAnsi="Times New Roman"/>
          <w:sz w:val="18"/>
          <w:szCs w:val="18"/>
          <w:i w:val="1"/>
          <w:iCs w:val="1"/>
          <w:color w:val="231F20"/>
        </w:rPr>
        <w:t>Catalyst Pharms., Inc. v. Becerra</w:t>
      </w:r>
      <w:r>
        <w:rPr>
          <w:rFonts w:ascii="Times New Roman" w:cs="Times New Roman" w:eastAsia="Times New Roman" w:hAnsi="Times New Roman"/>
          <w:sz w:val="18"/>
          <w:szCs w:val="18"/>
          <w:color w:val="231F20"/>
        </w:rPr>
        <w:t>, 14 F.4</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 1299 (11</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8"/>
          <w:szCs w:val="18"/>
          <w:color w:val="231F20"/>
        </w:rPr>
        <w:t xml:space="preserve"> Cir. 2021) case, in a January 2023 notice, the FDA clarified that while the agency complies with the court’s order in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the FDA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231F20"/>
        </w:rPr>
        <w:t>Catalyst</w:t>
      </w:r>
      <w:r>
        <w:rPr>
          <w:rFonts w:ascii="Times New Roman" w:cs="Times New Roman" w:eastAsia="Times New Roman" w:hAnsi="Times New Roman"/>
          <w:sz w:val="18"/>
          <w:szCs w:val="18"/>
          <w:color w:val="231F20"/>
        </w:rPr>
        <w:t xml:space="preserve"> order – that is, the scope of the orphan-drug exclusivity is limited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The applicable exclusivity period for an orphan drug is ten years in the EU. The EU orphan exclusivity period can be reduced to six years if a drug no longer meets the criteria for orphan drug designation or if the drug is sufficiently profitable so that market exclusivity is no longer justified.</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Rare Pediatric Disease Priority Review Voucher program, a sponsor who receives an approval for a drug or biological product for a rare pediatric disease may qualify for a voucher that can be redeemed to receive priority review for a different product. The sponsor may also transfer or sell the voucher to another sponsor. FDA awards rare pediatric disease priority review vouchers to sponsors of rare pediatric disease products that are approved and meet certain criteria, including a product candidate intended to treat a manifestation of a serious or life-threatening disease or condition in children aged 0 through 18 years of age. The rare pediatric disease priority review program began to sunset on December 20, 2024. The FDA may now only award a voucher for an approved rare pediatric disease product application if the sponsor has rare pediatric disease designation for a drug and that designation was granted before December 20, 2024. After September 30, 2026, the FDA may not award any rare pediatric disease priority review vouchers. There is no guarantee that any of our product candidates will be approved by that date, or at all. We may not obtain a priority review voucher prior to expiration of the program, unless Congress further reauthorizes the program.</w:t>
      </w:r>
    </w:p>
    <w:p>
      <w:pPr>
        <w:spacing w:after="0" w:line="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lead product candidates from our gene therapy platform, TN-201 and TN-401, have each been granted orphan drug designation by the FDA and the EC, and we may seek orphan drug designation for other product candidates in the U.S., Europe and other jurisdictions. TN-201 has also received rare pediatric disease designation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from the FDA for MYBPC3-associated HCM. We may not be able to maintain orphan drug exclusivity for our product candidates and may not realize all the benefits of the orphan drug designation and the rare pediatric disease designation. Receiving these designations does not change FDA’s standards for regulatory approval of our product candidates and may not lead to faster regulatory review of any product candidate or increase the likelihood that any product candidate will receive marketing approval, if at all. We may seek orphan drug designation for other product candidates in the U.S., Europe and other jurisdictions, however, </w:t>
      </w:r>
      <w:r>
        <w:rPr>
          <w:rFonts w:ascii="Times New Roman" w:cs="Times New Roman" w:eastAsia="Times New Roman" w:hAnsi="Times New Roman"/>
          <w:sz w:val="18"/>
          <w:szCs w:val="18"/>
          <w:color w:val="231F20"/>
        </w:rPr>
        <w:t>there can be no assurances that we will be able to obtain orphan drug designation for our other product candidates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We may not be the first to obtain marketing approval of any product candidate for which we have obtained orphan drug designation for the orphan-designated indication, in which case we could be precluded from receiving marketing approval for our product candidate for the applicable exclusivity period. In addition, exclusive marketing rights in the U.S.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difficulties from changes to current FDA and healthcare regulations and future legislation.</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Existing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also cannot predict the likelihood, nature or extent of government regulation that may arise from future legislation or administrative or executive action, either in the U.S.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In June 2024,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under the new leadership at the HHS under the current U.S. presidential administration, agency reorganization, mass layoffs due to the reduction in force initiative and other measures implemented by the Department of Government Efficiency may impact the normal operations of the FDA as well as other federal agencies. FDA may lack adequate staff and resources to meet current review, approval, and inspection schedules, which could delay our anticipated timelines. To the extent the agency reorganization and other agency changes lead to disruptions in FDA’s operations, our correspondence and regulatory review processes with the FDA may be materially delayed.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86"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231F20"/>
        </w:rPr>
        <w:t>The pharmaceutical industry in the U.S. has also been significantly impacted by other major legislative initiatives. Under the American Rescue Plan Act of 2021,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stakeholders, including pharmaceutical companies and the Pharmaceutical Research and Manufacturers of America, have initiated lawsuits against the federal government asserting that the price negotiation provisions of the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If HHS begins to set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future legislative, executive, and administrative actions and any future healthcare measures and agency rules implemented by the current administration on us and the pharmaceutical industry as a whole is unclear. Further, changes to the leadership of federal agencies under the current administration, as well as new policies, executive orders and actions, such as a freeze on hiring, return-to-office policy, and a freeze on implementing new regulations and on external communications, may impact normal operations of the FDA and other agencies or result in a material impact on our clinical development plans and timelines. The implementation of cost containment measures, including the prescription drug provisions under the IRA, as well as other healthcare reforms may prevent us from being able to generate revenue, attain profitability, or commercialize our product candidates if approved.</w:t>
      </w:r>
    </w:p>
    <w:p>
      <w:pPr>
        <w:spacing w:after="0" w:line="9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31F20"/>
        </w:rPr>
        <w:t>Congress of the FDA’s approval process may significantly delay or prevent marketing approval, as well as subject us to more stringent product labeling and post-marketing testing and other requirements.</w:t>
      </w:r>
    </w:p>
    <w:p>
      <w:pPr>
        <w:spacing w:after="0" w:line="158"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 xml:space="preserve">Outside of the U.S., relevant legal requirements continue to evolve. For example, the collection and use of health data and other personal data including personal data collected in clinical trials is governed in the EU by the </w:t>
      </w:r>
      <w:r>
        <w:rPr>
          <w:rFonts w:ascii="Times New Roman" w:cs="Times New Roman" w:eastAsia="Times New Roman" w:hAnsi="Times New Roman"/>
          <w:sz w:val="18"/>
          <w:szCs w:val="18"/>
          <w:color w:val="000000"/>
        </w:rPr>
        <w:t>General Data Protection Regulation (</w:t>
      </w:r>
      <w:r>
        <w:rPr>
          <w:rFonts w:ascii="Times New Roman" w:cs="Times New Roman" w:eastAsia="Times New Roman" w:hAnsi="Times New Roman"/>
          <w:sz w:val="18"/>
          <w:szCs w:val="18"/>
          <w:color w:val="231F20"/>
        </w:rPr>
        <w:t xml:space="preserve">GDPR), which imposes substantial obligations upon companies and new rights for individuals, by certain EU member state-level legislation. </w:t>
      </w:r>
      <w:r>
        <w:rPr>
          <w:rFonts w:ascii="Times New Roman" w:cs="Times New Roman" w:eastAsia="Times New Roman" w:hAnsi="Times New Roman"/>
          <w:sz w:val="18"/>
          <w:szCs w:val="18"/>
          <w:color w:val="000000"/>
        </w:rPr>
        <w:t>The GDPR also forms part of the law of England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Wales, Scotland and Northern Ireland by virtue of section 3 of the European Union (Withdrawal) Act 2018 and as amended by the Data Protection, Privacy and Electronic Communications (Amendments etc.) (EU Exit) Regulations 2019 (SI 2019/419), known as UK GDPR. </w:t>
      </w:r>
      <w:r>
        <w:rPr>
          <w:rFonts w:ascii="Times New Roman" w:cs="Times New Roman" w:eastAsia="Times New Roman" w:hAnsi="Times New Roman"/>
          <w:sz w:val="18"/>
          <w:szCs w:val="18"/>
          <w:color w:val="231F20"/>
        </w:rPr>
        <w:t>Failure to comply with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GDPR or UK GDPR may result in fines up to €20,000,000 </w:t>
      </w:r>
      <w:r>
        <w:rPr>
          <w:rFonts w:ascii="Times New Roman" w:cs="Times New Roman" w:eastAsia="Times New Roman" w:hAnsi="Times New Roman"/>
          <w:sz w:val="18"/>
          <w:szCs w:val="18"/>
          <w:color w:val="000000"/>
        </w:rPr>
        <w:t>(£17.5 million in the UK)</w:t>
      </w:r>
      <w:r>
        <w:rPr>
          <w:rFonts w:ascii="Times New Roman" w:cs="Times New Roman" w:eastAsia="Times New Roman" w:hAnsi="Times New Roman"/>
          <w:sz w:val="18"/>
          <w:szCs w:val="18"/>
          <w:color w:val="231F20"/>
        </w:rPr>
        <w:t xml:space="preserve"> or 4% of the total worldwide annual turnover of the preceding financial year, whichever is higher, and other administrative penalties. The GDPR or UK GDPR have increased our responsibility and liability in relation to personal data that we may process, and we may be required to implement additional measures in an effort to comply with the GDPR and UK GDPR or with other laws, rules, regulations and standards in the EEA, UK and Switzerland relating to privacy and data protection. This may be onerous and if our efforts to comply with GDPR and UK GDPR or other applicable laws, rules, regulations and standards are not successful, or are perceived to be unsuccessful, it could adversely affect our business. Further, restrictions on the transfer of personal data from the EEA, UK, Switzerland or other jurisdictions to the U.S. or other regions,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to the U.S. </w:t>
      </w:r>
      <w:r>
        <w:rPr>
          <w:rFonts w:ascii="Times New Roman" w:cs="Times New Roman" w:eastAsia="Times New Roman" w:hAnsi="Times New Roman"/>
          <w:sz w:val="18"/>
          <w:szCs w:val="18"/>
          <w:color w:val="000000"/>
        </w:rPr>
        <w:t>In Canada, the Personal Information Protection and Electronic Documents Act (PIPEDA)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similar provincial laws impose obligations on companies with respect to processing personal information, including health-related information, regarding Canadian data subjects and provides individuals certain rights with respect to such information, including the right to access and challenge the accuracy of their personal information held by an organization. Failure to comply with PIPEDA, where applicable, could result in fines and penalties</w:t>
      </w:r>
      <w:r>
        <w:rPr>
          <w:rFonts w:ascii="Times New Roman" w:cs="Times New Roman" w:eastAsia="Times New Roman" w:hAnsi="Times New Roman"/>
          <w:sz w:val="18"/>
          <w:szCs w:val="18"/>
          <w:color w:val="231F20"/>
        </w:rPr>
        <w:t>.</w:t>
      </w:r>
    </w:p>
    <w:p>
      <w:pPr>
        <w:spacing w:after="0" w:line="8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In the U.S., a variety of data privacy, protection and security laws, rules, regulations and standards potentially may apply to our activities, such as state data breach notification laws, state personal data privacy laws, for example, the CCPA, state health information privacy laws, and federal and state consumer protection laws. The CCPA requires covered businesses that process personal information of California residents to disclose their data collection, use, sharing and retention practices, provides California residents with data privacy rights (including the ability to opt out of certain disclosures of personal information including for certain advertising purposes), imposes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judgments and settlements). Although there are limited exemptions for clinical trial data under the CCPA and certain other state laws, the CCPA and other new and evolving state laws could impact our business activities, depending on their interpretation. Numerous </w:t>
      </w:r>
      <w:r>
        <w:rPr>
          <w:rFonts w:ascii="Times New Roman" w:cs="Times New Roman" w:eastAsia="Times New Roman" w:hAnsi="Times New Roman"/>
          <w:sz w:val="18"/>
          <w:szCs w:val="18"/>
          <w:color w:val="000000"/>
        </w:rPr>
        <w:t>other states have enacted laws relating to privacy and data security that either are in operation or slated to go into operation over the next several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years. In many cases, these laws are comprehensive privacy laws similar to the CCPA, with potentially greater penalties and more rigorous compliance requirements</w:t>
      </w:r>
      <w:r>
        <w:rPr>
          <w:rFonts w:ascii="Times New Roman" w:cs="Times New Roman" w:eastAsia="Times New Roman" w:hAnsi="Times New Roman"/>
          <w:sz w:val="18"/>
          <w:szCs w:val="18"/>
          <w:color w:val="231F20"/>
        </w:rPr>
        <w:t>. States also are enacting laws addressing specific subject matter, such as Washington’s My Health, My Data Act, which includes a private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right of action. Laws in all 50 states may require businesses to provide notice to individuals whose personal data has been disclosed as a result of a data breach. Finally, federal, state and foreign laws, rules, regulations and standards may apply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generally to the privacy and security of information we maintain, and may differ from each other significantly, thus complicating compliance efforts and potentially requiring us to undertake additional measures to comply with them.</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With the GDPR, PIPEDA, CCPA,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5"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75" w:lineRule="exact"/>
        <w:rPr>
          <w:sz w:val="20"/>
          <w:szCs w:val="20"/>
          <w:color w:val="auto"/>
        </w:rPr>
      </w:pPr>
    </w:p>
    <w:p>
      <w:pPr>
        <w:ind w:left="1020" w:hanging="503"/>
        <w:spacing w:after="0" w:line="261" w:lineRule="auto"/>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231F20"/>
        </w:rPr>
      </w:pPr>
    </w:p>
    <w:p>
      <w:pPr>
        <w:ind w:left="1020" w:right="160" w:hanging="503"/>
        <w:spacing w:after="0" w:line="261" w:lineRule="auto"/>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231F20"/>
        </w:rPr>
      </w:pPr>
    </w:p>
    <w:p>
      <w:pPr>
        <w:ind w:left="1020" w:right="640" w:hanging="503"/>
        <w:spacing w:after="0" w:line="282" w:lineRule="auto"/>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58" w:lineRule="auto"/>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5" w:lineRule="exact"/>
        <w:rPr>
          <w:rFonts w:ascii="Times New Roman" w:cs="Times New Roman" w:eastAsia="Times New Roman" w:hAnsi="Times New Roman"/>
          <w:sz w:val="18"/>
          <w:szCs w:val="18"/>
          <w:color w:val="231F20"/>
        </w:rPr>
      </w:pPr>
    </w:p>
    <w:p>
      <w:pPr>
        <w:ind w:left="1020" w:right="240" w:hanging="503"/>
        <w:spacing w:after="0" w:line="282" w:lineRule="auto"/>
        <w:tabs>
          <w:tab w:leader="none" w:pos="10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HIPAA, as amended by the Health Information Technology for Economic and Clinical Health Act and their implementing regulations, also imposes obligations, including mandatory contractual terms, 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86" w:lineRule="exact"/>
        <w:rPr>
          <w:sz w:val="20"/>
          <w:szCs w:val="20"/>
          <w:color w:val="auto"/>
        </w:rPr>
      </w:pPr>
    </w:p>
    <w:p>
      <w:pPr>
        <w:ind w:left="1020" w:right="180"/>
        <w:spacing w:after="0" w:line="266" w:lineRule="auto"/>
        <w:rPr>
          <w:sz w:val="20"/>
          <w:szCs w:val="20"/>
          <w:color w:val="auto"/>
        </w:rPr>
      </w:pPr>
      <w:r>
        <w:rPr>
          <w:rFonts w:ascii="Times New Roman" w:cs="Times New Roman" w:eastAsia="Times New Roman" w:hAnsi="Times New Roman"/>
          <w:sz w:val="18"/>
          <w:szCs w:val="18"/>
          <w:color w:val="231F20"/>
        </w:rPr>
        <w:t>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68" w:lineRule="exact"/>
        <w:rPr>
          <w:sz w:val="20"/>
          <w:szCs w:val="20"/>
          <w:color w:val="auto"/>
        </w:rPr>
      </w:pPr>
    </w:p>
    <w:p>
      <w:pPr>
        <w:ind w:left="1020" w:right="220" w:hanging="503"/>
        <w:spacing w:after="0" w:line="282"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federal consumer protection and unfair competition laws, which broadly regulate marketplace activities and activities that potentially harm consumers;</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56"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231F20"/>
        </w:rPr>
      </w:pPr>
    </w:p>
    <w:p>
      <w:pPr>
        <w:ind w:left="1020" w:hanging="503"/>
        <w:spacing w:after="0" w:line="254" w:lineRule="auto"/>
        <w:tabs>
          <w:tab w:leader="none" w:pos="10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5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231F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231F20"/>
        </w:rPr>
        <w:t>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2"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activities are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and agents from offering or providing improper payments or benefits to recipients in the public or private sector.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We sometimes leverage third parties to assist with the conduct of our business abroad. As we increase our international business activities, our risks under these laws may increase. We, our employees and agents may have direct or indirect interactions with officials and employees of government agencies or state-owned or affiliated entities and may be held liable for the corrupt or other illegal activities of these employees and agents even if we do not explicitly authorize such activities.</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231F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procedures to address compliance with such laws, we cannot assure you that all of our employees and agents will not take actions in violation of applicable law for which we may be ultimately held responsible.</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U.S. government has made and continues to make significant additional changes in U.S. trade policy and may continue to take future actions that could introduce additional restrictions and negatively impact our business.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tariffs on imports, trade sanctions, other trade restrictions, or a global trade war could increase our costs and materially and adversely affect our business operations and financial condition.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business could be negatively affected by tariffs, trade restrictions, and other governmental protectionist measures, any of which can be imposed suddenly and unpredictably. For example, there is currently significant uncertainty about the future relationship between the United States and various other countries with respect to trade policies, treaties, trade regulations, and tariffs, and such uncertainty could continue under the current U.S. presidential administration. In February 2025, the administration stated its intent to modify U.S. trade policy and, in some cases, to renegotiate, or potentially terminate, certain existing bilateral or multilateral trade agreements. It has also imposed or announced tariffs on certain imports, including a baseline tariff of 10% on virtually all imports and higher tariffs on imports from China. The administration also announced and subsequently paused higher tariffs on additional countries, including countries in the European Union, pending the outcome of trade negotiations. The U.S. Commerce Department has also announced an investigation into potential tariffs on pharmaceuticals, pharmaceutical ingredients, and derivative products, as well as semiconductors and other electronics. These tariffs (and the uncertainty around their implementation) could affect inputs to our products, as well as equipment, materials, or components that we import into the United States from our suppliers, which could significantly impact the cost of these items. Retaliatory tariffs could also negatively affect our ability to export and sell our potential products into those countries. If these tariffs are implemented, reinstated or adjusted, if additional tariffs are placed, or if any related countermeasures are taken by the United States or other countries, our business, financial condition, and results of operations may be materially harmed.</w:t>
      </w:r>
    </w:p>
    <w:p>
      <w:pPr>
        <w:spacing w:after="0" w:line="79"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Trade restrictions, tariffs, and other general economic or political conditions may limit our ability to obtain key materials, components, or equipment for our products or significantly increase supply chain costs and other expenses associated with our business, which could further materially and adversely affect our results of operations, financial condition, and prospects. We may not be able to forecast such impacts accurately. The ultimate impact of</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any tariffs or trade restrictions will depend on various factors, including the timing of implementation and the duration, amount, scope, and nature of the tariffs and trade restrictions. If we are not successful in offsetting the impact of any such tariffs or trade restrictions, our operating results may be adversely affected.</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tariffs are subject to a number of uncertainties as they are implemented, including timing, future adjustments and other changes. The ultimate reaction of other countries and the impact of these tariffs or other actions on the United States, the global economy, and our business, financial condition, and results of operations, cannot be predicted at this time, nor can we predict the impact of any other developments with respect to global trade. Further, the imposition of additional tariffs by the United States could result in the adoption of additional tariffs by other countries, as well as export controls and further retaliatory actions by any affected country. Any resulting trade war could negatively affect the global market for pharmaceuticals and could have a significant adverse effect on our business. These developments may have a material adverse effect on global economic conditions and the stability of global financial markets, and they may significantly reduce global trade. Any of these factors could depress economic activity, restrict our access to potential customers or suppliers, and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tax law could increase the tax burden on our orphan drug programs and adversely affect our business and financial condition.</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Changes in tax law, including to the orphan drug tax credit and other changes to U.S. and non-U.S. taxation, could increase our tax liability and adversely affect our operating results. For example, starting from January 1, 2022, the Tax Cuts and Jobs Act of 2017 requires taxpayers to capitalize domestic research and development costs in the year incurred and amortize such costs rather than deduct such costs in the year incurred. On July 4, 2025, the U.S. federal tax legislation commonly referred to as the One Big Beautiful Bill Act (the OBBB Act) was enacted, which makes a number of changes to U.S. federal income tax law, including permanently suspending the requirement to capitalize and amortize domestic research and development expenditures and permitting such deductions on a current basis. We are currently evaluating the full impact of the OBBB Act on us. These changes could affect our total federal tax liability when and if we become profitable.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Employee Matters, Managing Our Growth and Other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success is highly dependent on our ability to attract and retain highly skilled executive officers and employees.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We are highly dependent on the principal members of our management, our scientific founders and other scientific and clinical advisors and consultants, and our scientific and medical staff. The Workforce Reduction, and any future cost containment initiatives, could have an adverse impact on our ability to retain and recruit qualified personnel.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7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maintain consulting relationships with our scientific founders or if they provide services to our competitors, our development and commercialization efforts will be impaired and our business will be significantly harmed.</w:t>
      </w:r>
    </w:p>
    <w:p>
      <w:pPr>
        <w:spacing w:after="0" w:line="15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 order to successfully implement our long-term plans and strategies, we will need to grow the size of our organization, and we may experience difficulties in managing this growth.</w:t>
      </w:r>
    </w:p>
    <w:p>
      <w:pPr>
        <w:spacing w:after="0" w:line="5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231F20"/>
        </w:rPr>
        <w:t>In order to successfully implement our development and commercialization plans and strategies, we expect to need additional managerial, operational, sales, marketing, financial and other personnel in the future.</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8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231F20"/>
        </w:rPr>
        <w:t>If, subject to the successful clinical development of our product candidates,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1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part of our business, we and our CROs, manufacturers, contractors (including sites performing our clinical trials), consultants and other third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collect, maintain and transmit sensitive data on our networks and systems, including our intellectual property and proprietary and 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color w:val="231F20"/>
        </w:rPr>
        <w:t>usiness information (such as research data and personal information). Despite the implementation of security measures in an effort to protect systems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store our information, given their size and complexity and the increasing amounts of information maintained on our internal information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systems, and those of our third-party CROs, manufacturers, contractors (including sites performing our clinical trials), consultants and other third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such systems are vulnerable to breakdown or other damage or interruption from, among other things, inadvertent or intentional actions by our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contractors, consultants, business partners, and other third parties and cyber-attacks and other hacking attempts by malicious third parties, which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disrupt or compromise our system infrastructure or lead to the loss, destruction, alteration, prevention of access to, disclosure, dissemination of, or damage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or unauthorized access to, our data or other data that we process or maintain or that is processed or maintained on our behalf, or other assets. Although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have not observed material impacts of cyber-attacks on our operations and financial condition </w:t>
      </w:r>
      <w:r>
        <w:rPr>
          <w:rFonts w:ascii="Times New Roman" w:cs="Times New Roman" w:eastAsia="Times New Roman" w:hAnsi="Times New Roman"/>
          <w:sz w:val="18"/>
          <w:szCs w:val="18"/>
          <w:color w:val="000000"/>
        </w:rPr>
        <w:t>to date, we and our third-party service providers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frequently been the target of threats of this nature and we expect these threats and attacks to continue.</w:t>
      </w:r>
    </w:p>
    <w:p>
      <w:pPr>
        <w:spacing w:after="0" w:line="9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231F20"/>
        </w:rPr>
        <w:t>Any disruption or security breach or incident resulting in any loss, destruction, unavailability, alteration, disclosure or dissemination of, or damage or unauthorized access to, our data, or any other data that we maintain or otherwise process or that is maintained or otherwise processed on our behalf, or other assets, or for it to be believed or reported that any of the foregoing occurred, could cause us to incur significant liability, including consequential damages, financial harm and reputational damage and the development and commercialization of our product candidates could be delayed. The loss, corruption, or unavailability of clinical trial data for our product candidates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also could result in delays in our marketing approval efforts and significantly increase our costs to recover or reproduce the data. We cannot ensure that our data protection or cybersecurity efforts and our investment in information technology, or the efforts or investments of CROs, consultants or other third parties, will prevent breakdowns in our or their systems or have prevented, or will prevent, security breaches or incidents, including those that cause loss, destruction, unavailability, alteration, dissemination of, or damage or unauthorized access to, our data, including personal data, or other assets or other data processed or maintained on our behalf. Any such breakdowns, breaches, or incidents, and any resulting impacts, could have a material adverse effect upon our reputation, business, operations and financial condition.</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231F20"/>
        </w:rPr>
        <w:t>We also rely on third parties to support the development and manufacture of our product candidates, and any security breaches or other incidents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cybersecurity practices is limited. Due to applicable laws, rules, regulations and standards or contractual obligations, we may be held responsible for any cyber-attack, security breach or incident or cybersecurity failure attributed to our third-party service providers as relevant to the information they maintain or otherwise process for us. We maintain limited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breaches and other incidents, and we may face increased costs and requirements to expend substantial resources in the event of an actual or perceived security breach or other incident. However, we cannot guarantee that we will be able to detect or prevent any such breaches or incidents, or that we can identify, remediate or otherwise address any such breaches or incidents in an effective or timely manner. Our efforts to improve security and protect data from compromise may also identify previously undiscovered instances of data breaches or other cybersecurity incidents. Any disruption or security breach or incident resulting in any loss, destruction, or alteration of, or damage, unauthorized access to or inappropriate or unauthorized disclosure, dissemination or other processing of, our data, including personal data, or other information maintained or otherwise processed on our behalf, or any belief or reporting of any of these matters having occurred, could expose us to litigation and governmental investigations and inquiries, could lead to delays in the further development and commercialization of our product candidates, and could result in significant fines or penalties for any noncompliance with certain state, federal and international privacy and security laws, rules, regulations and standards.</w:t>
      </w:r>
    </w:p>
    <w:p>
      <w:pPr>
        <w:spacing w:after="0" w:line="1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operations are vulnerable to interruption by fire, earthquakes, power loss, telecommunications failure, terrorist activity, pandemics and other events beyond our control, which could harm our business.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Our facilities are located in the San Francisco Bay Area. We have not undertaken a systematic analysis of the potential consequences to our business and financial results from a major earthquake, flood, blizzard, wildfire,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 variety of risks associated with development and marketing our product candidates internationally, subject to regulatory approval in applicable jurisdictions, could materially adversely affect our business.</w:t>
      </w:r>
    </w:p>
    <w:p>
      <w:pPr>
        <w:spacing w:after="0" w:line="5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We may seek regulatory approval of our product candidates outside of the U.S. and/or work with contractors or partners in foreign jurisdictions, and we expect that we will be subject to additional risks and requirements related to our operations in foreign countries, including:</w:t>
      </w:r>
    </w:p>
    <w:p>
      <w:pPr>
        <w:spacing w:after="0" w:line="5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differing regulatory requirements and reimbursement regimes;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taxes, including withholding of payroll taxes;</w:t>
      </w:r>
    </w:p>
    <w:p>
      <w:pPr>
        <w:spacing w:after="0" w:line="117"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staffing and managing foreign operations;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liability under the FCPA or comparable foreign regulations;</w:t>
      </w:r>
    </w:p>
    <w:p>
      <w:pPr>
        <w:spacing w:after="0" w:line="117" w:lineRule="exact"/>
        <w:rPr>
          <w:rFonts w:ascii="Times New Roman" w:cs="Times New Roman" w:eastAsia="Times New Roman" w:hAnsi="Times New Roman"/>
          <w:sz w:val="18"/>
          <w:szCs w:val="18"/>
          <w:color w:val="231F20"/>
        </w:rPr>
      </w:pPr>
    </w:p>
    <w:p>
      <w:pPr>
        <w:ind w:left="1020" w:right="300" w:hanging="503"/>
        <w:spacing w:after="0" w:line="282" w:lineRule="auto"/>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obtaining, maintaining, protecting, defending and enforcing our contractual and intellectual property rights, especially in those foreign countries that do not respect and protect intellectual property rights to the same extent as the U.S.;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business interruptions resulting from geo-political actions, including war and terrorism.</w:t>
      </w:r>
    </w:p>
    <w:p>
      <w:pPr>
        <w:spacing w:after="0" w:line="117"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231F20"/>
        </w:rPr>
        <w:t>These and other risks associated with our international operations may materially adversely affect our ability to attain or maintain profitable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17"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Our commercial success depends in large part on our ability to obtain, maintain, protect, defend and enforce patents, trade secrets and other intellectual property relating to our product candidates and platforms and to operate without infringing, misappropriating or otherwise violating the intellectual property of others. </w:t>
      </w:r>
      <w:r>
        <w:rPr>
          <w:rFonts w:ascii="Times New Roman" w:cs="Times New Roman" w:eastAsia="Times New Roman" w:hAnsi="Times New Roman"/>
          <w:sz w:val="18"/>
          <w:szCs w:val="18"/>
          <w:color w:val="000000"/>
        </w:rPr>
        <w:t>Additionally, recent reforms and changes at government agencies of the United States and those of non-U.S. jurisdictions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could increase the uncertainties, timing and costs surrounding the prosecution or maintenance of our patent applications, and the maintenance, enforcement, or defense of our issued patents. </w:t>
      </w:r>
      <w:r>
        <w:rPr>
          <w:rFonts w:ascii="Times New Roman" w:cs="Times New Roman" w:eastAsia="Times New Roman" w:hAnsi="Times New Roman"/>
          <w:sz w:val="18"/>
          <w:szCs w:val="18"/>
          <w:color w:val="231F20"/>
        </w:rPr>
        <w:t>We rely on patent, copyright, trade secret and trademark laws in the U.S. and certain other countries to protect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technology, and we generally seek to protect our position by filing patent applications in the U.S. and abroad and by acquiring or in-licensing relevant issued patents or pending applications from third parties. However, these efforts may provide only limited protection. There can be no assurance that we or our licensors will obtain any additional issued patents or that any issued patents we or our licensors obtain will provide us with any competitive advantage.</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Pending patent applications cannot be enforced until issued, and then only to the extent the issued claims cover the product candidate or relevant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designed around or invalidated by third parties.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Even issued patents may later be found invalid or unenforceable, or they may be modified, narrowed in scope, or revoked in proceedings instituted by third parties before various patent offices or in courts in the U.S.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231F20"/>
        </w:rPr>
        <w:t>of operations. Any failure to obtain or maintain patent protection with respect to our technology and product candidates would have a material adverse effect on our business, financial condition, results of operations and prospects.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The patent application process is subject to numerous risks and uncertainties, and there can be no assurance that we or any of our potential future licensors or collaborators will be successful in protecting our product candidates and platforms by obtaining and defending adequate patent coverage. These risks and uncertainties include the following:</w:t>
      </w:r>
    </w:p>
    <w:p>
      <w:pPr>
        <w:spacing w:after="0" w:line="68" w:lineRule="exact"/>
        <w:rPr>
          <w:sz w:val="20"/>
          <w:szCs w:val="20"/>
          <w:color w:val="auto"/>
        </w:rPr>
      </w:pPr>
    </w:p>
    <w:p>
      <w:pPr>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United States Patent and Trademark Office (</w:t>
      </w:r>
      <w:r>
        <w:rPr>
          <w:rFonts w:ascii="Times New Roman" w:cs="Times New Roman" w:eastAsia="Times New Roman" w:hAnsi="Times New Roman"/>
          <w:sz w:val="18"/>
          <w:szCs w:val="18"/>
          <w:color w:val="231F20"/>
        </w:rPr>
        <w:t>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 applications may not result in any patents being issued;</w:t>
      </w:r>
    </w:p>
    <w:p>
      <w:pPr>
        <w:spacing w:after="0" w:line="117"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patents may be challenged, invalidated, modified, revoked, circumvented, found to be unenforceable, narrowed in scope or otherwise may not provide any competitive advantage;</w:t>
      </w:r>
    </w:p>
    <w:p>
      <w:pPr>
        <w:spacing w:after="0" w:line="53" w:lineRule="exact"/>
        <w:rPr>
          <w:rFonts w:ascii="Times New Roman" w:cs="Times New Roman" w:eastAsia="Times New Roman" w:hAnsi="Times New Roman"/>
          <w:sz w:val="18"/>
          <w:szCs w:val="18"/>
          <w:color w:val="231F20"/>
        </w:rPr>
      </w:pPr>
    </w:p>
    <w:p>
      <w:pPr>
        <w:jc w:val="both"/>
        <w:ind w:left="1020" w:right="280" w:hanging="503"/>
        <w:spacing w:after="0" w:line="266"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67" w:lineRule="exact"/>
        <w:rPr>
          <w:rFonts w:ascii="Times New Roman" w:cs="Times New Roman" w:eastAsia="Times New Roman" w:hAnsi="Times New Roman"/>
          <w:sz w:val="18"/>
          <w:szCs w:val="18"/>
          <w:color w:val="231F20"/>
        </w:rPr>
      </w:pPr>
    </w:p>
    <w:p>
      <w:pPr>
        <w:ind w:left="1020" w:right="160" w:hanging="503"/>
        <w:spacing w:after="0" w:line="266"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231F20"/>
        </w:rPr>
      </w:pPr>
    </w:p>
    <w:p>
      <w:pPr>
        <w:ind w:left="1020" w:right="300" w:hanging="503"/>
        <w:spacing w:after="0" w:line="266"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We may be unable to obtain or maintain patent applications and patents due to the subject matter claimed in such patent applications and patents being in disclosures in the public domain. It is also possible that we or our licensors will fail to identify patentable aspects of our research and development output before it is too late to obtain patent protection. Furthermore,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and platforms or which effectively prevent others from commercializing competitive product candidates and technologies or otherwise provide any commercial advantage.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While we believe our intellectual property allows us to pursue our current development programs, we may not be aware of all third-party intellectual property rights potentially relating to our technology and product candidates. We cannot be certain that we were the first to make the inventions claimed in any owned or any licensed patents or pending patent applications, or that we were the first to file for patent protection of such inventions. Publications of discoveries in the scientific literature often lag the actual discoveries, and patent applications in the U.S. and other jurisdictions are typically not published until 18 months after filing or, in some cases, not at all. If a third party can establish that we or our licensors were not the first to make or the first to file for patent protection of such inventions, our owned or licensed patent applications may not issue as patents and even if issued, may be challenged and invalidated.</w:t>
      </w:r>
    </w:p>
    <w:p>
      <w:pPr>
        <w:spacing w:after="0" w:line="8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231F20"/>
        </w:rPr>
        <w:t>The issuance of a patent is not conclusive as to its inventorship, scope, validity or enforceability, and the inventorship, scope, validity or enforceability of our patents, potential future patents or the patents of our licensors that may be challenged in the courts or patent offices in the U.S. and abroad. For example, we may be subject to a third-party pre-issuance submission of prior art, post-grant review or inter partes review at the USPTO, or other similar proceedings including, opposition, derivation, revocation or reexamination proceedings in the U.S. or abroad. A third party may also claim that our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patents, potential future patents or licensed patent rights, allow third parties to commercialize our product candidates and compete directly with us, without payment to us. Such proceedings also may result in substantial cost and require significant time from our scientists, manufacturing staff and management, even if the eventual outcome is favorable to us. In addition, if the breadth or strength of protection provided by our patents, potential future patents and patent applications or the patents and patent applications of our licensors is threatened, regardless of the outcome, it could dissuade companies from collaborating with us to license, develop or commercialize our product candidates.</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commercial success depends significantly on our ability to operate without infringing, misappropriating or otherwise violating the patents and other intellectual property and proprietary rights of third parties.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8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and/or not infringed. However, if such third-party patent rights were asserted against us and found to be valid, enforceable and infringed, we could be liable for damages and be required to obtain a license to such patent rights prior to commercializing TN-201 both within and outside the U.S., and such license may not be available on commercially reasonable terms or at all.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against such assertions, including that such patent rights are invalid and/or not infringed.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7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231F20"/>
        </w:rPr>
        <w:t>As the biotechnology industry expands and more patents are issued, the risk increases that our product candidates may be subject to claims of infringement, misappropriation or other violation of the patent or other intellectual property rights of third parties.</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Although no third party has asserted a claim of patent infringement against us as of the date of this periodic report, there can be no assurance that we will not be subject to claims of patent or other intellectual property infringement in the future. Furthermore, 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 Generative artificial intelligence resources that are publicly available also present a risk that a company may inadvertently obtain, incorporate or use a third party’s intellectual property.</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Third parties may assert patent infringement claims against us directed at any of our product candidates based on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r>
        <w:rPr>
          <w:rFonts w:ascii="Times New Roman" w:cs="Times New Roman" w:eastAsia="Times New Roman" w:hAnsi="Times New Roman"/>
          <w:sz w:val="18"/>
          <w:szCs w:val="18"/>
          <w:color w:val="231F20"/>
        </w:rPr>
        <w:t>.</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or maintaining necessary rights to our product candidates through acquisitions and in-licenses.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our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9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Changes in either the patent laws or in the interpretations of patent laws in the U.S.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potential future patents or in third-party patents.</w:t>
      </w:r>
    </w:p>
    <w:p>
      <w:pPr>
        <w:spacing w:after="0" w:line="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231F20"/>
        </w:rPr>
        <w:t>In addition, the U.S. Congress or other foreign legislative bodies may pass patent reform legislation that is unfavorable to us. Patent reform</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231F20"/>
        </w:rPr>
        <w:t>legislation could increase the uncertainties and costs surrounding the prosecution of patent applications and the enforcement or defense of issued patents.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Furthermore, the U.S. Supreme Court and the U.S. Court of Appeals for the Federal Circuit have made, and will likely continue to make, changes in how patent laws in the U.S. are interpreted. The U.S. Supreme Court has ruled on several patent cases in recent years, either narrowing the scope of patent protection available in certain circumstances or weakening the rights of patent owners in certain situations. </w:t>
      </w:r>
      <w:r>
        <w:rPr>
          <w:rFonts w:ascii="Times New Roman" w:cs="Times New Roman" w:eastAsia="Times New Roman" w:hAnsi="Times New Roman"/>
          <w:sz w:val="18"/>
          <w:szCs w:val="18"/>
          <w:color w:val="000000"/>
        </w:rPr>
        <w:t>For example, the U.S. Supreme Court held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Amgen v. Sanofi (2023) that a functionally claimed genus was invalid for failing to comply with the enablement requirement of the Patent Act. In addition, the U.S. Court of Appeals for the Federal Circuit recently issued a decision involving the interaction of a patent term adjustment, terminal disclaimers, and obvious-type double patenting. This combination of events has created uncertainty with respect to the validity and enforceability of patents, once obtained. </w:t>
      </w:r>
      <w:r>
        <w:rPr>
          <w:rFonts w:ascii="Times New Roman" w:cs="Times New Roman" w:eastAsia="Times New Roman" w:hAnsi="Times New Roman"/>
          <w:sz w:val="18"/>
          <w:szCs w:val="18"/>
          <w:color w:val="231F20"/>
        </w:rPr>
        <w:t xml:space="preserve">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w:t>
      </w:r>
      <w:r>
        <w:rPr>
          <w:rFonts w:ascii="Times New Roman" w:cs="Times New Roman" w:eastAsia="Times New Roman" w:hAnsi="Times New Roman"/>
          <w:sz w:val="18"/>
          <w:szCs w:val="18"/>
          <w:color w:val="000000"/>
        </w:rPr>
        <w:t xml:space="preserve">For example, the IRA passed by Congress authorizes the Secretary of the Department of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whether it will affect our patent strategy in the long run. </w:t>
      </w:r>
      <w:r>
        <w:rPr>
          <w:rFonts w:ascii="Times New Roman" w:cs="Times New Roman" w:eastAsia="Times New Roman" w:hAnsi="Times New Roman"/>
          <w:sz w:val="18"/>
          <w:szCs w:val="18"/>
          <w:color w:val="231F20"/>
        </w:rPr>
        <w:t>The laws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regulations governing patents could change in unpredictable ways that would weaken our ability to obtain new patents or to enforce our existing patent and the patents we might obtain or license in the future.</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challenging the inventorship or ownership of our owned patents, patent applications or in-licensed patent rights and other intellectual property.</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231F20"/>
        </w:rPr>
        <w:t>We or our licensors may be subject to claims that former employees or other third parties have an ownership interest in our owned patents,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product candidates. Litigation may be necessary to defend against these and other claims challenging inventorship or ownership of our patents,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impact our reputation or affect our ability to hire employees or contract with independent contractors.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terms may be inadequate to protect our competitive position on our product candidates for an adequate amount of time.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patent portfolio may not provide us with sufficient rights to exclude others from commercializing products similar or identical to 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do not obtain patent term extension for our product candidates, our business may be materially harmed.</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231F20"/>
        </w:rPr>
        <w:t>Depending upon the timing, duration and specifics of FDA marketing approval of our product candidates, one or more of our U.S. patents or those of our licensors may be eligible for limited patent term restoration under the Hatch-Waxman Amendments. Patent term extension may also be available in certain foreign countries upon regulatory approval of our product candidates.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project or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project or request, our competitors may obtain approval of competing products following our patent expiration, and our revenue could be reduced, possibly materially.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Filing, prosecuting and defending patents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even in jurisdictions where we do pursue patent protection. Consequently, we may not be able to prevent third parties from practicing our or our licensors’ inventions in all countries outside the U.S.,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U.S.</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231F20"/>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and as such, but for proceedings such as an opposition, each European patent would need to be challenged in each individual country.</w:t>
      </w:r>
    </w:p>
    <w:p>
      <w:pPr>
        <w:spacing w:after="0" w:line="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9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Periodic maintenance fees, renewal fees, annuity fees and various other governmental fees on patents and/or patent applications will be due to the USPTO and various foreign patent offices outside of the U.S. at various points over the lifetime of our current, potential future patents and patent applications and those of our licensors.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We intend to use registered or unregistered trademarks or trade names to brand and market ourselves and our products, but we do not yet own a U.S. registered trademark for our corporate name, “Tenaya”.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86"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231F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In addition to seeking patent protection on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that these parties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will not breach such agreements and disclose our proprietary information, including our trade secrets, or that we would be able to obtain adequate remedies for such breaches should they occur. We may not be able to prevent the unauthorized disclosure or use of our trade secrets.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U.S. are less willing or unwilling to protect trade secrets.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Moreover, third parties may still derive similar information independently, and we would have no right to prevent them from using that information to compete with us. We expect know-how and information to be disseminated over time within the industry through independent development, publication of journal articles, and movement of personnel between companies and from academic to industry scientific positions. We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or our employees, consultants, advisors or contractors have wrongfully used or disclosed alleged confidential information or trade secrets.</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confidential or other information proprietary of their former employers or their former or current clients.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spacing w:after="0" w:line="190"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rights to develop and commercialize our technology and product candidates may be subject, in part, to us obtaining licenses from others and the terms and conditions of such licenses. If we fail to comply with our obligations in any agreement under which we license intellectual property rights from third parties, we could lose licensed rights that are important to our business.</w:t>
      </w:r>
    </w:p>
    <w:p>
      <w:pPr>
        <w:spacing w:after="0" w:line="6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We have entered into and may in the future enter into additional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 licensed from third parties, we may still be adversely affected or prejudiced by actions or inactions taken by or on behalf of our licensors prior to the date upon which we assumed control over patent prosecution.</w:t>
      </w:r>
    </w:p>
    <w:p>
      <w:pPr>
        <w:spacing w:after="0" w:line="7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For example, the intellectual property we licensed from the University of Texas, Southwestern (UTSW) is subject to certain non-commercial rights reserved by UTSW.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The agreements under which we license intellectual property or technology from third parties are complex, and certain provisions in such agreements may be susceptible to multiple interpretations. Disputes may arise between us and our current and future licensors. 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179"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have in-licensed, and we may develop, acquire or in-license in the future, certain patents, patent applications or other intellectual property generated using U.S. government funding or grants. Pursuant to the Bayh-Dole Act of 1980, the U.S. government has certain rights in inventions developed with government funding. These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w:t>
      </w:r>
    </w:p>
    <w:p>
      <w:pPr>
        <w:spacing w:after="0" w:line="3" w:lineRule="exact"/>
        <w:rPr>
          <w:sz w:val="20"/>
          <w:szCs w:val="20"/>
          <w:color w:val="auto"/>
        </w:rPr>
      </w:pPr>
    </w:p>
    <w:p>
      <w:pPr>
        <w:ind w:right="20" w:firstLine="8"/>
        <w:spacing w:after="0" w:line="251" w:lineRule="auto"/>
        <w:tabs>
          <w:tab w:leader="none" w:pos="255"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government action is necessary to meet public health or safety needs; or (3) government action is necessary to meet requirements for public use under federal regulations (also referred to as march-in rights). If the U.S. government exercises its march-in rights in our current or future intellectual property rights generated using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U.S. This preference for U.S. industry may limit our ability to contract with non-U.S. product manufacturers for products covered by such intellectual property, and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Dependence on Third Parties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The third parties upon which we rely to conduct our preclinical studies and clinical trials have a significant role in the conduct of such drug development activities and the subsequent collection and analysis of data. These third parties are not our employees, and except for remedies available to us under our agreements with such third parties, we have limited ability to control the amount or timing of resources that any such third party devotes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If we need to enter into alternative arrangements with, or replace or add any third parties, it would involve a transition period, and may require substantial cost and extensive management time and focus. Any of these events may delay our drug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development activities, increase costs, and materially impact our ability to meet our desired clinical development timelines.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Our heavy reliance on these third parties for such drug development activities reduces our control over these activities. As a result, we have less direct control over the conduct, timing and completion of preclinical studies and clinical trials and the management of data developed through such drug development activities than if we were relying entirely upon our own staff. Nevertheless, we are responsible for ensuring that each of our preclinical studies and clinical trials is conducted in accordance with applicable protocol, legal and regulatory requirements and scientific standards, such as GCP and cGMP, and our reliance on third parties does not relieve us of these responsibilities. Regulatory authorities enforce these requirements through periodic inspections of trial sponsors, principal investigators and trial sites. If we or any of our CROs fail to comply with applicable requirements, such as GCP or cGMP,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applicable regulations. Moreover, our business may be implicated if any of these third parties violates federal or state fraud and abuse or false claims laws and regulations or healthcare privacy and security laws.</w:t>
      </w:r>
    </w:p>
    <w:p>
      <w:pPr>
        <w:spacing w:after="0" w:line="8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If these third parties do not successfully carry out their contractual duties, meet expected deadlines or conduct our clinical trials in accordance with regulatory requirements or our stated protocols, we will not be able, or may be delayed in, obtaining marketing approvals for our product candidates or otherwise successfully commercializing our product candidates.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produce and maintain certain of our product candidates. This increases the risk that we will not have sufficient quality and quantities of product candidates or such quantities at an acceptable cost, which could delay, prevent or impair our business.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do not have long-term supply agreements, and we purchase our required drug product on a purchase order basis, which means that aside from any binding purchase orders we may have, our supplier could cease supplying to us or change the terms on which it is willing to continue supplying to us at any time. If we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 Furthermore, any decision by us to change a third-party manufacturer could result in delays in our manufacturing supply chain which could delay or otherwise impact development of our programs and result in increased costs.</w:t>
      </w:r>
    </w:p>
    <w:p>
      <w:pPr>
        <w:spacing w:after="0" w:line="7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231F20"/>
        </w:rPr>
        <w:t>We may be unable to maintain or establish required agreements with third-party manufacturers on acceptable terms. Even if we are able to do so, reliance on third-party manufacturers entails additional risks, including:</w:t>
      </w:r>
    </w:p>
    <w:p>
      <w:pPr>
        <w:spacing w:after="0" w:line="54" w:lineRule="exact"/>
        <w:rPr>
          <w:sz w:val="20"/>
          <w:szCs w:val="20"/>
          <w:color w:val="auto"/>
        </w:rPr>
      </w:pPr>
    </w:p>
    <w:p>
      <w:pPr>
        <w:ind w:left="1020" w:right="320" w:hanging="503"/>
        <w:spacing w:after="0" w:line="266"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6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breach by the third-party contractors of our agreements with them;</w:t>
      </w:r>
    </w:p>
    <w:p>
      <w:pPr>
        <w:spacing w:after="0" w:line="117" w:lineRule="exact"/>
        <w:rPr>
          <w:rFonts w:ascii="Times New Roman" w:cs="Times New Roman" w:eastAsia="Times New Roman" w:hAnsi="Times New Roman"/>
          <w:sz w:val="18"/>
          <w:szCs w:val="18"/>
          <w:color w:val="231F20"/>
        </w:rPr>
      </w:pPr>
    </w:p>
    <w:p>
      <w:pPr>
        <w:ind w:left="1020" w:right="62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failure of third-party contractors to manufacture our product candidates according to our specifications or comply with applicable regulatory requirements, including cGMP;</w:t>
      </w:r>
    </w:p>
    <w:p>
      <w:pPr>
        <w:spacing w:after="0" w:line="53" w:lineRule="exact"/>
        <w:rPr>
          <w:rFonts w:ascii="Times New Roman" w:cs="Times New Roman" w:eastAsia="Times New Roman" w:hAnsi="Times New Roman"/>
          <w:sz w:val="18"/>
          <w:szCs w:val="18"/>
          <w:color w:val="231F20"/>
        </w:rPr>
      </w:pPr>
    </w:p>
    <w:p>
      <w:pPr>
        <w:ind w:left="1020" w:right="52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infringement, misappropriation or other violation of our intellectual property or proprietary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We do not have complete control over all aspects of the manufacturing process of our CDMOs and are dependent on these CDMOs for compliance with cGMP regulations for manufacturing API, drug substance and finished drug products. We are in the process of developing our supply chain for certain of our product candidates and intend to put in place framework agreements under which CDMOs will provide us with necessary quantities of API, drug substance and drug product based on our development needs. As we advance our product candidates through development, we will consider our lack of redundant supply for each of our product candidates to protect against any potential supply disruptions. However, we may be unsuccessful in putting in place such framework agreements or protecting against potential supply disruptions.</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231F20"/>
        </w:rPr>
        <w:t>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Our dependence upon others for the manufacture and ongoing storage and ongoing testing of our product candidates may adversely affect our future profit margins and our ability to commercialize any product candidates that receive marketing approval on a timely and competitive basis.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operating expenses and cash requirements;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assumption of additional indebtedness or contingent liabilities;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issuance of our equity securities;</w:t>
      </w:r>
    </w:p>
    <w:p>
      <w:pPr>
        <w:spacing w:after="0" w:line="117" w:lineRule="exact"/>
        <w:rPr>
          <w:rFonts w:ascii="Times New Roman" w:cs="Times New Roman" w:eastAsia="Times New Roman" w:hAnsi="Times New Roman"/>
          <w:sz w:val="18"/>
          <w:szCs w:val="18"/>
          <w:color w:val="231F20"/>
        </w:rPr>
      </w:pPr>
    </w:p>
    <w:p>
      <w:pPr>
        <w:ind w:left="1020" w:right="16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diversion of our management’s attention from our existing programs and initiatives in pursuing such a strategic partnership or acquisition;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unauthorized use or disclosure of our confidential information accessed in connection with partnership activities;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231F20"/>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and uncertainties associated with the other party to such a transaction, including the prospects of that party and their existing products or product candidates and marketing approvals;</w:t>
      </w:r>
    </w:p>
    <w:p>
      <w:pPr>
        <w:spacing w:after="0" w:line="53"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generate revenue from acquired technology and/or products sufficient to meet our objectives in undertaking the acquisition or even to offset the associated acquisition and maintenance costs;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inability to realize anticipated efficiencies and strategic benefits from such acquisitions or strategic partnerships.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8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5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enter into collaborations with third parties for the development and commercialization of product candidates. If we are not able to establish those collaborations on commercially reasonable terms or those collaborations are not successful, we may not be able to capitalize on the market potential of these product candidates.</w:t>
      </w:r>
    </w:p>
    <w:p>
      <w:pPr>
        <w:spacing w:after="0" w:line="6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We strategically evaluate collaborations and partnerships with biopharmaceutical companies that may have more robust and complementary capabilities and resources to accelerate the development and maximize the availability and potential of our product candidates. The collaboration negotiation process is time-consuming and complex. If and when we seek to enter into collaborations, we may not be able to negotiate collaborations on a timely basis, on acceptable terms, or at all. Whether we reach a definitive agreement for a collaboration will depend, among other things, upon our assessment of the collaborator’s resources and expertise, the terms and conditions of the proposed collaboration and the proposed collaborator’s evaluation of a number of factors regarding our business, the applicable product candidate or technology subject to the collaboration negotiation and the related market potential.</w:t>
      </w:r>
    </w:p>
    <w:p>
      <w:pPr>
        <w:spacing w:after="0" w:line="8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If we are unable to reach a definitive agreement,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2" w:lineRule="exact"/>
        <w:rPr>
          <w:sz w:val="20"/>
          <w:szCs w:val="20"/>
          <w:color w:val="auto"/>
        </w:rPr>
      </w:pPr>
    </w:p>
    <w:p>
      <w:pPr>
        <w:ind w:left="1020" w:right="56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53"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relationship may require us to incur non-recurring and other charges, increase our near- and long-term expenditures, issue securities that dilute our existing stockholders, or disrupt our management and business;</w:t>
      </w:r>
    </w:p>
    <w:p>
      <w:pPr>
        <w:spacing w:after="0" w:line="53" w:lineRule="exact"/>
        <w:rPr>
          <w:rFonts w:ascii="Times New Roman" w:cs="Times New Roman" w:eastAsia="Times New Roman" w:hAnsi="Times New Roman"/>
          <w:sz w:val="18"/>
          <w:szCs w:val="18"/>
          <w:color w:val="231F20"/>
        </w:rPr>
      </w:pPr>
    </w:p>
    <w:p>
      <w:pPr>
        <w:ind w:left="1020" w:right="40" w:hanging="503"/>
        <w:spacing w:after="0" w:line="261"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1" w:lineRule="exact"/>
        <w:rPr>
          <w:rFonts w:ascii="Times New Roman" w:cs="Times New Roman" w:eastAsia="Times New Roman" w:hAnsi="Times New Roman"/>
          <w:sz w:val="18"/>
          <w:szCs w:val="18"/>
          <w:color w:val="231F20"/>
        </w:rPr>
      </w:pPr>
    </w:p>
    <w:p>
      <w:pPr>
        <w:ind w:left="1020" w:right="44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231F20"/>
        </w:rPr>
      </w:pPr>
    </w:p>
    <w:p>
      <w:pPr>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231F20"/>
        </w:rPr>
      </w:pPr>
    </w:p>
    <w:p>
      <w:pPr>
        <w:ind w:left="1020" w:right="720" w:hanging="503"/>
        <w:spacing w:after="0" w:line="282" w:lineRule="auto"/>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 with marketing and distribution rights to multiple products may not commit sufficient resources to the marketing and distribution of our product relative to other products;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grant exclusive rights to our collaborators that would prevent us from collaborating with others;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86" w:lineRule="exact"/>
        <w:rPr>
          <w:sz w:val="20"/>
          <w:szCs w:val="20"/>
          <w:color w:val="auto"/>
        </w:rPr>
      </w:pPr>
    </w:p>
    <w:p>
      <w:pPr>
        <w:ind w:left="1020" w:right="80" w:hanging="503"/>
        <w:spacing w:after="0" w:line="261" w:lineRule="auto"/>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71" w:lineRule="exact"/>
        <w:rPr>
          <w:rFonts w:ascii="Times New Roman" w:cs="Times New Roman" w:eastAsia="Times New Roman" w:hAnsi="Times New Roman"/>
          <w:sz w:val="18"/>
          <w:szCs w:val="18"/>
          <w:color w:val="231F20"/>
        </w:rPr>
      </w:pPr>
    </w:p>
    <w:p>
      <w:pPr>
        <w:ind w:left="1020" w:right="60" w:hanging="503"/>
        <w:spacing w:after="0" w:line="282" w:lineRule="auto"/>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231F20"/>
        </w:rPr>
      </w:pPr>
    </w:p>
    <w:p>
      <w:pPr>
        <w:ind w:left="1020" w:right="1000" w:hanging="503"/>
        <w:spacing w:after="0" w:line="282" w:lineRule="auto"/>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collaborations may be terminated and, if terminated, may result in a need for additional capital to pursue further development or commercialization of the applicable product candidates;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 agreements may not lead to development or commercialization of product candidates in the most efficient manner or at all;</w:t>
      </w:r>
    </w:p>
    <w:p>
      <w:pPr>
        <w:spacing w:after="0" w:line="117" w:lineRule="exact"/>
        <w:rPr>
          <w:rFonts w:ascii="Times New Roman" w:cs="Times New Roman" w:eastAsia="Times New Roman" w:hAnsi="Times New Roman"/>
          <w:sz w:val="18"/>
          <w:szCs w:val="18"/>
          <w:color w:val="231F20"/>
        </w:rPr>
      </w:pPr>
    </w:p>
    <w:p>
      <w:pPr>
        <w:jc w:val="both"/>
        <w:ind w:left="1020" w:right="60" w:hanging="503"/>
        <w:spacing w:after="0" w:line="266" w:lineRule="auto"/>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67"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53" w:lineRule="exact"/>
        <w:rPr>
          <w:rFonts w:ascii="Times New Roman" w:cs="Times New Roman" w:eastAsia="Times New Roman" w:hAnsi="Times New Roman"/>
          <w:sz w:val="18"/>
          <w:szCs w:val="18"/>
          <w:color w:val="231F20"/>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collaborator’s sales and marketing activities or other operations may not be in compliance with applicable laws resulting in civil or criminal proceedings.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If an agreement with a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5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231F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There are risks involved with both establishing our own commercial capabilities and entering into arrangements with third parties to perform these services. If the commercial launch of a product candidate for which we recruit a sales force and establish marketing and other commercialization capabilities is delayed or does not occur, we would have prematurely or unnecessarily incurred these commercialization expenses. This may be costly, and our investment would be lost if we cannot retain or reposition our commercialization personnel.</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0" w:lineRule="exact"/>
        <w:rPr>
          <w:sz w:val="20"/>
          <w:szCs w:val="20"/>
          <w:color w:val="auto"/>
        </w:rPr>
      </w:pPr>
    </w:p>
    <w:p>
      <w:pPr>
        <w:ind w:right="5100"/>
        <w:spacing w:after="0" w:line="377" w:lineRule="auto"/>
        <w:rPr>
          <w:sz w:val="20"/>
          <w:szCs w:val="20"/>
          <w:color w:val="auto"/>
        </w:rPr>
      </w:pPr>
      <w:r>
        <w:rPr>
          <w:rFonts w:ascii="Times New Roman" w:cs="Times New Roman" w:eastAsia="Times New Roman" w:hAnsi="Times New Roman"/>
          <w:sz w:val="18"/>
          <w:szCs w:val="18"/>
          <w:b w:val="1"/>
          <w:bCs w:val="1"/>
          <w:color w:val="231F20"/>
        </w:rPr>
        <w:t xml:space="preserve">Risks Related to the Securities Market and Ownership of Our Common Stock </w:t>
      </w:r>
      <w:r>
        <w:rPr>
          <w:rFonts w:ascii="Times New Roman" w:cs="Times New Roman" w:eastAsia="Times New Roman" w:hAnsi="Times New Roman"/>
          <w:sz w:val="18"/>
          <w:szCs w:val="18"/>
          <w:b w:val="1"/>
          <w:bCs w:val="1"/>
          <w:i w:val="1"/>
          <w:iCs w:val="1"/>
          <w:color w:val="231F20"/>
        </w:rPr>
        <w:t>The price of our stock is volatile, and you could lose all or part of your investment.</w:t>
      </w:r>
    </w:p>
    <w:p>
      <w:pPr>
        <w:spacing w:after="0" w:line="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75"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achievement of our research, clinical, regulatory and other milestones for our product candidates;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results of preclinical studies and clinical trials of our product candidates, those conducted by third parties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success of competitive products or announcements by potential competitors of their product development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actions with respect to our product candidates or those of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our growth rate relative to our competitors;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or legal developments in the U.S. and other countries;</w:t>
      </w:r>
    </w:p>
    <w:p>
      <w:pPr>
        <w:spacing w:after="0" w:line="117" w:lineRule="exact"/>
        <w:rPr>
          <w:rFonts w:ascii="Times New Roman" w:cs="Times New Roman" w:eastAsia="Times New Roman" w:hAnsi="Times New Roman"/>
          <w:sz w:val="18"/>
          <w:szCs w:val="18"/>
          <w:color w:val="231F20"/>
        </w:rPr>
      </w:pPr>
    </w:p>
    <w:p>
      <w:pPr>
        <w:ind w:left="1020" w:right="420" w:hanging="503"/>
        <w:spacing w:after="0" w:line="282" w:lineRule="auto"/>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litigation, including developments or disputes concerning patent applications, issued patents or other intellectual property or proprietary rights;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recruitment or departure of key personnel;</w:t>
      </w:r>
    </w:p>
    <w:p>
      <w:pPr>
        <w:spacing w:after="0" w:line="117" w:lineRule="exact"/>
        <w:rPr>
          <w:rFonts w:ascii="Times New Roman" w:cs="Times New Roman" w:eastAsia="Times New Roman" w:hAnsi="Times New Roman"/>
          <w:sz w:val="18"/>
          <w:szCs w:val="18"/>
          <w:color w:val="231F20"/>
        </w:rPr>
      </w:pPr>
    </w:p>
    <w:p>
      <w:pPr>
        <w:ind w:left="1020" w:right="700" w:hanging="503"/>
        <w:spacing w:after="0" w:line="282" w:lineRule="auto"/>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231F20"/>
        </w:rPr>
      </w:pPr>
    </w:p>
    <w:p>
      <w:pPr>
        <w:ind w:left="1020" w:right="260" w:hanging="503"/>
        <w:spacing w:after="0" w:line="282" w:lineRule="auto"/>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estimates as to financial results, development timelines or coverage and/or recommendations by securities analysts;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conditions in the pharmaceutical and biotechnology sector;</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structure of healthcare payment systems;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 or expectation of additional financing efforts;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sales of our common stock by us, our insiders or our other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expiration of market stand-off or lock-up agreements;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any natural disasters or public health emergencies, such as the COVID-19 pandemic;</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interest rates and inflation rates;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economic, political, industry and market conditions.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regain compliance with or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continued listing standards of the Nasdaq Global Select Market require, among other things, that the minimum price of a listed company’s stock be at or above $1.00. On April 15, 2025, we received a letter from the Staff of Nasdaq indicating that, based upon the closing bid price of shares of our common stock for the 30 consecutive business day period between March 3, 2025, through April 12, 2025, the Company did not meet the minimum bid price of $1.00 per share required for continued listing on the Nasdaq Global Select Market pursuant to Nasdaq Listing Rule 5450(a)(1). In accordance with Nasdaq’s listing rules, we have been afforded 180 calendar days to regain compliance with the bid price requirement. In order to regain compliance, the bid price of our common stock must close at a price of at least $1.00 per share for a minimum of 10 consecutive trading days within the 180-day grace period. In the event we do not regain compliance by the end of the Compliance Period, we may be eligible for additional time to regain compliance (the Second Compliance Period) pursuant to Nasdaq Listing Rule 5810(c)(3)(A)(i) by transferring to the Nasdaq Capital Market. To qualify for the Second Compliance Period, we would need to submit a transfer application and pay an application fee. In addition, we would be required to meet the continued listing requirement for the market value of its publicly held shares and all other initial listing standards for Nasdaq, with the exception of the bid price requirement, and will need to provide written notice of its intention to cure the deficiency during the Second Compliance Period, by effecting a reverse stock split, if necessary. There can be no assurance that we will be eligible for the Second Compliance Period, if applicable, or that the Staff would grant our request for continued listing subsequent to any delisting notification and there can be no assurance that we will be able to regain or maintain compliance with the minimum bid price requirement or any other Nasdaq listing standards, if applicable.</w:t>
      </w:r>
    </w:p>
    <w:p>
      <w:pPr>
        <w:spacing w:after="0" w:line="89"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If we fail to regain compliance, our common stock will be subject to delisting.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Our quarterly and annual operating results may fluctuate significantly in the future due to a variety of factors, many of which are outside of our control and may be difficult to predict. 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As of June 30, 2025, our executive officers, directors, holders of 5% or more of our capital stock and their respective affiliates beneficially owned approximately 31% of our common stock. These stockholders, acting together, may be able to control matters requiring stockholder approval. For example, they may be able to control elections of directors, amendments of our organizational documents or approval of any merger or other major corporate transactions. This concentration of ownership may delay, discourage or prevent a change of control, including unsolicited acquisition proposals or offers for our common stock that you may feel are in your best interest as a stockholder, entrench our management and board of directors or delay or prevent a merger,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and might affect the prevailing market price for our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2" w:name="page83"/>
    <w:bookmarkEnd w:id="8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of a substantial number of shares of our common stock in the public market could cause our stock price to fall.</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Sales of a substantial number of shares of our common stock in the public market could occur at any time. For example, we filed a shelf registration statement on Form S-3 that became effective on August 17, 2022, which allows us to undertake various equity and debt offerings up to $300.0 million (the 2022 Shelf Registration), and as of December 31, 2024, we have sold 34,854,373 shares of our common stock and pre-funded warrants to purchase 8,458,964 shares of our common stock pursuant to the 2022 Shelf Registration</w:t>
      </w:r>
      <w:r>
        <w:rPr>
          <w:rFonts w:ascii="Times New Roman" w:cs="Times New Roman" w:eastAsia="Times New Roman" w:hAnsi="Times New Roman"/>
          <w:sz w:val="18"/>
          <w:szCs w:val="18"/>
          <w:color w:val="000000"/>
        </w:rPr>
        <w:t>. In January 2025, we sold 822,566 shares of our common stock under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"at-the-market" (ATM) offering. Pursuant to the Sales Agreement On March 5, 2025, we completed an underwritten public offering of 75,000,000 units, with each unit consisting of one share of our common stock, a warrant to purchase one share of common stock, and a warrant to purchase one-half share of common stock, pursuant to the 2022 Shelf Registration. In addition, on March 21, 2025, we filed a new shelf registration statement on Form S-3 that became effective on March 31, 2025</w:t>
      </w:r>
      <w:r>
        <w:rPr>
          <w:rFonts w:ascii="Times New Roman" w:cs="Times New Roman" w:eastAsia="Times New Roman" w:hAnsi="Times New Roman"/>
          <w:sz w:val="18"/>
          <w:szCs w:val="18"/>
          <w:color w:val="231F20"/>
        </w:rPr>
        <w:t>, which will allow us to undertake various equity and debt offerings up to $300.0 million (including approximately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$23.7 million of unsold securities under the 2022 Shelf Registration)</w:t>
      </w:r>
      <w:r>
        <w:rPr>
          <w:rFonts w:ascii="Times New Roman" w:cs="Times New Roman" w:eastAsia="Times New Roman" w:hAnsi="Times New Roman"/>
          <w:sz w:val="18"/>
          <w:szCs w:val="18"/>
          <w:color w:val="000000"/>
        </w:rPr>
        <w:t>.</w:t>
      </w:r>
    </w:p>
    <w:p>
      <w:pPr>
        <w:spacing w:after="0" w:line="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Moreover, c</w:t>
      </w:r>
      <w:r>
        <w:rPr>
          <w:rFonts w:ascii="Times New Roman" w:cs="Times New Roman" w:eastAsia="Times New Roman" w:hAnsi="Times New Roman"/>
          <w:sz w:val="18"/>
          <w:szCs w:val="18"/>
          <w:color w:val="000000"/>
        </w:rPr>
        <w:t>ertain holders of our common stock have rights, subject to certain conditions, to require us to file registration statements covering their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will incur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231F20"/>
        </w:rPr>
        <w:t>As a public company, we are subject to the reporting requirements of the Exchange Act, the Sarbanes-Oxley Act, the Dodd-Frank Wall Street Reform and Protection Act, as well as rules adopted, and to be adopted, by the SEC and the Nasdaq. As a result of our initiatives to comply with such regulatory requirements, we incur significant legal, accounting and other expenses which may increase after we are no longer an “emerging growth company.” Moreover, our management and other personnel need to devote a substantial amount of time to these compliance initiatives.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In particular, as a public company we are required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unless we continue to qualify as a “smaller reporting company” at such time. To achieve compliance with Section 404 within the prescribed periods, we engage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deadlines imposed by the Sarbanes-Oxley Act.</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subject to securities litigation, which is expensive and could divert management attention.</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The market price of our common stock has been and may continue to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in our certificate of incorporation and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75"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 classified board of directors so that not all members of our board are elected at one time;</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permit only the board of directors to establish the number of directors and fill vacancies on the board;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that directors may only be removed “for cause”;</w:t>
      </w:r>
    </w:p>
    <w:p>
      <w:pPr>
        <w:spacing w:after="0" w:line="117" w:lineRule="exact"/>
        <w:rPr>
          <w:rFonts w:ascii="Times New Roman" w:cs="Times New Roman" w:eastAsia="Times New Roman" w:hAnsi="Times New Roman"/>
          <w:sz w:val="18"/>
          <w:szCs w:val="18"/>
          <w:color w:val="231F20"/>
        </w:rPr>
      </w:pPr>
    </w:p>
    <w:p>
      <w:pPr>
        <w:ind w:left="1020" w:right="38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the issuance of “blank check” preferred stock that our board could use to implement a stockholder rights plan (also known as a poison pill);</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cumulative voting;</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our board of directors to amend the bylaws;</w:t>
      </w:r>
    </w:p>
    <w:p>
      <w:pPr>
        <w:spacing w:after="0" w:line="117" w:lineRule="exact"/>
        <w:rPr>
          <w:rFonts w:ascii="Times New Roman" w:cs="Times New Roman" w:eastAsia="Times New Roman" w:hAnsi="Times New Roman"/>
          <w:sz w:val="18"/>
          <w:szCs w:val="18"/>
          <w:color w:val="231F20"/>
        </w:rPr>
      </w:pPr>
    </w:p>
    <w:p>
      <w:pPr>
        <w:ind w:left="1020" w:right="840" w:hanging="503"/>
        <w:spacing w:after="0" w:line="282" w:lineRule="auto"/>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advance notice requirements for nominations for election to our board or for proposing matters that can be acted upon by stockholders at annual stockholder meetings;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 a super-majority vote of stockholders to amend or repeal specified provisions of our certificate of incorporation and bylaws.</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or certain other conditions are met.</w:t>
      </w:r>
    </w:p>
    <w:p>
      <w:pPr>
        <w:spacing w:after="0" w:line="7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231F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bylaws provide that the Court of Chancery of the State of Delaware and the federal district courts of the United States of America are the exclusive forums for substantially all disputes between us and our stockholders,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which could limit our stockholders’ ability to obtain a favorable judicial forum for disputes with us or our directors, officers or employees.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5"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derivative action or proceeding brought on our behalf;</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of breach of fiduciary duty;</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arising under the DGCL, our certificate of incorporation or our bylaws;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action asserting a claim against us that is governed by the internal-affairs doctrine.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This provision would not apply to suits brought to enforce a duty or liability created by the Exchange Act or any other claim for which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federal courts have exclusive jurisdiction.</w:t>
      </w:r>
    </w:p>
    <w:p>
      <w:pPr>
        <w:spacing w:after="0" w:line="9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Our bylaws further provide that the federal district courts of the United States of America will be the exclusive forum for resolving any complaint asserting a cause of action arising under the Securities Act.</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had no sales of unregistered equity securities during the period covered by this report that were not previously reported in a Quarterly Report on Form 10-Q or a Current Report on Form 8-K.</w:t>
      </w:r>
    </w:p>
    <w:p>
      <w:pPr>
        <w:spacing w:after="0" w:line="158" w:lineRule="exact"/>
        <w:rPr>
          <w:sz w:val="20"/>
          <w:szCs w:val="20"/>
          <w:color w:val="auto"/>
        </w:rPr>
      </w:pPr>
    </w:p>
    <w:p>
      <w:pPr>
        <w:ind w:left="520" w:right="6380" w:hanging="512"/>
        <w:spacing w:after="0" w:line="412" w:lineRule="auto"/>
        <w:tabs>
          <w:tab w:leader="none" w:pos="5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45" w:lineRule="exact"/>
        <w:rPr>
          <w:rFonts w:ascii="Times New Roman" w:cs="Times New Roman" w:eastAsia="Times New Roman" w:hAnsi="Times New Roman"/>
          <w:sz w:val="18"/>
          <w:szCs w:val="18"/>
          <w:b w:val="1"/>
          <w:bCs w:val="1"/>
          <w:color w:val="auto"/>
        </w:rPr>
      </w:pPr>
    </w:p>
    <w:p>
      <w:pPr>
        <w:ind w:left="520" w:right="7840" w:hanging="512"/>
        <w:spacing w:after="0" w:line="412" w:lineRule="auto"/>
        <w:tabs>
          <w:tab w:leader="none" w:pos="5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5" w:name="page86"/>
    <w:bookmarkEnd w:id="8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 director or officer, as defined in Rule 16a-1(f), adopted or terminated a “Rule 10b5-1 trading arrangement” or a “non-Rule 10b5-1 trading arrangement,” each as defined in Regulation S-K Item 408.</w:t>
      </w: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440" w:right="1219" w:bottom="1440" w:gutter="0" w:footer="0" w:header="0"/>
        </w:sectPr>
      </w:pPr>
    </w:p>
    <w:bookmarkStart w:id="86" w:name="page87"/>
    <w:bookmarkEnd w:id="86"/>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02"/>
        </w:trPr>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4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w:t>
            </w:r>
          </w:p>
        </w:tc>
      </w:tr>
      <w:tr>
        <w:trPr>
          <w:trHeight w:val="238"/>
        </w:trPr>
        <w:tc>
          <w:tcPr>
            <w:tcW w:w="13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800" w:type="dxa"/>
            <w:vAlign w:val="bottom"/>
            <w:gridSpan w:val="10"/>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Composite Amended and Restated Certificate of</w:t>
              </w:r>
            </w:hyperlink>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001-40656</w:t>
            </w:r>
          </w:p>
        </w:tc>
        <w:tc>
          <w:tcPr>
            <w:tcW w:w="1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3.1</w:t>
            </w: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8-9-2023</w:t>
            </w: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0"/>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Incorporation of Tenaya Therapeutics, Inc., as</w:t>
              </w:r>
            </w:hyperlink>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0"/>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amended</w:t>
              </w:r>
            </w:hyperlink>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800" w:type="dxa"/>
            <w:vAlign w:val="bottom"/>
            <w:gridSpan w:val="10"/>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Amended and Restated Bylaws of Tenaya</w:t>
              </w:r>
            </w:hyperlink>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001-40656</w:t>
            </w:r>
          </w:p>
        </w:tc>
        <w:tc>
          <w:tcPr>
            <w:tcW w:w="1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3.1</w:t>
            </w: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3-21-2023</w:t>
            </w:r>
          </w:p>
        </w:tc>
      </w:tr>
      <w:tr>
        <w:trPr>
          <w:trHeight w:val="20"/>
        </w:trPr>
        <w:tc>
          <w:tcPr>
            <w:tcW w:w="1360" w:type="dxa"/>
            <w:vAlign w:val="bottom"/>
          </w:tcPr>
          <w:p>
            <w:pPr>
              <w:spacing w:after="0" w:line="20" w:lineRule="exact"/>
              <w:rPr>
                <w:sz w:val="1"/>
                <w:szCs w:val="1"/>
                <w:color w:val="auto"/>
              </w:rPr>
            </w:pPr>
          </w:p>
        </w:tc>
        <w:tc>
          <w:tcPr>
            <w:tcW w:w="130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0"/>
          </w:tcPr>
          <w:p>
            <w:pPr>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Therapeutics, Inc.</w:t>
              </w:r>
            </w:hyperlink>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8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Rules 13a-</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14(a) and 15d-14(a) under the Securities Exchange</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Adopted Pursuant to Section 302 of</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3"/>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8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580" w:type="dxa"/>
            <w:vAlign w:val="bottom"/>
            <w:gridSpan w:val="7"/>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3800" w:type="dxa"/>
            <w:vAlign w:val="bottom"/>
            <w:gridSpan w:val="10"/>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3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3"/>
            <w:shd w:val="clear" w:color="auto" w:fill="0000FF"/>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9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Document–the instance</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1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File as its XBRL tags are embedded within the</w:t>
            </w:r>
          </w:p>
        </w:tc>
        <w:tc>
          <w:tcPr>
            <w:tcW w:w="1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3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1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1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Cover page formatted as Inline XBRL and contained</w:t>
            </w:r>
          </w:p>
        </w:tc>
        <w:tc>
          <w:tcPr>
            <w:tcW w:w="1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1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jc w:val="both"/>
        <w:ind w:right="40" w:firstLine="8"/>
        <w:spacing w:after="0" w:line="261" w:lineRule="auto"/>
        <w:tabs>
          <w:tab w:leader="none" w:pos="1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Tenaya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Faraz Ali, M.B.A.</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Faraz Ali, M.B.A.</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Interim Principal Financial Officer)</w:t>
            </w:r>
          </w:p>
        </w:tc>
      </w:tr>
      <w:tr>
        <w:trPr>
          <w:trHeight w:val="864"/>
        </w:trPr>
        <w:tc>
          <w:tcPr>
            <w:tcW w:w="3540" w:type="dxa"/>
            <w:vAlign w:val="bottom"/>
          </w:tcPr>
          <w:p>
            <w:pPr>
              <w:spacing w:after="0"/>
              <w:rPr>
                <w:sz w:val="24"/>
                <w:szCs w:val="24"/>
                <w:color w:val="auto"/>
              </w:rPr>
            </w:pPr>
          </w:p>
        </w:tc>
        <w:tc>
          <w:tcPr>
            <w:tcW w:w="2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88</w:t>
            </w:r>
          </w:p>
        </w:tc>
        <w:tc>
          <w:tcPr>
            <w:tcW w:w="528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Faraz Ali, M.B.A., certify that:</w:t>
      </w:r>
    </w:p>
    <w:p>
      <w:pPr>
        <w:spacing w:after="0" w:line="225" w:lineRule="exact"/>
        <w:rPr>
          <w:sz w:val="20"/>
          <w:szCs w:val="20"/>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Tenaya Therapeutics,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760" w:right="280" w:hanging="378"/>
        <w:spacing w:after="0" w:line="266"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18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Faraz Ali, M.B.A.</w:t>
            </w:r>
          </w:p>
        </w:tc>
      </w:tr>
      <w:tr>
        <w:trPr>
          <w:trHeight w:val="191"/>
        </w:trPr>
        <w:tc>
          <w:tcPr>
            <w:tcW w:w="6780" w:type="dxa"/>
            <w:vAlign w:val="bottom"/>
          </w:tcPr>
          <w:p>
            <w:pPr>
              <w:ind w:left="6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Faraz Ali, M.B.A.</w:t>
            </w:r>
          </w:p>
        </w:tc>
      </w:tr>
      <w:tr>
        <w:trPr>
          <w:trHeight w:val="214"/>
        </w:trPr>
        <w:tc>
          <w:tcPr>
            <w:tcW w:w="6780" w:type="dxa"/>
            <w:vAlign w:val="bottom"/>
          </w:tcPr>
          <w:p>
            <w:pPr>
              <w:ind w:left="60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678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w:t>
            </w:r>
          </w:p>
        </w:tc>
      </w:tr>
      <w:tr>
        <w:trPr>
          <w:trHeight w:val="236"/>
        </w:trPr>
        <w:tc>
          <w:tcPr>
            <w:tcW w:w="678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Financial Officer)</w:t>
            </w:r>
          </w:p>
        </w:tc>
      </w:tr>
      <w:tr>
        <w:trPr>
          <w:trHeight w:val="722"/>
        </w:trPr>
        <w:tc>
          <w:tcPr>
            <w:tcW w:w="67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89" w:name="page90"/>
    <w:bookmarkEnd w:id="8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 AND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Faraz Ali, M.B.A., certify, pursuant to 18 U.S.C. Section 1350 as adopted pursuant to Section 906 of the Sarbanes-Oxley Act of 2002, that, (1) the Quarterly Report on Form 10-Q of Tenaya Therapeutics, Inc. (the “Company”) for the quarterly period ended June 30, 2025,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1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Faraz Ali, M.B.A.</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 Financial</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1381760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2"/>
    </w:lvl>
  </w:abstractNum>
  <w:abstractNum w:abstractNumId="6">
    <w:nsid w:val="189A769B"/>
    <w:multiLevelType w:val="hybridMultilevel"/>
    <w:lvl w:ilvl="0">
      <w:lvlJc w:val="left"/>
      <w:lvlText w:val="%1."/>
      <w:numFmt w:val="decimal"/>
      <w:start w:val="4"/>
    </w:lvl>
  </w:abstractNum>
  <w:abstractNum w:abstractNumId="7">
    <w:nsid w:val="54E49EB4"/>
    <w:multiLevelType w:val="hybridMultilevel"/>
    <w:lvl w:ilvl="0">
      <w:lvlJc w:val="left"/>
      <w:lvlText w:val="%1."/>
      <w:numFmt w:val="decimal"/>
      <w:start w:val="5"/>
    </w:lvl>
  </w:abstractNum>
  <w:abstractNum w:abstractNumId="8">
    <w:nsid w:val="71F32454"/>
    <w:multiLevelType w:val="hybridMultilevel"/>
    <w:lvl w:ilvl="0">
      <w:lvlJc w:val="left"/>
      <w:lvlText w:val="%1."/>
      <w:numFmt w:val="decimal"/>
      <w:start w:val="6"/>
    </w:lvl>
  </w:abstractNum>
  <w:abstractNum w:abstractNumId="9">
    <w:nsid w:val="2CA88611"/>
    <w:multiLevelType w:val="hybridMultilevel"/>
    <w:lvl w:ilvl="0">
      <w:lvlJc w:val="left"/>
      <w:lvlText w:val="%1."/>
      <w:numFmt w:val="decimal"/>
      <w:start w:val="7"/>
    </w:lvl>
  </w:abstractNum>
  <w:abstractNum w:abstractNumId="10">
    <w:nsid w:val="836C40E"/>
    <w:multiLevelType w:val="hybridMultilevel"/>
    <w:lvl w:ilvl="0">
      <w:lvlJc w:val="left"/>
      <w:lvlText w:val="%1."/>
      <w:numFmt w:val="decimal"/>
      <w:start w:val="8"/>
    </w:lvl>
  </w:abstractNum>
  <w:abstractNum w:abstractNumId="11">
    <w:nsid w:val="2901D82"/>
    <w:multiLevelType w:val="hybridMultilevel"/>
    <w:lvl w:ilvl="0">
      <w:lvlJc w:val="left"/>
      <w:lvlText w:val="%1."/>
      <w:numFmt w:val="decimal"/>
      <w:start w:val="9"/>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decimal"/>
      <w:start w:val="2"/>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lowerLetter"/>
      <w:start w:val="2"/>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74" Type="http://schemas.openxmlformats.org/officeDocument/2006/relationships/hyperlink" Target="https://www.sec.gov/Archives/edgar/data/1858848/000095017023040651/tnya-ex3_1.htm" TargetMode="External"/><Relationship Id="rId275" Type="http://schemas.openxmlformats.org/officeDocument/2006/relationships/hyperlink" Target="https://www.sec.gov/Archives/edgar/data/1858848/000095017023008934/tnya-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2025-08-06T15:59:42Z</dcterms:created>
  <dcterms:modified xsi:type="dcterms:W3CDTF">2025-08-06T15:59:42Z</dcterms:modified>
</cp:coreProperties>
</file>