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87990A106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Woodline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901" w:orient="portrait"/>
          <w:cols w:equalWidth="0" w:num="2">
            <w:col w:w="1100" w:space="60"/>
            <w:col w:w="9960"/>
          </w:cols>
          <w:pgMar w:left="320" w:top="166" w:right="459" w:bottom="0" w:gutter="0" w:footer="0" w:header="0"/>
        </w:sectPr>
      </w:pPr>
    </w:p>
    <w:p>
      <w:pPr>
        <w:spacing w:after="0" w:line="7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of Common Stock (as defined in Item 2(a)) reported herein are issuable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upon exercise of warrants. As more fully described in Item 4, the reported warrants are subject to the 4.99% Blocker (as defined in Item 4) and the percentage set forth on row (11) gives effect to the 4.99% Blocker. However, rows (5), (7) and (9) show the number of shares of Common Stock that would be issuable upon the full exercise of the reported warrants and does not give effect to the 4.99% Blocker. Therefore, the actual number of shares of Common Stock beneficially owned by such Reporting Person, after giving effect to the 4.99% Blocker, is less than the number of securities reported on rows (5), (7) and (9).</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Tenaya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171 Oyster Point Blvd, Suite 500, South San Francisco, CA, 94080.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This statement is filed by Woodline Partners LP ("Woodline Partners" or the "Reporting Person"), a Delaware limited</w:t>
      </w:r>
    </w:p>
    <w:p>
      <w:pPr>
        <w:spacing w:after="0" w:line="26" w:lineRule="exact"/>
        <w:rPr>
          <w:sz w:val="20"/>
          <w:szCs w:val="20"/>
          <w:color w:val="auto"/>
        </w:rPr>
      </w:pPr>
    </w:p>
    <w:p>
      <w:pPr>
        <w:ind w:left="960" w:hanging="912"/>
        <w:spacing w:after="0" w:line="196" w:lineRule="auto"/>
        <w:tabs>
          <w:tab w:leader="none" w:pos="96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partnership, and the investment adviser to Woodline Master Fund LP (the "Woodline Fund"), with respect to the shares of common stock, par value $0.0001 per share ("Common Stock") of Tenaya Therapeutics, Inc. (the "Company") issuable upon the exercise of warrants directly held by the Woodline Fund. The filing of this statement should not be construed as an admission that the foregoing persons or the Reporting Person is, for the purposes of the Act, the beneficial owner of the securities reported herein.</w:t>
      </w:r>
    </w:p>
    <w:p>
      <w:pPr>
        <w:spacing w:after="0" w:line="14" w:lineRule="exact"/>
        <w:rPr>
          <w:rFonts w:ascii="Times New Roman" w:cs="Times New Roman" w:eastAsia="Times New Roman" w:hAnsi="Times New Roman"/>
          <w:sz w:val="43"/>
          <w:szCs w:val="43"/>
          <w:color w:val="auto"/>
          <w:vertAlign w:val="subscript"/>
        </w:rPr>
      </w:pPr>
    </w:p>
    <w:p>
      <w:pPr>
        <w:ind w:left="96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60" w:right="380" w:hanging="912"/>
        <w:spacing w:after="0"/>
        <w:tabs>
          <w:tab w:leader="none" w:pos="96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business office of Woodline Partners is 4 Embarcadero Center, Suite 3450, San Francisco, CA 94111.</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Woodline Partners is a Delaware limited partnership.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ectPr>
          <w:pgSz w:w="11900" w:h="16901" w:orient="portrait"/>
          <w:cols w:equalWidth="0" w:num="1">
            <w:col w:w="11120"/>
          </w:cols>
          <w:pgMar w:left="320" w:top="166" w:right="45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87990A106</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spacing w:after="0" w:line="249" w:lineRule="auto"/>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the Reporting Person and is incorporated herein by reference. The percentage set forth in this Schedule 13G is calculated based upon an aggregate of 162,666,931 shares of Common Stock outstanding as of May 1, 2025, as reported in the Company's Quarterly</w:t>
      </w:r>
    </w:p>
    <w:p>
      <w:pPr>
        <w:spacing w:after="0" w:line="1" w:lineRule="exact"/>
        <w:rPr>
          <w:sz w:val="20"/>
          <w:szCs w:val="20"/>
          <w:color w:val="auto"/>
        </w:rPr>
      </w:pPr>
    </w:p>
    <w:p>
      <w:pPr>
        <w:ind w:left="920" w:right="20" w:hanging="912"/>
        <w:spacing w:after="0" w:line="213" w:lineRule="auto"/>
        <w:tabs>
          <w:tab w:leader="none" w:pos="92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Report on Form 10-Q for the quarterly period ended March 31, 2025, filed with the Securities and Exchange Commission on May 7, 2025, and assumes the exercise of warrants (the "Reported Warrants") held by the Woodline Fund, subject to the 4.99% Blocker (as defined below). Pursuant to the terms of the Reported Warrants, the Reporting Person cannot exercise such warrants to the extent the Reporting Person would beneficially own, after such exercise, more than 4.99% of the outstanding shares of Common Stock (the "4.99% Blocker") and the percentage set forth in Row (11) of the cover page for the Reporting Person gives effect to the 4.99% Blocker. Consequently, at this time, the Reporting Person is not able to exercise all of such Reported Warrants due to the 4.99% Blocker.</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6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the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the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4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the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4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the Reporting Person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61" w:lineRule="auto"/>
        <w:rPr>
          <w:sz w:val="20"/>
          <w:szCs w:val="20"/>
          <w:color w:val="auto"/>
        </w:rPr>
      </w:pPr>
      <w:r>
        <w:rPr>
          <w:rFonts w:ascii="Times New Roman" w:cs="Times New Roman" w:eastAsia="Times New Roman" w:hAnsi="Times New Roman"/>
          <w:sz w:val="21"/>
          <w:szCs w:val="21"/>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w:t>
      </w:r>
    </w:p>
    <w:p>
      <w:pPr>
        <w:sectPr>
          <w:pgSz w:w="11900" w:h="16838" w:orient="portrait"/>
          <w:cols w:equalWidth="0" w:num="1">
            <w:col w:w="11140"/>
          </w:cols>
          <w:pgMar w:left="360" w:top="355" w:right="39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Woodline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Erin Mullen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Erin Mullen, General Counsel &amp;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5"/>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2025-08-14T11:02:55Z</dcterms:created>
  <dcterms:modified xsi:type="dcterms:W3CDTF">2025-08-14T11:02:55Z</dcterms:modified>
</cp:coreProperties>
</file>