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485140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 Repricing of Designated Underwater Option</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ind w:right="100" w:firstLine="554"/>
        <w:spacing w:after="0" w:line="256" w:lineRule="auto"/>
        <w:rPr>
          <w:sz w:val="20"/>
          <w:szCs w:val="20"/>
          <w:color w:val="auto"/>
        </w:rPr>
      </w:pPr>
      <w:r>
        <w:rPr>
          <w:rFonts w:ascii="Times New Roman" w:cs="Times New Roman" w:eastAsia="Times New Roman" w:hAnsi="Times New Roman"/>
          <w:sz w:val="18"/>
          <w:szCs w:val="18"/>
          <w:color w:val="auto"/>
        </w:rPr>
        <w:t>The Compensation Committee (the “Compensation Committee”) of the Board of Directors (the “Board”) of Tenaya Therapeutics, Inc. (the “Company”) approved an option repricing, effective as of January 24, 2025 (the “Effective Date”). The repricing generally applied to nonstatutory stock options to purchase shares of the Company’s common stock that: (i) were granted to employees under the Company’s Amended and Restated 2016 Equity Incentive Plan, as amended (the “2016 Plan”), and/or the Company’s 2021 Equity Incentive Plan (together with the 2016 Plan, the “Plans”) and applicable award agreements thereunder; (ii) as of the Effective Date, were held by employees or certain other service providers; and (iii) had an exercise price per share equal to or greater than $3.00 (the “Eligible Options”).</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repriced options include Eligible Options held by Whit Tingley, the Company’s Chief Medical Officer (options to purchase an aggregate of 630,982 shares with original exercise prices ranging from $3.06 to $15.19 per share).</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new exercise price for repriced options is $1.21 per share, the closing price of the Company’s common stock on the Effective Date. However, if an individual exercises a repriced Eligible Option before the Retention Goal Achievement (as defined below), such individual will be required to pay a premium exercise price that is equal to the exercise price per share of such Eligible Option immediately prior to the Effective Date. There was no change to the expiration dates or service-based vesting criteria of, or number of shares underlying, the Eligible Options and such options remain subject to the terms of the applicable Plans and award agreements. For the purposes of the repricing, “Retention Goal Achievement” means either (i) the holder of the Eligible Options has remained a Service Provider (as defined in the Plan under which the applicable option was granted) through the period that begins on the Effective Date and ends on July 24, 2025 (the “Retention Date”); or (ii) a Change in Control (as defined in the Plan under which the applicable option was granted) happens after the Effective Date but prior to the Retention Date while the individual remains a Service Provider.</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Compensation Committee approved the repricing following careful consideration of various alternatives and a review of other applicable factors and receipt of the advice of the Company’s independent compensation consultant. The repricing, including the provision of the Retention Goal Achievement, was designed with the objectives of retaining and motivating the holders of the Eligible Options to continue to work in the best interests of the Company and its stockholders without incurring the stock dilution resulting from significant additional equity grants or significant additional cash expenditures resulting from additional cash compensation. As of the date of approval of the repricing, a substantial majority of the stock options held by Company employees were “underwater,” with exercise prices per share above the current market price of a share of the Company’s common stock. The total number of shares underlying all repriced options was approximately 4,133,517 shares. The repriced options previously had exercise prices ranging from $3.06 to $21.01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3820"/>
        <w:spacing w:after="0"/>
        <w:tabs>
          <w:tab w:leader="none" w:pos="4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26035</wp:posOffset>
            </wp:positionV>
            <wp:extent cx="4157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2025-01-28T16:58:02Z</dcterms:created>
  <dcterms:modified xsi:type="dcterms:W3CDTF">2025-01-28T16:58:02Z</dcterms:modified>
</cp:coreProperties>
</file>