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Kang JeenJoo</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07/29/2021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Tenaya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TNYA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457"/>
        <w:spacing w:after="0" w:line="269" w:lineRule="auto"/>
        <w:rPr>
          <w:sz w:val="20"/>
          <w:szCs w:val="20"/>
          <w:color w:val="auto"/>
        </w:rPr>
      </w:pPr>
      <w:r>
        <w:rPr>
          <w:rFonts w:ascii="Arial" w:cs="Arial" w:eastAsia="Arial" w:hAnsi="Arial"/>
          <w:sz w:val="20"/>
          <w:szCs w:val="20"/>
          <w:color w:val="0000FF"/>
        </w:rPr>
        <w:t>C/O TENAYA THERAPEUTICS, INC.</w:t>
      </w:r>
    </w:p>
    <w:p>
      <w:pPr>
        <w:spacing w:after="0" w:line="25" w:lineRule="exact"/>
        <w:rPr>
          <w:sz w:val="24"/>
          <w:szCs w:val="24"/>
          <w:color w:val="auto"/>
        </w:rPr>
      </w:pPr>
    </w:p>
    <w:p>
      <w:pPr>
        <w:ind w:left="140" w:right="1357"/>
        <w:spacing w:after="0" w:line="269" w:lineRule="auto"/>
        <w:rPr>
          <w:sz w:val="20"/>
          <w:szCs w:val="20"/>
          <w:color w:val="auto"/>
        </w:rPr>
      </w:pPr>
      <w:r>
        <w:rPr>
          <w:rFonts w:ascii="Arial" w:cs="Arial" w:eastAsia="Arial" w:hAnsi="Arial"/>
          <w:sz w:val="20"/>
          <w:szCs w:val="20"/>
          <w:color w:val="0000FF"/>
        </w:rPr>
        <w:t>171 OYSTER POINT BLVD., 5TH FLR.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5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ind w:left="640"/>
              <w:spacing w:after="0"/>
              <w:rPr>
                <w:sz w:val="20"/>
                <w:szCs w:val="20"/>
                <w:color w:val="auto"/>
              </w:rPr>
            </w:pPr>
            <w:r>
              <w:rPr>
                <w:rFonts w:ascii="Arial" w:cs="Arial" w:eastAsia="Arial" w:hAnsi="Arial"/>
                <w:sz w:val="20"/>
                <w:szCs w:val="20"/>
                <w:color w:val="0000FF"/>
              </w:rPr>
              <w:t>12,500</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Series A Preferred Stock</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right"/>
              <w:ind w:right="309"/>
              <w:spacing w:after="0"/>
              <w:rPr>
                <w:sz w:val="20"/>
                <w:szCs w:val="20"/>
                <w:color w:val="auto"/>
              </w:rPr>
            </w:pPr>
            <w:r>
              <w:rPr>
                <w:rFonts w:ascii="Arial" w:cs="Arial" w:eastAsia="Arial" w:hAnsi="Arial"/>
                <w:sz w:val="13"/>
                <w:szCs w:val="13"/>
                <w:color w:val="008000"/>
              </w:rPr>
              <w:t>(1)</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12,500</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Arial" w:cs="Arial" w:eastAsia="Arial" w:hAnsi="Arial"/>
                <w:sz w:val="13"/>
                <w:szCs w:val="13"/>
                <w:color w:val="008000"/>
              </w:rPr>
              <w:t>(1)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240" w:firstLine="5"/>
        <w:spacing w:after="0" w:line="253" w:lineRule="auto"/>
        <w:tabs>
          <w:tab w:leader="none" w:pos="19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Each share of Series A Preferred Stock, Series B Preferred Stock and Series C Preferred Stock will automatically convert into one share of common stock immediately prior to the completion of the Issuer's initial public offering, and has no expiration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Date set forth above represents the effective date of the Issuer's initial public offering</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Arial" w:cs="Arial" w:eastAsia="Arial" w:hAnsi="Arial"/>
                <w:sz w:val="20"/>
                <w:szCs w:val="20"/>
                <w:color w:val="0000FF"/>
              </w:rPr>
              <w:t>/s/ Leone Patterson</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3"/>
          </w:tcPr>
          <w:p>
            <w:pPr>
              <w:spacing w:after="0" w:line="220" w:lineRule="exact"/>
              <w:rPr>
                <w:sz w:val="20"/>
                <w:szCs w:val="20"/>
                <w:color w:val="auto"/>
              </w:rPr>
            </w:pPr>
            <w:r>
              <w:rPr>
                <w:rFonts w:ascii="Arial" w:cs="Arial" w:eastAsia="Arial" w:hAnsi="Arial"/>
                <w:sz w:val="20"/>
                <w:szCs w:val="20"/>
                <w:color w:val="0000FF"/>
              </w:rPr>
              <w:t>JeenJoo Kang</w:t>
            </w: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74" w:lineRule="auto"/>
        <w:rPr>
          <w:sz w:val="20"/>
          <w:szCs w:val="20"/>
          <w:color w:val="auto"/>
        </w:rPr>
      </w:pPr>
      <w:r>
        <w:rPr>
          <w:rFonts w:ascii="Courier New" w:cs="Courier New" w:eastAsia="Courier New" w:hAnsi="Courier New"/>
          <w:sz w:val="18"/>
          <w:szCs w:val="18"/>
          <w:color w:val="auto"/>
        </w:rPr>
        <w:t>The undersigned, as a Section 16 reporting person of Tenaya Therapeutics, Inc. (the Company), hereby constitutes and appoints Faraz Ali and Leone Patterson, and each of them, as the true and lawful attorney-in-fact of the undersigned to:</w:t>
      </w:r>
    </w:p>
    <w:p>
      <w:pPr>
        <w:spacing w:after="0" w:line="200" w:lineRule="exact"/>
        <w:rPr>
          <w:sz w:val="20"/>
          <w:szCs w:val="20"/>
          <w:color w:val="auto"/>
        </w:rPr>
      </w:pPr>
    </w:p>
    <w:p>
      <w:pPr>
        <w:spacing w:after="0" w:line="227" w:lineRule="exact"/>
        <w:rPr>
          <w:sz w:val="20"/>
          <w:szCs w:val="20"/>
          <w:color w:val="auto"/>
        </w:rPr>
      </w:pPr>
    </w:p>
    <w:p>
      <w:pPr>
        <w:ind w:right="619"/>
        <w:spacing w:after="0" w:line="268" w:lineRule="auto"/>
        <w:tabs>
          <w:tab w:leader="none" w:pos="9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209" w:lineRule="exact"/>
        <w:rPr>
          <w:rFonts w:ascii="Courier New" w:cs="Courier New" w:eastAsia="Courier New" w:hAnsi="Courier New"/>
          <w:sz w:val="18"/>
          <w:szCs w:val="18"/>
          <w:color w:val="auto"/>
        </w:rPr>
      </w:pPr>
    </w:p>
    <w:p>
      <w:pPr>
        <w:ind w:right="839"/>
        <w:spacing w:after="0" w:line="236"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 any securities exchange or national association, the Company and such other person or agency as the attorneys-in-fact shall deem appropriate.</w:t>
      </w:r>
    </w:p>
    <w:p>
      <w:pPr>
        <w:spacing w:after="0" w:line="232"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233"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holdings of and transactions of the undersigned in securities issued by the Company, unless earlier revoked by the undersigned in a signed writing delivered to the Company and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7th day of July,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Signature:/s/JeenJoo Kang</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JeenJoo Kang</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8500" TargetMode="External"/><Relationship Id="rId11"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2021-07-29T18:35:32Z</dcterms:created>
  <dcterms:modified xsi:type="dcterms:W3CDTF">2021-07-29T18:35:32Z</dcterms:modified>
</cp:coreProperties>
</file>