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195580</wp:posOffset>
            </wp:positionH>
            <wp:positionV relativeFrom="page">
              <wp:posOffset>367665</wp:posOffset>
            </wp:positionV>
            <wp:extent cx="71577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5430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color w:val="auto"/>
        </w:rPr>
        <w:t>SCHEDULE 13G</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(Rule 13d-102)</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INFORMATION TO BE INCLUDED</w:t>
      </w:r>
    </w:p>
    <w:p>
      <w:pPr>
        <w:jc w:val="center"/>
        <w:ind w:right="-59"/>
        <w:spacing w:after="0" w:line="238" w:lineRule="auto"/>
        <w:rPr>
          <w:sz w:val="20"/>
          <w:szCs w:val="20"/>
          <w:color w:val="auto"/>
        </w:rPr>
      </w:pPr>
      <w:r>
        <w:rPr>
          <w:rFonts w:ascii="Arial" w:cs="Arial" w:eastAsia="Arial" w:hAnsi="Arial"/>
          <w:sz w:val="22"/>
          <w:szCs w:val="22"/>
          <w:color w:val="auto"/>
        </w:rPr>
        <w:t>IN STATEMENTS FILED PURSUANT</w:t>
      </w:r>
    </w:p>
    <w:p>
      <w:pPr>
        <w:jc w:val="center"/>
        <w:ind w:right="-59"/>
        <w:spacing w:after="0" w:line="230" w:lineRule="auto"/>
        <w:rPr>
          <w:sz w:val="20"/>
          <w:szCs w:val="20"/>
          <w:color w:val="auto"/>
        </w:rPr>
      </w:pPr>
      <w:r>
        <w:rPr>
          <w:rFonts w:ascii="Arial" w:cs="Arial" w:eastAsia="Arial" w:hAnsi="Arial"/>
          <w:sz w:val="22"/>
          <w:szCs w:val="22"/>
          <w:color w:val="auto"/>
        </w:rPr>
        <w:t>TO RULES 13d-1(b), (c), AND</w:t>
      </w:r>
    </w:p>
    <w:p>
      <w:pPr>
        <w:spacing w:after="0" w:line="1" w:lineRule="exact"/>
        <w:rPr>
          <w:sz w:val="24"/>
          <w:szCs w:val="24"/>
          <w:color w:val="auto"/>
        </w:rPr>
      </w:pPr>
    </w:p>
    <w:p>
      <w:pPr>
        <w:jc w:val="both"/>
        <w:ind w:left="3960" w:right="3860" w:hanging="29"/>
        <w:spacing w:after="0" w:line="266" w:lineRule="auto"/>
        <w:tabs>
          <w:tab w:leader="none" w:pos="4233" w:val="left"/>
        </w:tabs>
        <w:numPr>
          <w:ilvl w:val="0"/>
          <w:numId w:val="1"/>
        </w:numPr>
        <w:rPr>
          <w:rFonts w:ascii="Arial" w:cs="Arial" w:eastAsia="Arial" w:hAnsi="Arial"/>
          <w:sz w:val="19"/>
          <w:szCs w:val="19"/>
          <w:color w:val="auto"/>
        </w:rPr>
      </w:pPr>
      <w:r>
        <w:rPr>
          <w:rFonts w:ascii="Arial" w:cs="Arial" w:eastAsia="Arial" w:hAnsi="Arial"/>
          <w:sz w:val="19"/>
          <w:szCs w:val="19"/>
          <w:color w:val="auto"/>
        </w:rPr>
        <w:t>AND AMENDMENTS THERETO FILED PURSUANT TO RULE 13d-2</w:t>
      </w:r>
    </w:p>
    <w:p>
      <w:pPr>
        <w:spacing w:after="0" w:line="1" w:lineRule="exact"/>
        <w:rPr>
          <w:rFonts w:ascii="Arial" w:cs="Arial" w:eastAsia="Arial" w:hAnsi="Arial"/>
          <w:sz w:val="19"/>
          <w:szCs w:val="19"/>
          <w:color w:val="auto"/>
        </w:rPr>
      </w:pPr>
    </w:p>
    <w:p>
      <w:pPr>
        <w:ind w:left="4500"/>
        <w:spacing w:after="0"/>
        <w:rPr>
          <w:rFonts w:ascii="Arial" w:cs="Arial" w:eastAsia="Arial" w:hAnsi="Arial"/>
          <w:sz w:val="19"/>
          <w:szCs w:val="19"/>
          <w:color w:val="auto"/>
        </w:rPr>
      </w:pPr>
      <w:r>
        <w:rPr>
          <w:rFonts w:ascii="Arial" w:cs="Arial" w:eastAsia="Arial" w:hAnsi="Arial"/>
          <w:sz w:val="22"/>
          <w:szCs w:val="22"/>
          <w:color w:val="auto"/>
        </w:rPr>
        <w:t>(AMENDMENT NO.   )</w:t>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43"/>
          <w:szCs w:val="43"/>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August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jc w:val="both"/>
        <w:ind w:right="9720" w:firstLine="8"/>
        <w:spacing w:after="0" w:line="265" w:lineRule="exact"/>
        <w:tabs>
          <w:tab w:leader="none" w:pos="243"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rPr>
        <w:t>☒</w:t>
      </w:r>
      <w:r>
        <w:rPr>
          <w:rFonts w:ascii="Arial" w:cs="Arial" w:eastAsia="Arial" w:hAnsi="Arial"/>
          <w:sz w:val="19"/>
          <w:szCs w:val="19"/>
          <w:color w:val="auto"/>
        </w:rPr>
        <w:t xml:space="preserve"> Rule 13d-1(c)</w:t>
      </w:r>
    </w:p>
    <w:p>
      <w:pPr>
        <w:spacing w:after="0" w:line="1" w:lineRule="exact"/>
        <w:rPr>
          <w:rFonts w:ascii="MS PGothic" w:cs="MS PGothic" w:eastAsia="MS PGothic" w:hAnsi="MS PGothic"/>
          <w:sz w:val="19"/>
          <w:szCs w:val="19"/>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15" w:lineRule="exact"/>
        <w:rPr>
          <w:sz w:val="24"/>
          <w:szCs w:val="24"/>
          <w:color w:val="auto"/>
        </w:rPr>
      </w:pPr>
    </w:p>
    <w:p>
      <w:pPr>
        <w:ind w:right="80"/>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680720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2"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80"/>
              <w:spacing w:after="0"/>
              <w:rPr>
                <w:sz w:val="20"/>
                <w:szCs w:val="20"/>
                <w:color w:val="auto"/>
              </w:rPr>
            </w:pPr>
            <w:r>
              <w:rPr>
                <w:rFonts w:ascii="Arial" w:cs="Arial" w:eastAsia="Arial" w:hAnsi="Arial"/>
                <w:sz w:val="18"/>
                <w:szCs w:val="18"/>
                <w:color w:val="auto"/>
              </w:rPr>
              <w:t>Thomas Layton Walton</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jc w:val="right"/>
              <w:ind w:right="280"/>
              <w:spacing w:after="0"/>
              <w:rPr>
                <w:sz w:val="20"/>
                <w:szCs w:val="20"/>
                <w:color w:val="auto"/>
              </w:rPr>
            </w:pPr>
            <w:r>
              <w:rPr>
                <w:rFonts w:ascii="Arial" w:cs="Arial" w:eastAsia="Arial" w:hAnsi="Arial"/>
                <w:sz w:val="18"/>
                <w:szCs w:val="18"/>
                <w:color w:val="auto"/>
                <w:w w:val="94"/>
              </w:rPr>
              <w:t>United States</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Arial" w:cs="Arial" w:eastAsia="Arial" w:hAnsi="Arial"/>
                <w:sz w:val="18"/>
                <w:szCs w:val="18"/>
                <w:color w:val="auto"/>
              </w:rPr>
              <w:t>2,642,285</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6"/>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60"/>
              <w:spacing w:after="0"/>
              <w:rPr>
                <w:sz w:val="20"/>
                <w:szCs w:val="20"/>
                <w:color w:val="auto"/>
              </w:rPr>
            </w:pPr>
            <w:r>
              <w:rPr>
                <w:rFonts w:ascii="Arial" w:cs="Arial" w:eastAsia="Arial" w:hAnsi="Arial"/>
                <w:sz w:val="18"/>
                <w:szCs w:val="18"/>
                <w:color w:val="auto"/>
              </w:rPr>
              <w:t>2,642,285</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2"/>
              </w:rPr>
              <w:t>2,642,285</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6.76%</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IN</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3"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43" w:lineRule="exact"/>
        <w:rPr>
          <w:sz w:val="20"/>
          <w:szCs w:val="20"/>
          <w:color w:val="auto"/>
        </w:rPr>
      </w:pPr>
    </w:p>
    <w:p>
      <w:pPr>
        <w:ind w:left="1040"/>
        <w:spacing w:after="0"/>
        <w:rPr>
          <w:sz w:val="20"/>
          <w:szCs w:val="20"/>
          <w:color w:val="auto"/>
        </w:rPr>
      </w:pPr>
      <w:r>
        <w:rPr>
          <w:rFonts w:ascii="Arial" w:cs="Arial" w:eastAsia="Arial" w:hAnsi="Arial"/>
          <w:sz w:val="22"/>
          <w:szCs w:val="22"/>
          <w:b w:val="1"/>
          <w:bCs w:val="1"/>
          <w:color w:val="auto"/>
        </w:rPr>
        <w:t>Tenaya Therapeutics, Inc</w:t>
      </w:r>
    </w:p>
    <w:p>
      <w:pPr>
        <w:spacing w:after="0" w:line="2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171 Oyster Point Blvd., Fifth Floor, South San Francisco, CA 94080</w:t>
      </w:r>
    </w:p>
    <w:p>
      <w:pPr>
        <w:spacing w:after="0" w:line="2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Thomas Layton Walton</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PO Box 1860, Bentonville, AR 72712</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United States</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Common Stock</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87990A106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Sections 240.13d-1(b) or</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240.13d-2(b) or (c), Check Whether the Person Filing Is a(n):</w:t>
      </w:r>
    </w:p>
    <w:p>
      <w:pPr>
        <w:spacing w:after="0" w:line="189" w:lineRule="exact"/>
        <w:rPr>
          <w:sz w:val="20"/>
          <w:szCs w:val="20"/>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in accordance with Section 240.13d-1(b)(1)(ii)(E);</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Section 240.13d-1(b)(1)(ii)(F);</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Section 240.13d-1(b)(1)(ii)(G);</w:t>
      </w:r>
    </w:p>
    <w:p>
      <w:pPr>
        <w:spacing w:after="0" w:line="252"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 (12 U.S.C. 1813);</w:t>
      </w:r>
    </w:p>
    <w:p>
      <w:pPr>
        <w:spacing w:after="0" w:line="252" w:lineRule="exact"/>
        <w:rPr>
          <w:rFonts w:ascii="Arial" w:cs="Arial" w:eastAsia="Arial" w:hAnsi="Arial"/>
          <w:sz w:val="18"/>
          <w:szCs w:val="18"/>
          <w:color w:val="auto"/>
        </w:rPr>
      </w:pPr>
    </w:p>
    <w:p>
      <w:pPr>
        <w:ind w:left="1300" w:right="80" w:hanging="320"/>
        <w:spacing w:after="0" w:line="239"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320"/>
        <w:spacing w:after="0" w:line="207" w:lineRule="exact"/>
        <w:tabs>
          <w:tab w:leader="none" w:pos="130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Section 240.13d-1(b)(1)(ii)(J);</w:t>
      </w:r>
    </w:p>
    <w:p>
      <w:pPr>
        <w:spacing w:after="0" w:line="252" w:lineRule="exact"/>
        <w:rPr>
          <w:rFonts w:ascii="Arial" w:cs="Arial" w:eastAsia="Arial" w:hAnsi="Arial"/>
          <w:sz w:val="18"/>
          <w:szCs w:val="18"/>
          <w:color w:val="auto"/>
        </w:rPr>
      </w:pPr>
    </w:p>
    <w:p>
      <w:pPr>
        <w:ind w:left="1300" w:hanging="320"/>
        <w:spacing w:after="0" w:line="184" w:lineRule="exact"/>
        <w:tabs>
          <w:tab w:leader="none" w:pos="130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Group, in accordance with Section 240.13d-1(b)(1)(ii)(K). If filing as a non-U.S. institution in accordance with Section 240.13d-1(b)</w:t>
      </w:r>
    </w:p>
    <w:p>
      <w:pPr>
        <w:spacing w:after="0" w:line="80"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(1)(ii)(J), please specify the type of institution: ____________________________ .</w:t>
      </w:r>
    </w:p>
    <w:p>
      <w:pPr>
        <w:spacing w:after="0" w:line="2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Amount beneficially owned:</w:t>
      </w:r>
    </w:p>
    <w:p>
      <w:pPr>
        <w:spacing w:after="0" w:line="24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2,642,285</w:t>
      </w:r>
    </w:p>
    <w:p>
      <w:pPr>
        <w:spacing w:after="0" w:line="2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Percent of class:</w:t>
      </w:r>
    </w:p>
    <w:p>
      <w:pPr>
        <w:spacing w:after="0" w:line="24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6.76%</w:t>
      </w:r>
    </w:p>
    <w:p>
      <w:pPr>
        <w:spacing w:after="0" w:line="240"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620" w:hanging="316"/>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45"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2,642,285</w:t>
      </w:r>
    </w:p>
    <w:p>
      <w:pPr>
        <w:spacing w:after="0" w:line="24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 Shared power to vote or to direct the vote:</w:t>
      </w:r>
    </w:p>
    <w:p>
      <w:pPr>
        <w:spacing w:after="0" w:line="245"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0</w:t>
      </w:r>
    </w:p>
    <w:p>
      <w:pPr>
        <w:spacing w:after="0" w:line="24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(iii) Sole power to dispose or to direct the disposition of:</w:t>
      </w:r>
    </w:p>
    <w:p>
      <w:pPr>
        <w:spacing w:after="0" w:line="245"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2,642,285</w:t>
      </w:r>
    </w:p>
    <w:p>
      <w:pPr>
        <w:spacing w:after="0" w:line="24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245"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0</w:t>
      </w:r>
    </w:p>
    <w:p>
      <w:pPr>
        <w:spacing w:after="0" w:line="233"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These shares are beneficially owned by the reporting person, 650,000 shares of which were purchased in the initial public offering by Tenaya Therapeutics, Inc. (which closed on August 3, 2021), with the remainder being shares received pursuant to the conversion of preferred stock beneficially owned by the reporting person immediately prior to such initial public offering. The shares are directly held by SymBiosis II, LLC, over which the reporting person exercises sole investment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980" w:right="400"/>
        <w:spacing w:after="0" w:line="277" w:lineRule="exact"/>
        <w:rPr>
          <w:sz w:val="20"/>
          <w:szCs w:val="20"/>
          <w:color w:val="auto"/>
        </w:rPr>
      </w:pPr>
      <w:r>
        <w:rPr>
          <w:rFonts w:ascii="Arial" w:cs="Arial" w:eastAsia="Arial" w:hAnsi="Arial"/>
          <w:sz w:val="21"/>
          <w:szCs w:val="21"/>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1"/>
          <w:szCs w:val="21"/>
          <w:color w:val="auto"/>
        </w:rPr>
        <w:t>☐</w:t>
      </w:r>
      <w:r>
        <w:rPr>
          <w:rFonts w:ascii="Arial" w:cs="Arial" w:eastAsia="Arial" w:hAnsi="Arial"/>
          <w:sz w:val="21"/>
          <w:szCs w:val="21"/>
          <w:color w:val="auto"/>
        </w:rPr>
        <w:t>.</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jc w:val="center"/>
        <w:ind w:right="78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firstLine="972"/>
        <w:spacing w:after="0" w:line="252" w:lineRule="auto"/>
        <w:rPr>
          <w:sz w:val="20"/>
          <w:szCs w:val="20"/>
          <w:color w:val="auto"/>
        </w:rPr>
      </w:pPr>
      <w:r>
        <w:rPr>
          <w:rFonts w:ascii="Arial" w:cs="Arial" w:eastAsia="Arial" w:hAnsi="Arial"/>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jc w:val="center"/>
        <w:ind w:right="-43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972"/>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Dated:August 9, 2021</w:t>
      </w:r>
    </w:p>
    <w:p>
      <w:pPr>
        <w:spacing w:after="0" w:line="2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COMPANY NAME</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Thomas Layton Walton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Thomas Layton Walton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13613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sectPr>
      <w:pgSz w:w="11900" w:h="16838" w:orient="portrait"/>
      <w:cols w:equalWidth="0" w:num="1">
        <w:col w:w="10800"/>
      </w:cols>
      <w:pgMar w:left="320" w:top="111"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lvl w:ilvl="1">
      <w:lvlJc w:val="left"/>
      <w:lvlText w:val="(%2)"/>
      <w:numFmt w:val="lowerLetter"/>
      <w:start w:val="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2021-08-09T17:08:42Z</dcterms:created>
  <dcterms:modified xsi:type="dcterms:W3CDTF">2021-08-09T17:08:42Z</dcterms:modified>
</cp:coreProperties>
</file>