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87990A106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Column Group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February 12,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jc w:val="both"/>
        <w:ind w:left="644" w:right="8380" w:hanging="363"/>
        <w:spacing w:after="0" w:line="406" w:lineRule="auto"/>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III, LP</w:t>
      </w:r>
    </w:p>
    <w:p>
      <w:pPr>
        <w:spacing w:after="0" w:line="1"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640" w:hanging="363"/>
        <w:spacing w:after="0" w:line="395" w:lineRule="auto"/>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4,414,720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4,414,720 (1)</w:t>
      </w:r>
    </w:p>
    <w:p>
      <w:pPr>
        <w:spacing w:after="0" w:line="36" w:lineRule="exact"/>
        <w:rPr>
          <w:sz w:val="20"/>
          <w:szCs w:val="20"/>
          <w:color w:val="auto"/>
        </w:rPr>
      </w:pPr>
    </w:p>
    <w:p>
      <w:pPr>
        <w:ind w:left="644" w:hanging="411"/>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4,414,720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III LP (as defined in Item 2(a) of the Original Schedule 13D as defined below). TCG III GP LP (as defined in Item 2(a) of the Original Schedule 13D) is the general partner of TCG III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 All shares are held of record by TCG LP (as defined in Item 2(a) of the Original Schedule 13D).</w:t>
      </w:r>
    </w:p>
    <w:p>
      <w:pPr>
        <w:spacing w:after="0" w:line="3" w:lineRule="exact"/>
        <w:rPr>
          <w:rFonts w:ascii="Times New Roman" w:cs="Times New Roman" w:eastAsia="Times New Roman" w:hAnsi="Times New Roman"/>
          <w:sz w:val="18"/>
          <w:szCs w:val="18"/>
          <w:color w:val="auto"/>
        </w:rPr>
      </w:pPr>
    </w:p>
    <w:p>
      <w:pPr>
        <w:ind w:left="424" w:right="14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after the conclusion of the February Follow-on Offering (as defined in Item 3 below), as reported by the Issuer in its Prospectus Supplement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Rule 424(b)(5) on February 8, 2024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266" w:lineRule="exact"/>
        <w:rPr>
          <w:sz w:val="20"/>
          <w:szCs w:val="20"/>
          <w:color w:val="auto"/>
        </w:rPr>
      </w:pPr>
    </w:p>
    <w:p>
      <w:pPr>
        <w:ind w:left="644" w:right="8140" w:hanging="363"/>
        <w:spacing w:after="0" w:line="430"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III-A,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580" w:hanging="363"/>
        <w:spacing w:after="0" w:line="395"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4,985,570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4,985,570 (1)</w:t>
      </w:r>
    </w:p>
    <w:p>
      <w:pPr>
        <w:spacing w:after="0" w:line="36" w:lineRule="exact"/>
        <w:rPr>
          <w:sz w:val="20"/>
          <w:szCs w:val="20"/>
          <w:color w:val="auto"/>
        </w:rPr>
      </w:pPr>
    </w:p>
    <w:p>
      <w:pPr>
        <w:ind w:left="644" w:hanging="411"/>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4,985,570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III-A LP (as defined in Item 2(a) of the Original Schedule 13D). TCG III GP LP is the general partner of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as reported by the Issuer in the Prospectus Supplement.</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44" w:right="8060" w:hanging="363"/>
        <w:spacing w:after="0" w:line="430" w:lineRule="auto"/>
        <w:tabs>
          <w:tab w:leader="none" w:pos="6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III GP, LP</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580" w:hanging="363"/>
        <w:spacing w:after="0" w:line="395"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9,400,290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9,400,290 (1)</w:t>
      </w:r>
    </w:p>
    <w:p>
      <w:pPr>
        <w:spacing w:after="0" w:line="36" w:lineRule="exact"/>
        <w:rPr>
          <w:sz w:val="20"/>
          <w:szCs w:val="20"/>
          <w:color w:val="auto"/>
        </w:rPr>
      </w:pPr>
    </w:p>
    <w:p>
      <w:pPr>
        <w:ind w:left="644" w:hanging="411"/>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9,400,290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20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4,414,720 shares held of record by TCG III LP and (ii) 4,985,570 shares held of record by TCG III-A LP. TCG III GP LP is the general partner of each of TCG III LP and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as reported by the Issuer in the Prospectus Supplement.</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Opportunity III, LP</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640" w:hanging="363"/>
        <w:spacing w:after="0" w:line="395"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13,599,275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13,599,275 (1)</w:t>
      </w:r>
    </w:p>
    <w:p>
      <w:pPr>
        <w:spacing w:after="0" w:line="36" w:lineRule="exact"/>
        <w:rPr>
          <w:sz w:val="20"/>
          <w:szCs w:val="20"/>
          <w:color w:val="auto"/>
        </w:rPr>
      </w:pPr>
    </w:p>
    <w:p>
      <w:pPr>
        <w:ind w:left="644" w:hanging="411"/>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13,599,275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(as defined in Item 2(a) of the Original Schedule 13D). TCG Opportunity III GP LP (as defined in Item 2(a) of the Original Schedule 13D) is the general partner of TCG Opportunity III LP and may be deemed to have voting, investment and dispositive power with respect to these securities. TCG Opportunity III GP LLC (as defined in Item 2(a) of the Original Schedule 13D)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as reported by the Issuer in the Prospectus Supplement.</w:t>
      </w:r>
    </w:p>
    <w:p>
      <w:pPr>
        <w:sectPr>
          <w:pgSz w:w="11900" w:h="16838" w:orient="portrait"/>
          <w:cols w:equalWidth="0" w:num="1">
            <w:col w:w="10964"/>
          </w:cols>
          <w:pgMar w:left="436" w:top="270" w:right="4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Opportunity III GP, LP</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660" w:hanging="363"/>
        <w:spacing w:after="0" w:line="395"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13,599,275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13,599,275 (1)</w:t>
      </w:r>
    </w:p>
    <w:p>
      <w:pPr>
        <w:spacing w:after="0" w:line="36" w:lineRule="exact"/>
        <w:rPr>
          <w:sz w:val="20"/>
          <w:szCs w:val="20"/>
          <w:color w:val="auto"/>
        </w:rPr>
      </w:pPr>
    </w:p>
    <w:p>
      <w:pPr>
        <w:ind w:left="644" w:hanging="411"/>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13,599,275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as reported by the Issuer in the Prospectus Supplement.</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266" w:lineRule="exact"/>
        <w:rPr>
          <w:sz w:val="20"/>
          <w:szCs w:val="20"/>
          <w:color w:val="auto"/>
        </w:rPr>
      </w:pPr>
    </w:p>
    <w:p>
      <w:pPr>
        <w:ind w:left="644" w:right="8140" w:hanging="363"/>
        <w:spacing w:after="0" w:line="430" w:lineRule="auto"/>
        <w:tabs>
          <w:tab w:leader="none" w:pos="6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TCG Opportunity III GP, LLC</w:t>
      </w:r>
    </w:p>
    <w:p>
      <w:pPr>
        <w:spacing w:after="0" w:line="1" w:lineRule="exact"/>
        <w:rPr>
          <w:rFonts w:ascii="Times New Roman" w:cs="Times New Roman" w:eastAsia="Times New Roman" w:hAnsi="Times New Roman"/>
          <w:sz w:val="17"/>
          <w:szCs w:val="17"/>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4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44" w:hanging="363"/>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right="7660" w:hanging="363"/>
        <w:spacing w:after="0" w:line="395"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864" w:hanging="447"/>
        <w:spacing w:after="0"/>
        <w:tabs>
          <w:tab w:leader="none" w:pos="18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-2665095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4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8.</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13,599,275 (1)</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1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40" w:type="dxa"/>
            <w:vAlign w:val="bottom"/>
          </w:tcPr>
          <w:p>
            <w:pPr>
              <w:spacing w:after="0"/>
              <w:rPr>
                <w:sz w:val="19"/>
                <w:szCs w:val="19"/>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6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8"/>
          <w:szCs w:val="18"/>
          <w:color w:val="auto"/>
        </w:rPr>
        <w:t>13,599,275 (1)</w:t>
      </w:r>
    </w:p>
    <w:p>
      <w:pPr>
        <w:spacing w:after="0" w:line="36" w:lineRule="exact"/>
        <w:rPr>
          <w:sz w:val="20"/>
          <w:szCs w:val="20"/>
          <w:color w:val="auto"/>
        </w:rPr>
      </w:pPr>
    </w:p>
    <w:p>
      <w:pPr>
        <w:ind w:left="644" w:hanging="411"/>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13,599,275 (1)</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(2)</w:t>
      </w:r>
    </w:p>
    <w:p>
      <w:pPr>
        <w:spacing w:after="0" w:line="36" w:lineRule="exact"/>
        <w:rPr>
          <w:rFonts w:ascii="Times New Roman" w:cs="Times New Roman" w:eastAsia="Times New Roman" w:hAnsi="Times New Roman"/>
          <w:sz w:val="18"/>
          <w:szCs w:val="18"/>
          <w:color w:val="auto"/>
        </w:rPr>
      </w:pPr>
    </w:p>
    <w:p>
      <w:pPr>
        <w:ind w:left="644" w:hanging="415"/>
        <w:spacing w:after="0"/>
        <w:tabs>
          <w:tab w:leader="none" w:pos="6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76,999,909 shares of Common Stock outstanding as of February 12, 2024, as reported by the Issuer in the Prospectus Supplement.</w:t>
      </w:r>
    </w:p>
    <w:p>
      <w:pPr>
        <w:sectPr>
          <w:pgSz w:w="11900" w:h="16838" w:orient="portrait"/>
          <w:cols w:equalWidth="0" w:num="1">
            <w:col w:w="10984"/>
          </w:cols>
          <w:pgMar w:left="436" w:top="270" w:right="4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joint statement on Schedule 13D/A (this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is filed with respect to the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Tenaya Therapeutics,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supplements and amends the Schedule 13D relating to the Common Stock of the Issuer that was filed with the Commission on December 1, 2022, as amended by Amendment No. 1 filed with the Commission on February 21, 2023 (collectively,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previously reported on a Schedule 13G filed with the Commission on February 11, 2022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The Schedule 13G was filed pursuant to Rule 13d-1(d) of the Securities Exchange Act. This Amendment is being filed to report the purchases by the Reporting Persons of shares of Common Stock as set forth in Item 3 of this Statement. Only those items that are reported are hereby amended; all other items reported in the Original Schedule 13D remain unchanged. Capitalized terms contained herein but not otherwise defined shall have the meanings ascribed to such terms in the Original Schedule 13D. Information given in response to each item shall be deemed incorporated by reference in all other items as applicable.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Original Schedule 13D is hereby amended by adding the following as the last paragraphs thereof: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10, 2023, TCG Opportunity III LP purchased 6,779 shares of Common Stock for a weighted-average purchase price of $2.5956 per share and an aggregate purchase price of $17,595.57.</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12, 2024, TCG Opportunity III LP purchased 2,222,222 shares of Common Stock in the Issuer’s follow-on offering for a purchase price of $4.50 per share (the “</w:t>
      </w:r>
      <w:r>
        <w:rPr>
          <w:rFonts w:ascii="Times New Roman" w:cs="Times New Roman" w:eastAsia="Times New Roman" w:hAnsi="Times New Roman"/>
          <w:sz w:val="18"/>
          <w:szCs w:val="18"/>
          <w:u w:val="single" w:color="auto"/>
          <w:color w:val="auto"/>
        </w:rPr>
        <w:t>February Follow-On Offering</w:t>
      </w:r>
      <w:r>
        <w:rPr>
          <w:rFonts w:ascii="Times New Roman" w:cs="Times New Roman" w:eastAsia="Times New Roman" w:hAnsi="Times New Roman"/>
          <w:sz w:val="18"/>
          <w:szCs w:val="18"/>
          <w:color w:val="auto"/>
        </w:rPr>
        <w:t>”) and an aggregate purchase price of $9,999,999.00.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Original Schedule 13D is hereby amended by adding the following language as the last paragraph thereof:</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February Follow-on Offering, each of TCG III LP, TCG III-A LP and TCG Opportunity III LP entered into a lock-up agreement, pursuant to which each such party agreed, subject to certain exceptions, not to sell, transfer or otherwise convey certain of the Issuer’s securities held by TCG III LP, TCG III-A LP or TCG Opportunity III LP for 60 days following the date of the final prospectus for the February Follow-on Offering. The terms and provisions of such lock-up agreement are described more fully in the prospectus supplement for the February Follow-on Offering, and the above summary is qualified by reference to such description and the full text of the lock-up agreement, a form of which is filed as Exhibit 5 to this Statement and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p>
      <w:pPr>
        <w:ind w:left="1000" w:right="32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Lock-Up Agreement for certain directors, officers and other stockholders of the Issuer (included as Exhibit A to the form of Underwriting Agreement filed as Exhibit 1.1 to the Issuer’s Current Report on Form 8-K as filed with the Commission on February 8, 2024 (SEC File No. 001-40656) and incorporated herein by reference).</w:t>
      </w:r>
    </w:p>
    <w:p>
      <w:pPr>
        <w:sectPr>
          <w:pgSz w:w="11900" w:h="16838" w:orient="portrait"/>
          <w:cols w:equalWidth="0" w:num="1">
            <w:col w:w="10960"/>
          </w:cols>
          <w:pgMar w:left="440" w:top="266"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9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r>
      <w:tr>
        <w:trPr>
          <w:trHeight w:val="43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5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54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Attorney in Fact</w:t>
            </w:r>
          </w:p>
        </w:tc>
      </w:tr>
      <w:tr>
        <w:trPr>
          <w:trHeight w:val="432"/>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c>
          <w:tcPr>
            <w:tcW w:w="59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tc>
      </w:tr>
      <w:tr>
        <w:trPr>
          <w:trHeight w:val="41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Column Group Opportunity III GP, LP</w:t>
            </w: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TCG Opportunity III GP, LLC</w:t>
            </w:r>
          </w:p>
        </w:tc>
      </w:tr>
      <w:tr>
        <w:trPr>
          <w:trHeight w:val="43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54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Attorney in Fact</w:t>
            </w:r>
          </w:p>
        </w:tc>
      </w:tr>
      <w:tr>
        <w:trPr>
          <w:trHeight w:val="410"/>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w:t>
            </w:r>
          </w:p>
        </w:tc>
        <w:tc>
          <w:tcPr>
            <w:tcW w:w="59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tc>
      </w:tr>
      <w:tr>
        <w:trPr>
          <w:trHeight w:val="23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GP, LP</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4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15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54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 in Fact</w:t>
            </w:r>
          </w:p>
        </w:tc>
        <w:tc>
          <w:tcPr>
            <w:tcW w:w="15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Attorney in Fact</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decimal"/>
      <w:start w:val="7"/>
    </w:lvl>
  </w:abstractNum>
  <w:abstractNum w:abstractNumId="2">
    <w:nsid w:val="1F16E9E8"/>
    <w:multiLevelType w:val="hybridMultilevel"/>
    <w:lvl w:ilvl="0">
      <w:lvlJc w:val="left"/>
      <w:lvlText w:val="%1"/>
      <w:numFmt w:val="decimal"/>
      <w:start w:val="1"/>
    </w:lvl>
    <w:lvl w:ilvl="1">
      <w:lvlJc w:val="left"/>
      <w:lvlText w:val="%2."/>
      <w:numFmt w:val="decimal"/>
      <w:start w:val="11"/>
    </w:lvl>
  </w:abstractNum>
  <w:abstractNum w:abstractNumId="3">
    <w:nsid w:val="1190CDE7"/>
    <w:multiLevelType w:val="hybridMultilevel"/>
    <w:lvl w:ilvl="0">
      <w:lvlJc w:val="left"/>
      <w:lvlText w:val="(%1)"/>
      <w:numFmt w:val="decimal"/>
      <w:start w:val="1"/>
    </w:lvl>
    <w:lvl w:ilvl="1">
      <w:lvlJc w:val="left"/>
      <w:lvlText w:val="%2"/>
      <w:numFmt w:val="decimal"/>
      <w:start w:val="1"/>
    </w:lvl>
  </w:abstractNum>
  <w:abstractNum w:abstractNumId="4">
    <w:nsid w:val="66EF438D"/>
    <w:multiLevelType w:val="hybridMultilevel"/>
    <w:lvl w:ilvl="0">
      <w:lvlJc w:val="left"/>
      <w:lvlText w:val="%1."/>
      <w:numFmt w:val="decimal"/>
      <w:start w:val="1"/>
    </w:lvl>
    <w:lvl w:ilvl="1">
      <w:lvlJc w:val="left"/>
      <w:lvlText w:val="%2."/>
      <w:numFmt w:val="decimal"/>
      <w:start w:val="7"/>
    </w:lvl>
  </w:abstractNum>
  <w:abstractNum w:abstractNumId="5">
    <w:nsid w:val="140E0F76"/>
    <w:multiLevelType w:val="hybridMultilevel"/>
    <w:lvl w:ilvl="0">
      <w:lvlJc w:val="left"/>
      <w:lvlText w:val="%1"/>
      <w:numFmt w:val="decimal"/>
      <w:start w:val="1"/>
    </w:lvl>
    <w:lvl w:ilvl="1">
      <w:lvlJc w:val="left"/>
      <w:lvlText w:val="%2."/>
      <w:numFmt w:val="decimal"/>
      <w:start w:val="11"/>
    </w:lvl>
  </w:abstractNum>
  <w:abstractNum w:abstractNumId="6">
    <w:nsid w:val="3352255A"/>
    <w:multiLevelType w:val="hybridMultilevel"/>
    <w:lvl w:ilvl="0">
      <w:lvlJc w:val="left"/>
      <w:lvlText w:val="(%1)"/>
      <w:numFmt w:val="decimal"/>
      <w:start w:val="1"/>
    </w:lvl>
    <w:lvl w:ilvl="1">
      <w:lvlJc w:val="left"/>
      <w:lvlText w:val="%2"/>
      <w:numFmt w:val="decimal"/>
      <w:start w:val="1"/>
    </w:lvl>
  </w:abstractNum>
  <w:abstractNum w:abstractNumId="7">
    <w:nsid w:val="109CF92E"/>
    <w:multiLevelType w:val="hybridMultilevel"/>
    <w:lvl w:ilvl="0">
      <w:lvlJc w:val="left"/>
      <w:lvlText w:val="%1."/>
      <w:numFmt w:val="decimal"/>
      <w:start w:val="1"/>
    </w:lvl>
    <w:lvl w:ilvl="1">
      <w:lvlJc w:val="left"/>
      <w:lvlText w:val="%2."/>
      <w:numFmt w:val="decimal"/>
      <w:start w:val="7"/>
    </w:lvl>
  </w:abstractNum>
  <w:abstractNum w:abstractNumId="8">
    <w:nsid w:val="DED7263"/>
    <w:multiLevelType w:val="hybridMultilevel"/>
    <w:lvl w:ilvl="0">
      <w:lvlJc w:val="left"/>
      <w:lvlText w:val="%1"/>
      <w:numFmt w:val="decimal"/>
      <w:start w:val="1"/>
    </w:lvl>
    <w:lvl w:ilvl="1">
      <w:lvlJc w:val="left"/>
      <w:lvlText w:val="%2."/>
      <w:numFmt w:val="decimal"/>
      <w:start w:val="11"/>
    </w:lvl>
  </w:abstractNum>
  <w:abstractNum w:abstractNumId="9">
    <w:nsid w:val="7FDCC233"/>
    <w:multiLevelType w:val="hybridMultilevel"/>
    <w:lvl w:ilvl="0">
      <w:lvlJc w:val="left"/>
      <w:lvlText w:val="(%1)"/>
      <w:numFmt w:val="decimal"/>
      <w:start w:val="1"/>
    </w:lvl>
    <w:lvl w:ilvl="1">
      <w:lvlJc w:val="left"/>
      <w:lvlText w:val="%2"/>
      <w:numFmt w:val="decimal"/>
      <w:start w:val="1"/>
    </w:lvl>
  </w:abstractNum>
  <w:abstractNum w:abstractNumId="10">
    <w:nsid w:val="1BEFD79F"/>
    <w:multiLevelType w:val="hybridMultilevel"/>
    <w:lvl w:ilvl="0">
      <w:lvlJc w:val="left"/>
      <w:lvlText w:val="%1."/>
      <w:numFmt w:val="decimal"/>
      <w:start w:val="1"/>
    </w:lvl>
    <w:lvl w:ilvl="1">
      <w:lvlJc w:val="left"/>
      <w:lvlText w:val="%2."/>
      <w:numFmt w:val="decimal"/>
      <w:start w:val="7"/>
    </w:lvl>
  </w:abstractNum>
  <w:abstractNum w:abstractNumId="11">
    <w:nsid w:val="41A7C4C9"/>
    <w:multiLevelType w:val="hybridMultilevel"/>
    <w:lvl w:ilvl="0">
      <w:lvlJc w:val="left"/>
      <w:lvlText w:val="%1"/>
      <w:numFmt w:val="decimal"/>
      <w:start w:val="1"/>
    </w:lvl>
    <w:lvl w:ilvl="1">
      <w:lvlJc w:val="left"/>
      <w:lvlText w:val="%2."/>
      <w:numFmt w:val="decimal"/>
      <w:start w:val="11"/>
    </w:lvl>
  </w:abstractNum>
  <w:abstractNum w:abstractNumId="12">
    <w:nsid w:val="6B68079A"/>
    <w:multiLevelType w:val="hybridMultilevel"/>
    <w:lvl w:ilvl="0">
      <w:lvlJc w:val="left"/>
      <w:lvlText w:val="(%1)"/>
      <w:numFmt w:val="decimal"/>
      <w:start w:val="1"/>
    </w:lvl>
    <w:lvl w:ilvl="1">
      <w:lvlJc w:val="left"/>
      <w:lvlText w:val="%2"/>
      <w:numFmt w:val="decimal"/>
      <w:start w:val="1"/>
    </w:lvl>
  </w:abstractNum>
  <w:abstractNum w:abstractNumId="13">
    <w:nsid w:val="4E6AFB66"/>
    <w:multiLevelType w:val="hybridMultilevel"/>
    <w:lvl w:ilvl="0">
      <w:lvlJc w:val="left"/>
      <w:lvlText w:val="%1."/>
      <w:numFmt w:val="decimal"/>
      <w:start w:val="1"/>
    </w:lvl>
    <w:lvl w:ilvl="1">
      <w:lvlJc w:val="left"/>
      <w:lvlText w:val="%2."/>
      <w:numFmt w:val="decimal"/>
      <w:start w:val="7"/>
    </w:lvl>
  </w:abstractNum>
  <w:abstractNum w:abstractNumId="14">
    <w:nsid w:val="25E45D32"/>
    <w:multiLevelType w:val="hybridMultilevel"/>
    <w:lvl w:ilvl="0">
      <w:lvlJc w:val="left"/>
      <w:lvlText w:val="%1"/>
      <w:numFmt w:val="decimal"/>
      <w:start w:val="1"/>
    </w:lvl>
    <w:lvl w:ilvl="1">
      <w:lvlJc w:val="left"/>
      <w:lvlText w:val="%2."/>
      <w:numFmt w:val="decimal"/>
      <w:start w:val="11"/>
    </w:lvl>
  </w:abstractNum>
  <w:abstractNum w:abstractNumId="15">
    <w:nsid w:val="519B500D"/>
    <w:multiLevelType w:val="hybridMultilevel"/>
    <w:lvl w:ilvl="0">
      <w:lvlJc w:val="left"/>
      <w:lvlText w:val="(%1)"/>
      <w:numFmt w:val="decimal"/>
      <w:start w:val="1"/>
    </w:lvl>
    <w:lvl w:ilvl="1">
      <w:lvlJc w:val="left"/>
      <w:lvlText w:val="%2"/>
      <w:numFmt w:val="decimal"/>
      <w:start w:val="1"/>
    </w:lvl>
  </w:abstractNum>
  <w:abstractNum w:abstractNumId="16">
    <w:nsid w:val="431BD7B7"/>
    <w:multiLevelType w:val="hybridMultilevel"/>
    <w:lvl w:ilvl="0">
      <w:lvlJc w:val="left"/>
      <w:lvlText w:val="%1."/>
      <w:numFmt w:val="decimal"/>
      <w:start w:val="1"/>
    </w:lvl>
    <w:lvl w:ilvl="1">
      <w:lvlJc w:val="left"/>
      <w:lvlText w:val="%2."/>
      <w:numFmt w:val="decimal"/>
      <w:start w:val="7"/>
    </w:lvl>
  </w:abstractNum>
  <w:abstractNum w:abstractNumId="17">
    <w:nsid w:val="3F2DBA31"/>
    <w:multiLevelType w:val="hybridMultilevel"/>
    <w:lvl w:ilvl="0">
      <w:lvlJc w:val="left"/>
      <w:lvlText w:val="%1"/>
      <w:numFmt w:val="decimal"/>
      <w:start w:val="1"/>
    </w:lvl>
    <w:lvl w:ilvl="1">
      <w:lvlJc w:val="left"/>
      <w:lvlText w:val="%2."/>
      <w:numFmt w:val="decimal"/>
      <w:start w:val="11"/>
    </w:lvl>
  </w:abstractNum>
  <w:abstractNum w:abstractNumId="18">
    <w:nsid w:val="7C83E458"/>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2024-02-14T16:07:18Z</dcterms:created>
  <dcterms:modified xsi:type="dcterms:W3CDTF">2024-02-14T16:07:18Z</dcterms:modified>
</cp:coreProperties>
</file>