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001-40656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81-3789973</w:t>
            </w:r>
          </w:p>
        </w:tc>
      </w:tr>
      <w:tr>
        <w:trPr>
          <w:trHeight w:val="149"/>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171 Oyster Point Boulevard</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2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825-6990</w:t>
      </w:r>
    </w:p>
    <w:p>
      <w:pPr>
        <w:spacing w:after="0" w:line="1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485140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TNYA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April 15, 2025, Tenaya Therapeutics, Inc. (the “Company”) received a letter from the Listing Qualifications Staff (the “Staff”) of The Nasdaq Stock Market LLC (“Nasdaq”) indicating that, based upon the closing bid price of shares of the Company’s common stock for the 30 consecutive business day period between March 3, 2025, through April 12, 2025, the Company did not meet the minimum bid price of $1.00 per share required for continued listing on the Nasdaq Global Select Market pursuant to Nasdaq Listing Rule 5450(a)(1). The letter also indicated that the Company will be provided with a compliance period of 180 calendar days, or until October 13, 2025 (the “Compliance Period”), in which to regain compliance pursuant to Nasdaq Listing Rule 5810(c)(3)(A).</w:t>
      </w:r>
    </w:p>
    <w:p>
      <w:pPr>
        <w:spacing w:after="0" w:line="12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letter has no immediate impact on the listing of the Company’s common stock, which will continue to be listed and traded on Nasdaq, subject to the Company’s compliance with the other listing requirements of Nasdaq.</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regain compliance with Nasdaq’s minimum bid price requirement, shares of the Company’s common stock must maintain a closing bid price of at least $1.00 for a minimum of ten consecutive business days during the Compliance Period, unless the Staff exercises its discretion to extend this ten-day period pursuant to Nasdaq Listing Rule 5810(c)(3)(H). In the event the Company does not regain compliance by the end of the Compliance Period, the Company may be eligible for an additional 180 calendar days to regain compliance (the “Second Compliance Period”) pursuant to Nasdaq Listing Rule 5810(c)(3)(A)(i) by transferring to the Nasdaq Capital Market. To qualify for the Second Compliance Period, the Company would need to submit a transfer application and pay an application fee. In addition, the Company would be required to meet the continued listing requirement for the market value of its publicly held shares and all other initial listing standards for Nasdaq, with the exception of the bid price requirement, and would need to provide written notice of its intention to cure the deficiency during the Second Compliance Period by effecting a reverse stock split, if necessary. However, if it appears to Nasdaq that the Company will be unable to cure the deficiency, or if the Company is not otherwise eligible for the additional cure period, Nasdaq will provide notice that the Company’s shares of common stock will be subject to delisting. There can be no assurance that the Company will be eligible for the Second Compliance Period, if applicable, or that the Staff would grant the Company’s request for continued listing subsequent to any delisting notification.</w:t>
      </w:r>
    </w:p>
    <w:p>
      <w:pPr>
        <w:spacing w:after="0" w:line="12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its shares of common stock during the Compliance Period and may, if appropriate, evaluate available options to resolve the deficiency and regain compliance with the minimum bid price requirement. While the Company is exercising diligent efforts to maintain the listing of its common stock on the Nasdaq Global Select Market, there can be no assurance that the Company will be able to regain or maintain compliance with the minimum bid price requirement or any other Nasdaq listing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43" w:lineRule="exact"/>
        <w:rPr>
          <w:sz w:val="20"/>
          <w:szCs w:val="20"/>
          <w:color w:val="auto"/>
        </w:rPr>
      </w:pPr>
    </w:p>
    <w:p>
      <w:pPr>
        <w:ind w:left="3820"/>
        <w:spacing w:after="0"/>
        <w:tabs>
          <w:tab w:leader="none" w:pos="4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Drimmer Rokovich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26035</wp:posOffset>
            </wp:positionV>
            <wp:extent cx="41573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2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Jennifer Drimmer Rokovich</w:t>
      </w:r>
    </w:p>
    <w:p>
      <w:pPr>
        <w:spacing w:after="0" w:line="2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2025-04-18T16:10:43Z</dcterms:created>
  <dcterms:modified xsi:type="dcterms:W3CDTF">2025-04-18T16:10:43Z</dcterms:modified>
</cp:coreProperties>
</file>