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As filed with the Securities and Exchange Commission on July 30, 2021</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REGISTRATION STATEMENT</w:t>
      </w:r>
    </w:p>
    <w:p>
      <w:pPr>
        <w:jc w:val="center"/>
        <w:ind w:right="-2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81-3789973</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171 Oyster Point Boulevard, 5th Floor</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(650) 825-6990</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2021 Equity Incentive Plan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2021 Employee Stock Purchase Plan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Amended and Restated 2016 Equity Incentive Plan</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Faraz Ali, M.B.A.</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Tenaya Therapeutics, Inc.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171 Oyster Point Boulevard, 5th Floor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(650) 825-6990</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Kenneth A. Clark</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Jennifer Knapp</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Jennifer Fang</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780"/>
          </w:cols>
          <w:pgMar w:left="440" w:top="229" w:right="67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$0.0001 par value per share, reserved for issuance</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pursuant to the 2021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4,000,000</w:t>
            </w:r>
            <w:r>
              <w:rPr>
                <w:rFonts w:ascii="Arial" w:cs="Arial" w:eastAsia="Arial" w:hAnsi="Arial"/>
                <w:sz w:val="15"/>
                <w:szCs w:val="15"/>
                <w:color w:val="auto"/>
                <w:w w:val="89"/>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$15.00</w:t>
            </w:r>
            <w:r>
              <w:rPr>
                <w:rFonts w:ascii="Arial" w:cs="Arial" w:eastAsia="Arial" w:hAnsi="Arial"/>
                <w:sz w:val="15"/>
                <w:szCs w:val="15"/>
                <w:color w:val="auto"/>
                <w:w w:val="92"/>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$6,546</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$0.0001 par value per share, reserved for issuance</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pursuant to the 2021 Employee Stock 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800,000</w:t>
            </w:r>
            <w:r>
              <w:rPr>
                <w:rFonts w:ascii="Arial" w:cs="Arial" w:eastAsia="Arial" w:hAnsi="Arial"/>
                <w:sz w:val="15"/>
                <w:szCs w:val="15"/>
                <w:color w:val="auto"/>
                <w:w w:val="91"/>
              </w:rPr>
              <w:t>(4)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$12.75</w:t>
            </w:r>
            <w:r>
              <w:rPr>
                <w:rFonts w:ascii="Arial" w:cs="Arial" w:eastAsia="Arial" w:hAnsi="Arial"/>
                <w:sz w:val="15"/>
                <w:szCs w:val="15"/>
                <w:color w:val="auto"/>
                <w:w w:val="92"/>
              </w:rPr>
              <w:t>(5)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$10,200,000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$1,113</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$0.0001 par value per share, reserved for issuance</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pursuant to options outstanding under the Amended and</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Restated 2016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2,377,883</w:t>
            </w:r>
            <w:r>
              <w:rPr>
                <w:rFonts w:ascii="Arial" w:cs="Arial" w:eastAsia="Arial" w:hAnsi="Arial"/>
                <w:sz w:val="15"/>
                <w:szCs w:val="15"/>
                <w:color w:val="auto"/>
                <w:w w:val="89"/>
              </w:rPr>
              <w:t>(6)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$5.58</w:t>
            </w:r>
            <w:r>
              <w:rPr>
                <w:rFonts w:ascii="Arial" w:cs="Arial" w:eastAsia="Arial" w:hAnsi="Arial"/>
                <w:sz w:val="15"/>
                <w:szCs w:val="15"/>
                <w:color w:val="auto"/>
                <w:w w:val="94"/>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$13,268,588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$1,448</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7,177,883</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$83,468,588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$9,107</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(Securities Act), this Registration Statement shall also cover any additional shares of the Registrant’s common stock that become issuable under the 2021 Equity Incentive Plan (2021 Plan), the 2021 Employee Stock Purchase Plan (2021 ESPP) and the Amended and Restated 2016 Equity Incentive Plan (2016 Plan) by reason of any stock dividend, stock split, recapitalization or other similar transaction effected without receipt of consideration that increases the number of the Registrant’s outstanding shares of common stock.</w:t>
      </w:r>
    </w:p>
    <w:p>
      <w:pPr>
        <w:spacing w:after="0" w:line="2"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4,000,000 shares of common stock reserved for issuance under the 2021 Plan as of the date of this Registration Statement. The number of shares of common stock available for issuance under the 2021 Plan will be increased by any shares of common stock subject to awards outstanding under the 2016 Plan that, on or after the effectiveness of the 2021 Plan, expire or otherwise terminate without having been exercised in full, are tendered to or withheld by the Registrant for payment of an exercise price or for satisfying tax withholding obligations, or are forfeited to or repurchased by the Registrant due to failure to vest. The maximum number of shares that can be added to the 2021 Plan from the 2016 Plan is 2,430,000. See footnote 6 below.</w:t>
      </w:r>
    </w:p>
    <w:p>
      <w:pPr>
        <w:spacing w:after="0" w:line="2" w:lineRule="exact"/>
        <w:rPr>
          <w:rFonts w:ascii="Arial" w:cs="Arial" w:eastAsia="Arial" w:hAnsi="Arial"/>
          <w:sz w:val="18"/>
          <w:szCs w:val="18"/>
          <w:color w:val="auto"/>
        </w:rPr>
      </w:pPr>
    </w:p>
    <w:p>
      <w:pPr>
        <w:ind w:left="424" w:right="24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 457(h) solely for the purpose of calculating the registration fee on the basis of $15.00 per share, which is the initial public offering price set forth on the cover page of the Registrant’s Prospectus dated July 29, 2021 relating to its initial public offering.</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800,000 shares of common stock reserved for issuance under the 2021 ESPP.</w:t>
      </w:r>
    </w:p>
    <w:p>
      <w:pPr>
        <w:spacing w:after="0" w:line="9" w:lineRule="exact"/>
        <w:rPr>
          <w:rFonts w:ascii="Arial" w:cs="Arial" w:eastAsia="Arial" w:hAnsi="Arial"/>
          <w:sz w:val="18"/>
          <w:szCs w:val="18"/>
          <w:color w:val="auto"/>
        </w:rPr>
      </w:pPr>
    </w:p>
    <w:p>
      <w:pPr>
        <w:ind w:left="424" w:right="6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457(h) solely for the purpose of calculating the registration fee on the basis of 85% of $15.00, which is the initial public offering price set forth on the cover page of the Registrant’s Prospectus dated July 29, 2021 relating to its initial public offering. Pursuant to the 2021 ESPP, the purchase price of the shares of common stock reserved for issuance thereunder will be 85% of the lower of the fair market value of the common stock on (i) the first trading day of the offering period or (ii) the exercise date.</w:t>
      </w:r>
    </w:p>
    <w:p>
      <w:pPr>
        <w:ind w:left="424" w:right="16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2,377,883 shares of common stock reserved for issuance pursuant to options outstanding under the 2016 Plan as of the date of this Registration Statement. To the extent that, on or after the effectiveness of the 2021 Plan, any shares subject to awards under the 2016 Plan expire or otherwise terminate without having been exercised or issued in full, are tendered to or withheld by the Registrant for payment of an exercise price or for satisfying tax withholding obligations, or are forfeited to or repurchased by the Registrant due to failure vest, the shares of common stock subject to such awards will become available for issuance under the 2021 Plan.</w:t>
      </w:r>
    </w:p>
    <w:p>
      <w:pPr>
        <w:ind w:left="424" w:right="36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$5.58, the weighted average price per share of outstanding stock option awards under the 2016 Plan as of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36"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11" w:lineRule="exact"/>
        <w:rPr>
          <w:sz w:val="20"/>
          <w:szCs w:val="20"/>
          <w:color w:val="auto"/>
        </w:rPr>
      </w:pPr>
    </w:p>
    <w:p>
      <w:pPr>
        <w:ind w:right="280" w:firstLine="592"/>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280" w:firstLine="592"/>
        <w:spacing w:after="0" w:line="277" w:lineRule="auto"/>
        <w:rPr>
          <w:sz w:val="20"/>
          <w:szCs w:val="20"/>
          <w:color w:val="auto"/>
        </w:rPr>
      </w:pPr>
      <w:r>
        <w:rPr>
          <w:rFonts w:ascii="Arial" w:cs="Arial" w:eastAsia="Arial" w:hAnsi="Arial"/>
          <w:sz w:val="18"/>
          <w:szCs w:val="18"/>
          <w:color w:val="auto"/>
        </w:rPr>
        <w:t>Tenaya Therapeutics, Inc. (Registrant) hereby incorporates by reference into this Registration Statement the following documents previously filed with the Securities and Exchange Commission (Commission):</w:t>
      </w:r>
    </w:p>
    <w:p>
      <w:pPr>
        <w:spacing w:after="0" w:line="170" w:lineRule="exact"/>
        <w:rPr>
          <w:sz w:val="20"/>
          <w:szCs w:val="20"/>
          <w:color w:val="auto"/>
        </w:rPr>
      </w:pPr>
    </w:p>
    <w:p>
      <w:pPr>
        <w:ind w:right="20" w:firstLine="637"/>
        <w:spacing w:after="0" w:line="263" w:lineRule="auto"/>
        <w:tabs>
          <w:tab w:leader="none" w:pos="896"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The Registrant’s </w:t>
      </w:r>
      <w:hyperlink r:id="rId18">
        <w:r>
          <w:rPr>
            <w:rFonts w:ascii="Arial" w:cs="Arial" w:eastAsia="Arial" w:hAnsi="Arial"/>
            <w:sz w:val="18"/>
            <w:szCs w:val="18"/>
            <w:u w:val="single" w:color="auto"/>
            <w:color w:val="0000EE"/>
          </w:rPr>
          <w:t>Prospectus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dated July 29, 2021, filed with the Commission on July 30, 2021 pursuant to Rule 424(b) under the Securities Act, relating to the Registration Statement on Form S-1, as amended (File No. 333-257820), which contains the Registrant’s audited financial statements for the latest fiscal year for which such statements have been filed; and</w:t>
      </w:r>
    </w:p>
    <w:p>
      <w:pPr>
        <w:spacing w:after="0" w:line="183" w:lineRule="exact"/>
        <w:rPr>
          <w:rFonts w:ascii="Arial" w:cs="Arial" w:eastAsia="Arial" w:hAnsi="Arial"/>
          <w:sz w:val="18"/>
          <w:szCs w:val="18"/>
          <w:color w:val="auto"/>
        </w:rPr>
      </w:pPr>
    </w:p>
    <w:p>
      <w:pPr>
        <w:jc w:val="both"/>
        <w:ind w:right="180" w:firstLine="592"/>
        <w:spacing w:after="0" w:line="263" w:lineRule="auto"/>
        <w:tabs>
          <w:tab w:leader="none" w:pos="851"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w:t>
      </w:r>
      <w:hyperlink r:id="rId1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001-40656) filed with the Commission on July 23, 2021, pursuant to Section 12(b) of the Securities Exchange Act of 1934, as amended (Exchange Act), including any amendment or report filed for the purpose of updating such description.</w:t>
      </w:r>
    </w:p>
    <w:p>
      <w:pPr>
        <w:spacing w:after="0" w:line="184" w:lineRule="exact"/>
        <w:rPr>
          <w:rFonts w:ascii="Arial" w:cs="Arial" w:eastAsia="Arial" w:hAnsi="Arial"/>
          <w:sz w:val="18"/>
          <w:szCs w:val="18"/>
          <w:color w:val="auto"/>
        </w:rPr>
      </w:pPr>
    </w:p>
    <w:p>
      <w:pPr>
        <w:ind w:firstLine="586"/>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8"/>
          <w:szCs w:val="18"/>
          <w:color w:val="auto"/>
        </w:rPr>
      </w:pPr>
    </w:p>
    <w:p>
      <w:pPr>
        <w:ind w:right="20" w:firstLine="596"/>
        <w:spacing w:after="0" w:line="272" w:lineRule="auto"/>
        <w:rPr>
          <w:sz w:val="20"/>
          <w:szCs w:val="20"/>
          <w:color w:val="auto"/>
        </w:rPr>
      </w:pPr>
      <w:r>
        <w:rPr>
          <w:rFonts w:ascii="Arial" w:cs="Arial" w:eastAsia="Arial" w:hAnsi="Arial"/>
          <w:sz w:val="17"/>
          <w:szCs w:val="17"/>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Delaware General Corporation Law.</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78" w:lineRule="exact"/>
        <w:rPr>
          <w:sz w:val="20"/>
          <w:szCs w:val="20"/>
          <w:color w:val="auto"/>
        </w:rPr>
      </w:pPr>
    </w:p>
    <w:p>
      <w:pPr>
        <w:ind w:left="4" w:right="80" w:firstLine="596"/>
        <w:spacing w:after="0" w:line="286"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ind w:left="4" w:right="20" w:hanging="4"/>
        <w:spacing w:after="0" w:line="253"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91" w:lineRule="exact"/>
        <w:rPr>
          <w:sz w:val="20"/>
          <w:szCs w:val="20"/>
          <w:color w:val="auto"/>
        </w:rPr>
      </w:pPr>
    </w:p>
    <w:p>
      <w:pPr>
        <w:jc w:val="both"/>
        <w:ind w:left="4" w:right="40" w:firstLine="596"/>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jc w:val="both"/>
        <w:ind w:left="4" w:right="180" w:firstLine="586"/>
        <w:spacing w:after="0" w:line="263"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84" w:lineRule="exact"/>
        <w:rPr>
          <w:sz w:val="20"/>
          <w:szCs w:val="20"/>
          <w:color w:val="auto"/>
        </w:rPr>
      </w:pPr>
    </w:p>
    <w:p>
      <w:pPr>
        <w:ind w:left="4" w:right="120" w:firstLine="592"/>
        <w:spacing w:after="0" w:line="257"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88" w:lineRule="exact"/>
        <w:rPr>
          <w:sz w:val="20"/>
          <w:szCs w:val="20"/>
          <w:color w:val="auto"/>
        </w:rPr>
      </w:pPr>
    </w:p>
    <w:p>
      <w:pPr>
        <w:ind w:left="4" w:right="540" w:firstLine="592"/>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60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4"/>
          </w:cols>
          <w:pgMar w:left="436" w:top="274"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614"/>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06"/>
        </w:trPr>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700" w:type="dxa"/>
            <w:vAlign w:val="bottom"/>
            <w:gridSpan w:val="6"/>
            <w:vMerge w:val="restart"/>
          </w:tcPr>
          <w:p>
            <w:pPr>
              <w:ind w:left="28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9"/>
                <w:szCs w:val="9"/>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9"/>
                <w:szCs w:val="9"/>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700" w:type="dxa"/>
            <w:vAlign w:val="bottom"/>
            <w:tcBorders>
              <w:bottom w:val="single" w:sz="8" w:color="auto"/>
            </w:tcBorders>
            <w:gridSpan w:val="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7180" w:type="dxa"/>
            <w:vAlign w:val="bottom"/>
            <w:gridSpan w:val="8"/>
          </w:tcPr>
          <w:p>
            <w:pPr>
              <w:spacing w:after="0"/>
              <w:rPr>
                <w:rFonts w:ascii="Arial" w:cs="Arial" w:eastAsia="Arial" w:hAnsi="Arial"/>
                <w:sz w:val="18"/>
                <w:szCs w:val="18"/>
                <w:color w:val="0000EE"/>
              </w:rPr>
            </w:pPr>
            <w:hyperlink r:id="rId22">
              <w:r>
                <w:rPr>
                  <w:rFonts w:ascii="Arial" w:cs="Arial" w:eastAsia="Arial" w:hAnsi="Arial"/>
                  <w:sz w:val="18"/>
                  <w:szCs w:val="18"/>
                  <w:color w:val="0000EE"/>
                </w:rPr>
                <w:t>Specimen common stock certificate of the Registrant</w:t>
              </w:r>
            </w:hyperlink>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333-257820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7/26/2021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718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Opinion of Wilson Sonsini Goodrich &amp; Rosati, Professional Corporation</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7180" w:type="dxa"/>
            <w:vAlign w:val="bottom"/>
            <w:gridSpan w:val="8"/>
          </w:tcPr>
          <w:p>
            <w:pPr>
              <w:spacing w:after="0"/>
              <w:rPr>
                <w:rFonts w:ascii="Arial" w:cs="Arial" w:eastAsia="Arial" w:hAnsi="Arial"/>
                <w:sz w:val="18"/>
                <w:szCs w:val="18"/>
                <w:color w:val="0000EE"/>
              </w:rPr>
            </w:pPr>
            <w:hyperlink r:id="rId23">
              <w:r>
                <w:rPr>
                  <w:rFonts w:ascii="Arial" w:cs="Arial" w:eastAsia="Arial" w:hAnsi="Arial"/>
                  <w:sz w:val="18"/>
                  <w:szCs w:val="18"/>
                  <w:color w:val="0000EE"/>
                </w:rPr>
                <w:t>Amended and Restated 2016 Equity Incentive Plan and forms of agreement thereunder</w:t>
              </w:r>
            </w:hyperlink>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333-257820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00" w:type="dxa"/>
            <w:vAlign w:val="bottom"/>
          </w:tcPr>
          <w:p>
            <w:pPr>
              <w:jc w:val="right"/>
              <w:spacing w:after="0"/>
              <w:rPr>
                <w:sz w:val="20"/>
                <w:szCs w:val="20"/>
                <w:color w:val="auto"/>
              </w:rPr>
            </w:pPr>
            <w:r>
              <w:rPr>
                <w:rFonts w:ascii="Arial" w:cs="Arial" w:eastAsia="Arial" w:hAnsi="Arial"/>
                <w:sz w:val="18"/>
                <w:szCs w:val="18"/>
                <w:color w:val="auto"/>
              </w:rPr>
              <w:t>7/9/2021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10.2</w:t>
            </w:r>
          </w:p>
        </w:tc>
        <w:tc>
          <w:tcPr>
            <w:tcW w:w="600" w:type="dxa"/>
            <w:vAlign w:val="bottom"/>
            <w:gridSpan w:val="2"/>
          </w:tcPr>
          <w:p>
            <w:pPr>
              <w:ind w:left="220"/>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2021</w:t>
              </w:r>
            </w:hyperlink>
          </w:p>
        </w:tc>
        <w:tc>
          <w:tcPr>
            <w:tcW w:w="6800" w:type="dxa"/>
            <w:vAlign w:val="bottom"/>
            <w:gridSpan w:val="7"/>
          </w:tcPr>
          <w:p>
            <w:pPr>
              <w:ind w:left="20"/>
              <w:spacing w:after="0"/>
              <w:rPr>
                <w:rFonts w:ascii="Arial" w:cs="Arial" w:eastAsia="Arial" w:hAnsi="Arial"/>
                <w:sz w:val="18"/>
                <w:szCs w:val="18"/>
                <w:color w:val="0000EE"/>
              </w:rPr>
            </w:pPr>
            <w:hyperlink r:id="rId24">
              <w:r>
                <w:rPr>
                  <w:rFonts w:ascii="Arial" w:cs="Arial" w:eastAsia="Arial" w:hAnsi="Arial"/>
                  <w:sz w:val="18"/>
                  <w:szCs w:val="18"/>
                  <w:color w:val="0000EE"/>
                </w:rPr>
                <w:t>Equity Incentive Plan and forms of agreements thereunder</w:t>
              </w:r>
            </w:hyperlink>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333-257820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7/26/2021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10.3</w:t>
            </w:r>
          </w:p>
        </w:tc>
        <w:tc>
          <w:tcPr>
            <w:tcW w:w="600" w:type="dxa"/>
            <w:vAlign w:val="bottom"/>
            <w:gridSpan w:val="2"/>
          </w:tcPr>
          <w:p>
            <w:pPr>
              <w:ind w:left="220"/>
              <w:spacing w:after="0"/>
              <w:rPr>
                <w:rFonts w:ascii="Arial" w:cs="Arial" w:eastAsia="Arial" w:hAnsi="Arial"/>
                <w:sz w:val="18"/>
                <w:szCs w:val="18"/>
                <w:color w:val="0000EE"/>
                <w:w w:val="89"/>
              </w:rPr>
            </w:pPr>
            <w:hyperlink r:id="rId25">
              <w:r>
                <w:rPr>
                  <w:rFonts w:ascii="Arial" w:cs="Arial" w:eastAsia="Arial" w:hAnsi="Arial"/>
                  <w:sz w:val="18"/>
                  <w:szCs w:val="18"/>
                  <w:color w:val="0000EE"/>
                  <w:w w:val="89"/>
                </w:rPr>
                <w:t>2021</w:t>
              </w:r>
            </w:hyperlink>
          </w:p>
        </w:tc>
        <w:tc>
          <w:tcPr>
            <w:tcW w:w="6800" w:type="dxa"/>
            <w:vAlign w:val="bottom"/>
            <w:gridSpan w:val="7"/>
          </w:tcPr>
          <w:p>
            <w:pPr>
              <w:ind w:left="20"/>
              <w:spacing w:after="0"/>
              <w:rPr>
                <w:rFonts w:ascii="Arial" w:cs="Arial" w:eastAsia="Arial" w:hAnsi="Arial"/>
                <w:sz w:val="18"/>
                <w:szCs w:val="18"/>
                <w:color w:val="0000EE"/>
              </w:rPr>
            </w:pPr>
            <w:hyperlink r:id="rId25">
              <w:r>
                <w:rPr>
                  <w:rFonts w:ascii="Arial" w:cs="Arial" w:eastAsia="Arial" w:hAnsi="Arial"/>
                  <w:sz w:val="18"/>
                  <w:szCs w:val="18"/>
                  <w:color w:val="0000EE"/>
                </w:rPr>
                <w:t>Employee Stock Purchase Plan and forms of agreements thereunder</w:t>
              </w:r>
            </w:hyperlink>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333-257820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7/26/2021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gridSpan w:val="5"/>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23.1*</w:t>
            </w:r>
          </w:p>
        </w:tc>
        <w:tc>
          <w:tcPr>
            <w:tcW w:w="220" w:type="dxa"/>
            <w:vAlign w:val="bottom"/>
          </w:tcPr>
          <w:p>
            <w:pPr>
              <w:spacing w:after="0"/>
              <w:rPr>
                <w:sz w:val="24"/>
                <w:szCs w:val="24"/>
                <w:color w:val="auto"/>
              </w:rPr>
            </w:pPr>
          </w:p>
        </w:tc>
        <w:tc>
          <w:tcPr>
            <w:tcW w:w="7180" w:type="dxa"/>
            <w:vAlign w:val="bottom"/>
            <w:gridSpan w:val="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Consent of Deloitte and Touche LLP, Independent Registered Public Accounting Firm</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4" w:right="3180" w:hanging="714"/>
        <w:spacing w:after="0" w:line="277"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23.2*</w:t>
      </w:r>
      <w:r>
        <w:rPr>
          <w:sz w:val="20"/>
          <w:szCs w:val="20"/>
          <w:color w:val="auto"/>
        </w:rPr>
        <w:tab/>
      </w:r>
      <w:hyperlink w:anchor="page9">
        <w:r>
          <w:rPr>
            <w:rFonts w:ascii="Arial" w:cs="Arial" w:eastAsia="Arial" w:hAnsi="Arial"/>
            <w:sz w:val="18"/>
            <w:szCs w:val="18"/>
            <w:u w:val="single" w:color="auto"/>
            <w:color w:val="0000EE"/>
          </w:rPr>
          <w:t>Consent of Wilson Sonsini Goodrich &amp; Rosati, Professional Corporation (contained in Exhibit 5.1</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hereto)</w:t>
        </w:r>
      </w:hyperlink>
    </w:p>
    <w:p>
      <w:pPr>
        <w:spacing w:after="0" w:line="62"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7">
        <w:r>
          <w:rPr>
            <w:rFonts w:ascii="Arial" w:cs="Arial" w:eastAsia="Arial" w:hAnsi="Arial"/>
            <w:sz w:val="16"/>
            <w:szCs w:val="16"/>
            <w:u w:val="single" w:color="auto"/>
            <w:color w:val="0000EE"/>
          </w:rPr>
          <w:t>Power of Attorney (contained on signature page 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7"/>
          <w:szCs w:val="17"/>
          <w:color w:val="auto"/>
        </w:rPr>
      </w:pPr>
      <w:r>
        <w:rPr>
          <w:rFonts w:ascii="Arial" w:cs="Arial" w:eastAsia="Arial" w:hAnsi="Arial"/>
          <w:sz w:val="17"/>
          <w:szCs w:val="17"/>
          <w:color w:val="auto"/>
        </w:rPr>
        <w:t>It will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424" w:hanging="439"/>
        <w:spacing w:after="0"/>
        <w:tabs>
          <w:tab w:leader="none" w:pos="1424"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20" w:hanging="439"/>
        <w:spacing w:after="0" w:line="291" w:lineRule="auto"/>
        <w:tabs>
          <w:tab w:leader="none" w:pos="1424"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424" w:right="20" w:hanging="439"/>
        <w:spacing w:after="0" w:line="277" w:lineRule="auto"/>
        <w:tabs>
          <w:tab w:leader="none" w:pos="1424"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89" w:lineRule="exact"/>
        <w:rPr>
          <w:sz w:val="20"/>
          <w:szCs w:val="20"/>
          <w:color w:val="auto"/>
        </w:rPr>
      </w:pPr>
    </w:p>
    <w:p>
      <w:pPr>
        <w:jc w:val="both"/>
        <w:ind w:left="964" w:right="280" w:hanging="532"/>
        <w:spacing w:after="0" w:line="263"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ectPr>
          <w:pgSz w:w="11900" w:h="16838" w:orient="portrait"/>
          <w:cols w:equalWidth="0" w:num="1">
            <w:col w:w="10964"/>
          </w:cols>
          <w:pgMar w:left="436" w:top="270" w:right="499" w:bottom="1440" w:gutter="0" w:footer="0" w:header="0"/>
        </w:sectPr>
      </w:pPr>
    </w:p>
    <w:bookmarkStart w:id="5" w:name="page6"/>
    <w:bookmarkEnd w:id="5"/>
    <w:p>
      <w:pPr>
        <w:ind w:left="424" w:right="20" w:hanging="424"/>
        <w:spacing w:after="0" w:line="25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24" w:hanging="424"/>
        <w:spacing w:after="0" w:line="290"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referenced in Item 6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984"/>
          </w:cols>
          <w:pgMar w:left="436" w:top="274"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596"/>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South San Francisco, California, on July 30,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596"/>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Faraz Ali and Leone Patterson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66" w:lineRule="exact"/>
        <w:rPr>
          <w:sz w:val="20"/>
          <w:szCs w:val="20"/>
          <w:color w:val="auto"/>
        </w:rPr>
      </w:pPr>
    </w:p>
    <w:p>
      <w:pPr>
        <w:ind w:right="740" w:firstLine="59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Faraz Ali,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Faraz Ali,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Leone D. Patterson,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and Business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Leone D. Patterson,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Eli Casdin, M.B.A.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Jin-Long Chen, Ph.D.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Jin-Long Chen,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V. Goeddel, Ph.D.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David V. Goeddel,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JeenJoo (JJ) Kang, Ph.D.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JeenJoo (JJ) Kang,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Deepak Srivastava,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Deepak Srivastava,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Stehman-Breen,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Catherine Stehman-Breen,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T. Walsh,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Jeffrey T. Walsh, M.B.A.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Sanders (Sandy) Williams,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July 30,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 Sanders (Sandy) Williams,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5"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156970"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56970" cy="48895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California 94304-1050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We have examined the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by Tenaya Therapeutics, Inc., a Delaware corporation, with the Securities and Exchange Commission on or about the date hereof, in connection with the registration under the Securities Act of 1933, as amended, of (i) 4,000,000 shares of Common Stock reserved for issuance pursuant to the 2021 Equity Incentive Plan, (ii) 800,000 shares of Common Stock reserved for issuance pursuant to the 2021 Employee Stock Purchase Plan, and (iii) 2,377,883 shares of Common Stock that are subject to currently outstanding options under the Amended and Restated 2016 Equity Incentive Plan (which plans are referred to herein as the “</w:t>
      </w:r>
      <w:r>
        <w:rPr>
          <w:rFonts w:ascii="Arial" w:cs="Arial" w:eastAsia="Arial" w:hAnsi="Arial"/>
          <w:sz w:val="17"/>
          <w:szCs w:val="17"/>
          <w:b w:val="1"/>
          <w:bCs w:val="1"/>
          <w:color w:val="auto"/>
        </w:rPr>
        <w:t>Plans</w:t>
      </w:r>
      <w:r>
        <w:rPr>
          <w:rFonts w:ascii="Arial" w:cs="Arial" w:eastAsia="Arial" w:hAnsi="Arial"/>
          <w:sz w:val="17"/>
          <w:szCs w:val="17"/>
          <w:color w:val="auto"/>
        </w:rPr>
        <w:t>” and which shares of Common Stock are referred to herein as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7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20"/>
          </w:cols>
          <w:pgMar w:left="440" w:top="121" w:right="439" w:bottom="1440" w:gutter="0" w:footer="0" w:header="0"/>
        </w:sectPr>
      </w:pPr>
    </w:p>
    <w:p>
      <w:pPr>
        <w:spacing w:after="0" w:line="14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AUSTIN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firstLine="173"/>
        <w:spacing w:after="0" w:line="308" w:lineRule="auto"/>
        <w:rPr>
          <w:sz w:val="20"/>
          <w:szCs w:val="20"/>
          <w:color w:val="auto"/>
        </w:rPr>
      </w:pPr>
      <w:r>
        <w:rPr>
          <w:rFonts w:ascii="Arial" w:cs="Arial" w:eastAsia="Arial" w:hAnsi="Arial"/>
          <w:sz w:val="17"/>
          <w:szCs w:val="17"/>
          <w:color w:val="auto"/>
        </w:rPr>
        <w:t>BEIJING SAN DIEGO</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hanging="111"/>
        <w:spacing w:after="0" w:line="277" w:lineRule="auto"/>
        <w:rPr>
          <w:sz w:val="20"/>
          <w:szCs w:val="20"/>
          <w:color w:val="auto"/>
        </w:rPr>
      </w:pPr>
      <w:r>
        <w:rPr>
          <w:rFonts w:ascii="Arial" w:cs="Arial" w:eastAsia="Arial" w:hAnsi="Arial"/>
          <w:sz w:val="18"/>
          <w:szCs w:val="18"/>
          <w:color w:val="auto"/>
        </w:rPr>
        <w:t>BOSTON</w:t>
      </w:r>
      <w:r>
        <w:rPr>
          <w:sz w:val="20"/>
          <w:szCs w:val="20"/>
          <w:color w:val="auto"/>
        </w:rPr>
        <w:t xml:space="preserve"> </w:t>
      </w:r>
      <w:r>
        <w:rPr>
          <w:rFonts w:ascii="Arial" w:cs="Arial" w:eastAsia="Arial" w:hAnsi="Arial"/>
          <w:sz w:val="18"/>
          <w:szCs w:val="18"/>
          <w:color w:val="auto"/>
        </w:rPr>
        <w:t>BRUSSELS HONG KONG LONDON LOS ANGELES SAN FRANCISCO SEATTLE SHANGHAI WASHINGTON, DC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840" w:firstLine="80"/>
        <w:spacing w:after="0" w:line="277" w:lineRule="auto"/>
        <w:rPr>
          <w:sz w:val="20"/>
          <w:szCs w:val="20"/>
          <w:color w:val="auto"/>
        </w:rPr>
      </w:pPr>
      <w:r>
        <w:rPr>
          <w:rFonts w:ascii="Arial" w:cs="Arial" w:eastAsia="Arial" w:hAnsi="Arial"/>
          <w:sz w:val="18"/>
          <w:szCs w:val="18"/>
          <w:color w:val="auto"/>
        </w:rPr>
        <w:t>NEW YORK PALO ALTO WILMINGTON, DE</w:t>
      </w:r>
    </w:p>
    <w:p>
      <w:pPr>
        <w:sectPr>
          <w:pgSz w:w="11900" w:h="16838" w:orient="portrait"/>
          <w:cols w:equalWidth="0" w:num="4">
            <w:col w:w="1480" w:space="20"/>
            <w:col w:w="960" w:space="180"/>
            <w:col w:w="5260" w:space="100"/>
            <w:col w:w="3020"/>
          </w:cols>
          <w:pgMar w:left="440" w:top="121" w:right="4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May 07, 2021 (July 26, 2021, as to effects of the reverse stock split described in Note 13) relating to the financial statements of Tenaya Therapeutics, Inc., appearing in Registration Statement No. 333-257820 on Form S-1 of Tenaya Therapeutics,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lvl w:ilvl="1">
      <w:lvlJc w:val="left"/>
      <w:lvlText w:val="(%2)"/>
      <w:numFmt w:val="decimal"/>
      <w:start w:val="1"/>
    </w:lvl>
  </w:abstractNum>
  <w:abstractNum w:abstractNumId="2">
    <w:nsid w:val="46E87CCD"/>
    <w:multiLevelType w:val="hybridMultilevel"/>
    <w:lvl w:ilvl="0">
      <w:lvlJc w:val="left"/>
      <w:lvlText w:val="(%1)"/>
      <w:numFmt w:val="decimal"/>
      <w:start w:val="2"/>
    </w:lvl>
    <w:lvl w:ilvl="1">
      <w:lvlJc w:val="left"/>
      <w:lvlText w:val="%2"/>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jpeg"/><Relationship Id="rId18" Type="http://schemas.openxmlformats.org/officeDocument/2006/relationships/hyperlink" Target="http://www.sec.gov/Archives/edgar/data/1858848/000119312521231612/d175698d424b4.htm" TargetMode="External"/><Relationship Id="rId19" Type="http://schemas.openxmlformats.org/officeDocument/2006/relationships/hyperlink" Target="http://www.sec.gov/Archives/edgar/data/0001858848/000119312521223152/d170858d8a12b.htm" TargetMode="External"/><Relationship Id="rId22" Type="http://schemas.openxmlformats.org/officeDocument/2006/relationships/hyperlink" Target="http://www.sec.gov/Archives/edgar/data/0001858848/000119312521223559/d175698dex42.htm" TargetMode="External"/><Relationship Id="rId23" Type="http://schemas.openxmlformats.org/officeDocument/2006/relationships/hyperlink" Target="http://www.sec.gov/Archives/edgar/data/0001858848/000119312521212010/d175698dex102.htm" TargetMode="External"/><Relationship Id="rId24" Type="http://schemas.openxmlformats.org/officeDocument/2006/relationships/hyperlink" Target="http://www.sec.gov/Archives/edgar/data/0001858848/000119312521223559/d175698dex103.htm" TargetMode="External"/><Relationship Id="rId25" Type="http://schemas.openxmlformats.org/officeDocument/2006/relationships/hyperlink" Target="http://www.sec.gov/Archives/edgar/data/0001858848/000119312521223559/d17569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2021-07-30T16:49:29Z</dcterms:created>
  <dcterms:modified xsi:type="dcterms:W3CDTF">2021-07-30T16:49:29Z</dcterms:modified>
</cp:coreProperties>
</file>