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43" w:lineRule="exact"/>
        <w:rPr>
          <w:rFonts w:ascii="MS PGothic" w:cs="MS PGothic" w:eastAsia="MS PGothic" w:hAnsi="MS PGothic"/>
          <w:sz w:val="18"/>
          <w:szCs w:val="18"/>
          <w:color w:val="auto"/>
        </w:rPr>
      </w:pPr>
    </w:p>
    <w:p>
      <w:pPr>
        <w:ind w:left="340" w:hanging="332"/>
        <w:spacing w:after="0" w:line="207" w:lineRule="exact"/>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6(e)(2))</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8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3" w:lineRule="exact"/>
        <w:rPr>
          <w:rFonts w:ascii="MS PGothic" w:cs="MS PGothic" w:eastAsia="MS PGothic" w:hAnsi="MS PGothic"/>
          <w:sz w:val="18"/>
          <w:szCs w:val="18"/>
          <w:color w:val="auto"/>
        </w:rPr>
      </w:pPr>
    </w:p>
    <w:p>
      <w:pPr>
        <w:ind w:left="340" w:hanging="332"/>
        <w:spacing w:after="0" w:line="207" w:lineRule="exact"/>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w:t>
      </w:r>
    </w:p>
    <w:p>
      <w:pPr>
        <w:spacing w:after="0" w:line="363"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5"/>
          <w:szCs w:val="25"/>
          <w:b w:val="1"/>
          <w:bCs w:val="1"/>
          <w:color w:val="auto"/>
        </w:rPr>
        <w:t>TENAYA THERAPEUTICS, INC.</w:t>
      </w:r>
    </w:p>
    <w:p>
      <w:pPr>
        <w:spacing w:after="0" w:line="84"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7"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8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1136015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2608580</wp:posOffset>
            </wp:positionH>
            <wp:positionV relativeFrom="page">
              <wp:posOffset>1075055</wp:posOffset>
            </wp:positionV>
            <wp:extent cx="2331720" cy="831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33172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171 Oyster Point Boulevard, Suite 500</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(650) 825-6900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are pleased to invite you to attend the annual meeting of stockholders of Tenaya Therapeutics, Inc. (Tenaya or the Company), to be held on Wednesday, May 27, 2026 at 8:00 a.m. Pacific Time. The annual meeting will be conducted virtually this year via a live audio webcast and will afford all of our stockholders the same rights and opportunities to participate as would be available at an in-person meeting. You will be able to attend the annual meeting virtually by visiting </w:t>
      </w:r>
      <w:r>
        <w:rPr>
          <w:rFonts w:ascii="Times New Roman" w:cs="Times New Roman" w:eastAsia="Times New Roman" w:hAnsi="Times New Roman"/>
          <w:sz w:val="18"/>
          <w:szCs w:val="18"/>
          <w:u w:val="single" w:color="auto"/>
          <w:color w:val="0000FF"/>
        </w:rPr>
        <w:t>www.proxydocs.com/TNYA</w:t>
      </w:r>
      <w:r>
        <w:rPr>
          <w:rFonts w:ascii="Times New Roman" w:cs="Times New Roman" w:eastAsia="Times New Roman" w:hAnsi="Times New Roman"/>
          <w:sz w:val="18"/>
          <w:szCs w:val="18"/>
          <w:color w:val="auto"/>
        </w:rPr>
        <w:t>, where you will be able to listen to the meeting live, submit questions and vote online by entering the control number located on your proxy card.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attached formal meeting notice and proxy statement contain details of the business to be conducted at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vote is important. Whether or not you attend the annual meeting, it is important that your shares be represented and voted at the annual meeting.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we urge you to vote and submit your proxy promptly via the Internet, telephone or mail.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our Board of Directors, we would like to express our appreciation for your continued support of and interest in Tenaya.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94410"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9441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Faraz Ali, M.B.A.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171 Oyster Point Boulevard, Suite 500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ectPr>
          <w:pgSz w:w="11900" w:h="16838" w:orient="portrait"/>
          <w:cols w:equalWidth="0" w:num="1">
            <w:col w:w="11240"/>
          </w:cols>
          <w:pgMar w:left="320" w:top="1413"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Time and Date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8:00 a.m. Pacific Time on Wednesday, May 27, 2026</w:t>
      </w:r>
    </w:p>
    <w:p>
      <w:pPr>
        <w:spacing w:after="0" w:line="125" w:lineRule="exact"/>
        <w:rPr>
          <w:sz w:val="20"/>
          <w:szCs w:val="20"/>
          <w:color w:val="auto"/>
        </w:rPr>
      </w:pPr>
    </w:p>
    <w:p>
      <w:pPr>
        <w:sectPr>
          <w:pgSz w:w="11900" w:h="16838" w:orient="portrait"/>
          <w:cols w:equalWidth="0" w:num="2">
            <w:col w:w="2560" w:space="720"/>
            <w:col w:w="7960"/>
          </w:cols>
          <w:pgMar w:left="320" w:top="141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Place</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The annual meeting will be conducted virtually via a live audio webcast. You will be able to attend the annual meeting virtually by visiting www.proxydocs.com/TNYA, where you will be able to listen to the meeting live, submit questions and vote online during the meeting by visiting www.proxypush.com/TNYA.</w:t>
      </w:r>
    </w:p>
    <w:p>
      <w:pPr>
        <w:spacing w:after="0" w:line="64" w:lineRule="exact"/>
        <w:rPr>
          <w:sz w:val="20"/>
          <w:szCs w:val="20"/>
          <w:color w:val="auto"/>
        </w:rPr>
      </w:pPr>
    </w:p>
    <w:p>
      <w:pPr>
        <w:sectPr>
          <w:pgSz w:w="11900" w:h="16838" w:orient="portrait"/>
          <w:cols w:equalWidth="0" w:num="2">
            <w:col w:w="2560" w:space="720"/>
            <w:col w:w="7960"/>
          </w:cols>
          <w:pgMar w:left="320" w:top="141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Items of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260"/>
        <w:spacing w:after="0" w:line="282" w:lineRule="auto"/>
        <w:rPr>
          <w:sz w:val="20"/>
          <w:szCs w:val="20"/>
          <w:color w:val="auto"/>
        </w:rPr>
      </w:pPr>
      <w:r>
        <w:rPr>
          <w:rFonts w:ascii="Times New Roman" w:cs="Times New Roman" w:eastAsia="Times New Roman" w:hAnsi="Times New Roman"/>
          <w:sz w:val="18"/>
          <w:szCs w:val="18"/>
          <w:color w:val="auto"/>
        </w:rPr>
        <w:t>To elect three Class II directors to hold office until our 2029 annual meeting of stockholders and until their respective successors are elected and qualified.</w:t>
      </w:r>
    </w:p>
    <w:p>
      <w:pPr>
        <w:spacing w:after="0" w:line="54" w:lineRule="exact"/>
        <w:rPr>
          <w:sz w:val="20"/>
          <w:szCs w:val="20"/>
          <w:color w:val="auto"/>
        </w:rPr>
      </w:pPr>
    </w:p>
    <w:p>
      <w:pPr>
        <w:sectPr>
          <w:pgSz w:w="11900" w:h="16838" w:orient="portrait"/>
          <w:cols w:equalWidth="0" w:num="3">
            <w:col w:w="2680" w:space="720"/>
            <w:col w:w="60" w:space="200"/>
            <w:col w:w="7580"/>
          </w:cols>
          <w:pgMar w:left="320" w:top="1413" w:right="339" w:bottom="1440" w:gutter="0" w:footer="0" w:header="0"/>
          <w:type w:val="continuous"/>
        </w:sectPr>
      </w:pPr>
    </w:p>
    <w:p>
      <w:pPr>
        <w:ind w:left="34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280"/>
        <w:spacing w:after="0" w:line="282" w:lineRule="auto"/>
        <w:rPr>
          <w:sz w:val="20"/>
          <w:szCs w:val="20"/>
          <w:color w:val="auto"/>
        </w:rPr>
      </w:pPr>
      <w:r>
        <w:rPr>
          <w:rFonts w:ascii="Times New Roman" w:cs="Times New Roman" w:eastAsia="Times New Roman" w:hAnsi="Times New Roman"/>
          <w:sz w:val="18"/>
          <w:szCs w:val="18"/>
          <w:color w:val="auto"/>
        </w:rPr>
        <w:t>To ratify the appointment of Deloitte &amp; Touche LLP as our independent registered public accounting firm for our fiscal year ending December 31, 2026.</w:t>
      </w:r>
    </w:p>
    <w:p>
      <w:pPr>
        <w:spacing w:after="0" w:line="54" w:lineRule="exact"/>
        <w:rPr>
          <w:sz w:val="20"/>
          <w:szCs w:val="20"/>
          <w:color w:val="auto"/>
        </w:rPr>
      </w:pPr>
    </w:p>
    <w:p>
      <w:pPr>
        <w:sectPr>
          <w:pgSz w:w="11900" w:h="16838" w:orient="portrait"/>
          <w:cols w:equalWidth="0" w:num="2">
            <w:col w:w="3460" w:space="200"/>
            <w:col w:w="7580"/>
          </w:cols>
          <w:pgMar w:left="320" w:top="1413" w:right="339" w:bottom="1440" w:gutter="0" w:footer="0" w:header="0"/>
          <w:type w:val="continuous"/>
        </w:sectPr>
      </w:pPr>
    </w:p>
    <w:p>
      <w:pPr>
        <w:ind w:left="34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To amend and restate the Tenaya Therapeutics, Inc. 2021 Equity Incentive Plan to, among other things, increase the number of shares of our common stock reserved for issuance by approximately 3% of our outstanding shares and remove the annual limit of 4 million shares from the “evergreen” provision.</w:t>
      </w:r>
    </w:p>
    <w:p>
      <w:pPr>
        <w:spacing w:after="0" w:line="50" w:lineRule="exact"/>
        <w:rPr>
          <w:sz w:val="20"/>
          <w:szCs w:val="20"/>
          <w:color w:val="auto"/>
        </w:rPr>
      </w:pPr>
    </w:p>
    <w:p>
      <w:pPr>
        <w:sectPr>
          <w:pgSz w:w="11900" w:h="16838" w:orient="portrait"/>
          <w:cols w:equalWidth="0" w:num="2">
            <w:col w:w="3460" w:space="200"/>
            <w:col w:w="7580"/>
          </w:cols>
          <w:pgMar w:left="320" w:top="1413" w:right="339" w:bottom="1440" w:gutter="0" w:footer="0" w:header="0"/>
          <w:type w:val="continuous"/>
        </w:sectPr>
      </w:pPr>
    </w:p>
    <w:p>
      <w:pPr>
        <w:ind w:left="34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300"/>
        <w:spacing w:after="0" w:line="282" w:lineRule="auto"/>
        <w:rPr>
          <w:sz w:val="20"/>
          <w:szCs w:val="20"/>
          <w:color w:val="auto"/>
        </w:rPr>
      </w:pPr>
      <w:r>
        <w:rPr>
          <w:rFonts w:ascii="Times New Roman" w:cs="Times New Roman" w:eastAsia="Times New Roman" w:hAnsi="Times New Roman"/>
          <w:sz w:val="18"/>
          <w:szCs w:val="18"/>
          <w:color w:val="auto"/>
        </w:rPr>
        <w:t>To transact other business that may properly come before the annual meeting or any adjournments or postponements thereof.</w:t>
      </w:r>
    </w:p>
    <w:p>
      <w:pPr>
        <w:spacing w:after="0" w:line="50" w:lineRule="exact"/>
        <w:rPr>
          <w:sz w:val="20"/>
          <w:szCs w:val="20"/>
          <w:color w:val="auto"/>
        </w:rPr>
      </w:pPr>
    </w:p>
    <w:p>
      <w:pPr>
        <w:sectPr>
          <w:pgSz w:w="11900" w:h="16838" w:orient="portrait"/>
          <w:cols w:equalWidth="0" w:num="2">
            <w:col w:w="3460" w:space="200"/>
            <w:col w:w="7580"/>
          </w:cols>
          <w:pgMar w:left="320" w:top="141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Wednesday, April 1, 2026</w:t>
      </w:r>
    </w:p>
    <w:p>
      <w:pPr>
        <w:spacing w:after="0" w:line="128" w:lineRule="exact"/>
        <w:rPr>
          <w:sz w:val="20"/>
          <w:szCs w:val="20"/>
          <w:color w:val="auto"/>
        </w:rPr>
      </w:pPr>
    </w:p>
    <w:p>
      <w:pPr>
        <w:sectPr>
          <w:pgSz w:w="11900" w:h="16838" w:orient="portrait"/>
          <w:cols w:equalWidth="0" w:num="2">
            <w:col w:w="2560" w:space="720"/>
            <w:col w:w="7960"/>
          </w:cols>
          <w:pgMar w:left="320" w:top="1413" w:right="339" w:bottom="1440" w:gutter="0" w:footer="0" w:header="0"/>
          <w:type w:val="continuous"/>
        </w:sectPr>
      </w:pPr>
    </w:p>
    <w:p>
      <w:pPr>
        <w:ind w:left="3280" w:right="160"/>
        <w:spacing w:after="0" w:line="282" w:lineRule="auto"/>
        <w:rPr>
          <w:sz w:val="20"/>
          <w:szCs w:val="20"/>
          <w:color w:val="auto"/>
        </w:rPr>
      </w:pPr>
      <w:r>
        <w:rPr>
          <w:rFonts w:ascii="Times New Roman" w:cs="Times New Roman" w:eastAsia="Times New Roman" w:hAnsi="Times New Roman"/>
          <w:sz w:val="18"/>
          <w:szCs w:val="18"/>
          <w:color w:val="auto"/>
        </w:rPr>
        <w:t>Only stockholders of record as of Wednesday, April 1, 2026, at the close of business are entitled to notice of and to vote at the annual meeting.</w:t>
      </w:r>
    </w:p>
    <w:p>
      <w:pPr>
        <w:sectPr>
          <w:pgSz w:w="11900" w:h="16838" w:orient="portrait"/>
          <w:cols w:equalWidth="0" w:num="1">
            <w:col w:w="11240"/>
          </w:cols>
          <w:pgMar w:left="320" w:top="1413" w:right="33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Proxy Materials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i w:val="1"/>
          <w:iCs w:val="1"/>
          <w:color w:val="auto"/>
        </w:rPr>
        <w:t>The Notice of Internet Availability of Proxy Materials containing instructions on how to access our proxy statement, notice of annual meeting, form of proxy and our annual report, is first being sent or given on or about April 16, 2026, to all stockholders entitled to vote at the annual meeting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are providing access to our proxy materials over the Internet under the rules adopted by the Securities and Exchange Commission (SEC).</w:t>
      </w:r>
    </w:p>
    <w:p>
      <w:pPr>
        <w:spacing w:after="0" w:line="77" w:lineRule="exact"/>
        <w:rPr>
          <w:sz w:val="20"/>
          <w:szCs w:val="20"/>
          <w:color w:val="auto"/>
        </w:rPr>
      </w:pPr>
    </w:p>
    <w:p>
      <w:pPr>
        <w:sectPr>
          <w:pgSz w:w="11900" w:h="16838" w:orient="portrait"/>
          <w:cols w:equalWidth="0" w:num="2">
            <w:col w:w="2560" w:space="720"/>
            <w:col w:w="7960"/>
          </w:cols>
          <w:pgMar w:left="320" w:top="1413" w:right="339" w:bottom="1440" w:gutter="0" w:footer="0" w:header="0"/>
          <w:type w:val="continuous"/>
        </w:sectPr>
      </w:pPr>
    </w:p>
    <w:p>
      <w:pPr>
        <w:ind w:left="3280" w:right="1400"/>
        <w:spacing w:after="0" w:line="282" w:lineRule="auto"/>
        <w:rPr>
          <w:sz w:val="20"/>
          <w:szCs w:val="20"/>
          <w:color w:val="auto"/>
        </w:rPr>
      </w:pPr>
      <w:r>
        <w:rPr>
          <w:rFonts w:ascii="Times New Roman" w:cs="Times New Roman" w:eastAsia="Times New Roman" w:hAnsi="Times New Roman"/>
          <w:sz w:val="18"/>
          <w:szCs w:val="18"/>
          <w:color w:val="auto"/>
        </w:rPr>
        <w:t>The proxy materials and our annual report can be accessed as of April 16, 2026, by visiting www.proxydocs.com/TNYA.</w:t>
      </w:r>
    </w:p>
    <w:p>
      <w:pPr>
        <w:sectPr>
          <w:pgSz w:w="11900" w:h="16838" w:orient="portrait"/>
          <w:cols w:equalWidth="0" w:num="1">
            <w:col w:w="11240"/>
          </w:cols>
          <w:pgMar w:left="320" w:top="1413" w:right="33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b w:val="1"/>
          <w:bCs w:val="1"/>
          <w:color w:val="auto"/>
        </w:rPr>
        <w:t>Your vote is important</w:t>
      </w:r>
      <w:r>
        <w:rPr>
          <w:rFonts w:ascii="Times New Roman" w:cs="Times New Roman" w:eastAsia="Times New Roman" w:hAnsi="Times New Roman"/>
          <w:sz w:val="18"/>
          <w:szCs w:val="18"/>
          <w:color w:val="auto"/>
        </w:rPr>
        <w:t>. Whether or not you plan to attend the annual meeting, we urge you to submit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or voting instructions via the Internet, telephone or mail as soon as possible to ensure your shares are represented. For additional instructions for each of these voting options, please refer to the proxy card. Returning your proxy card does not deprive you of your right to attend the annual meeting and to vote your shares at the annual meeting. The proxy statement explains proxy voting and the matters to be voted on in more detail.</w:t>
      </w:r>
    </w:p>
    <w:p>
      <w:pPr>
        <w:spacing w:after="0" w:line="186" w:lineRule="exact"/>
        <w:rPr>
          <w:sz w:val="20"/>
          <w:szCs w:val="20"/>
          <w:color w:val="auto"/>
        </w:rPr>
      </w:pPr>
    </w:p>
    <w:p>
      <w:pPr>
        <w:sectPr>
          <w:pgSz w:w="11900" w:h="16838" w:orient="portrait"/>
          <w:cols w:equalWidth="0" w:num="2">
            <w:col w:w="2560" w:space="720"/>
            <w:col w:w="7960"/>
          </w:cols>
          <w:pgMar w:left="320" w:top="1413" w:right="339" w:bottom="1440" w:gutter="0" w:footer="0" w:header="0"/>
          <w:type w:val="continuous"/>
        </w:sect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154305</wp:posOffset>
            </wp:positionV>
            <wp:extent cx="994410"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94410" cy="48006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Faraz Ali, M.B.A.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April 16, 2026</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This proxy statement is being mailed to stockholders on or about April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60" w:type="dxa"/>
            <w:vAlign w:val="bottom"/>
            <w:gridSpan w:val="15"/>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412"/>
        </w:trPr>
        <w:tc>
          <w:tcPr>
            <w:tcW w:w="7660" w:type="dxa"/>
            <w:vAlign w:val="bottom"/>
            <w:tcBorders>
              <w:bottom w:val="single" w:sz="8" w:color="0000FF"/>
            </w:tcBorders>
            <w:gridSpan w:val="40"/>
          </w:tcPr>
          <w:p>
            <w:pPr>
              <w:spacing w:after="0"/>
              <w:rPr>
                <w:sz w:val="20"/>
                <w:szCs w:val="20"/>
                <w:color w:val="auto"/>
              </w:rPr>
            </w:pPr>
            <w:r>
              <w:rPr>
                <w:rFonts w:ascii="Times New Roman" w:cs="Times New Roman" w:eastAsia="Times New Roman" w:hAnsi="Times New Roman"/>
                <w:sz w:val="18"/>
                <w:szCs w:val="18"/>
                <w:color w:val="0000FF"/>
                <w:w w:val="99"/>
              </w:rPr>
              <w:t>QUESTIONS AND ANSWERS ABOUT THE PROXY MATERIALS AND OUR ANNUAL MEETING</w:t>
            </w:r>
          </w:p>
        </w:tc>
        <w:tc>
          <w:tcPr>
            <w:tcW w:w="3060" w:type="dxa"/>
            <w:vAlign w:val="bottom"/>
            <w:gridSpan w:val="5"/>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37"/>
        </w:trPr>
        <w:tc>
          <w:tcPr>
            <w:tcW w:w="480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w w:val="99"/>
              </w:rPr>
              <w:t>BOARD OF DIRECTORS AND CORPORATE GOVERNANCE</w:t>
            </w:r>
          </w:p>
        </w:tc>
        <w:tc>
          <w:tcPr>
            <w:tcW w:w="5920" w:type="dxa"/>
            <w:vAlign w:val="bottom"/>
            <w:gridSpan w:val="13"/>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Composition of the Board</w:t>
            </w:r>
          </w:p>
        </w:tc>
        <w:tc>
          <w:tcPr>
            <w:tcW w:w="20" w:type="dxa"/>
            <w:vAlign w:val="bottom"/>
            <w:tcBorders>
              <w:bottom w:val="single" w:sz="8" w:color="0000EE"/>
            </w:tcBorders>
          </w:tcPr>
          <w:p>
            <w:pPr>
              <w:spacing w:after="0"/>
              <w:rPr>
                <w:sz w:val="20"/>
                <w:szCs w:val="20"/>
                <w:color w:val="auto"/>
              </w:rPr>
            </w:pPr>
          </w:p>
        </w:tc>
        <w:tc>
          <w:tcPr>
            <w:tcW w:w="8100" w:type="dxa"/>
            <w:vAlign w:val="bottom"/>
            <w:gridSpan w:val="27"/>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Class II Nominees for Director</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2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Continuing Directors</w:t>
            </w:r>
          </w:p>
        </w:tc>
        <w:tc>
          <w:tcPr>
            <w:tcW w:w="7780" w:type="dxa"/>
            <w:vAlign w:val="bottom"/>
            <w:gridSpan w:val="24"/>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Director Independence</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Board Leadership Structure</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Role of Board in Risk Oversight Process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Board Committees</w:t>
            </w:r>
          </w:p>
        </w:tc>
        <w:tc>
          <w:tcPr>
            <w:tcW w:w="20" w:type="dxa"/>
            <w:vAlign w:val="bottom"/>
            <w:tcBorders>
              <w:top w:val="single" w:sz="8" w:color="0000FF"/>
              <w:bottom w:val="single" w:sz="8" w:color="0000EE"/>
            </w:tcBorders>
          </w:tcPr>
          <w:p>
            <w:pPr>
              <w:spacing w:after="0"/>
              <w:rPr>
                <w:sz w:val="20"/>
                <w:szCs w:val="20"/>
                <w:color w:val="auto"/>
              </w:rPr>
            </w:pPr>
          </w:p>
        </w:tc>
        <w:tc>
          <w:tcPr>
            <w:tcW w:w="1540" w:type="dxa"/>
            <w:vAlign w:val="bottom"/>
            <w:tcBorders>
              <w:top w:val="single" w:sz="8" w:color="0000FF"/>
            </w:tcBorders>
            <w:gridSpan w:val="14"/>
          </w:tcPr>
          <w:p>
            <w:pPr>
              <w:spacing w:after="0"/>
              <w:rPr>
                <w:sz w:val="20"/>
                <w:szCs w:val="20"/>
                <w:color w:val="auto"/>
              </w:rPr>
            </w:pPr>
          </w:p>
        </w:tc>
        <w:tc>
          <w:tcPr>
            <w:tcW w:w="7080" w:type="dxa"/>
            <w:vAlign w:val="bottom"/>
            <w:gridSpan w:val="22"/>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Attendance at Board and Stockholders Meetings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Compensation Committee Interlocks and Insider Participation</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6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Considerations in Evaluating Director Nominees</w:t>
            </w:r>
          </w:p>
        </w:tc>
        <w:tc>
          <w:tcPr>
            <w:tcW w:w="5540" w:type="dxa"/>
            <w:vAlign w:val="bottom"/>
            <w:gridSpan w:val="12"/>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Stockholders Recommendations and Nominations to our Board of Directors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60" w:type="dxa"/>
            <w:vAlign w:val="bottom"/>
            <w:tcBorders>
              <w:top w:val="single" w:sz="8" w:color="0000FF"/>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Communications with the Board of Directors</w:t>
            </w:r>
          </w:p>
        </w:tc>
        <w:tc>
          <w:tcPr>
            <w:tcW w:w="20" w:type="dxa"/>
            <w:vAlign w:val="bottom"/>
            <w:tcBorders>
              <w:top w:val="single" w:sz="8" w:color="0000FF"/>
              <w:bottom w:val="single" w:sz="8" w:color="0000EE"/>
            </w:tcBorders>
          </w:tcPr>
          <w:p>
            <w:pPr>
              <w:spacing w:after="0"/>
              <w:rPr>
                <w:sz w:val="20"/>
                <w:szCs w:val="20"/>
                <w:color w:val="auto"/>
              </w:rPr>
            </w:pPr>
          </w:p>
        </w:tc>
        <w:tc>
          <w:tcPr>
            <w:tcW w:w="2180" w:type="dxa"/>
            <w:vAlign w:val="bottom"/>
            <w:tcBorders>
              <w:top w:val="single" w:sz="8" w:color="0000FF"/>
            </w:tcBorders>
            <w:gridSpan w:val="13"/>
          </w:tcPr>
          <w:p>
            <w:pPr>
              <w:spacing w:after="0"/>
              <w:rPr>
                <w:sz w:val="20"/>
                <w:szCs w:val="20"/>
                <w:color w:val="auto"/>
              </w:rPr>
            </w:pPr>
          </w:p>
        </w:tc>
        <w:tc>
          <w:tcPr>
            <w:tcW w:w="4540" w:type="dxa"/>
            <w:vAlign w:val="bottom"/>
            <w:gridSpan w:val="7"/>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Policy Prohibiting Hedging or Pledging of Securities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Insider Trading Policy</w:t>
            </w:r>
          </w:p>
        </w:tc>
        <w:tc>
          <w:tcPr>
            <w:tcW w:w="2180" w:type="dxa"/>
            <w:vAlign w:val="bottom"/>
            <w:tcBorders>
              <w:top w:val="single" w:sz="8" w:color="0000FF"/>
            </w:tcBorders>
            <w:gridSpan w:val="17"/>
          </w:tcPr>
          <w:p>
            <w:pPr>
              <w:spacing w:after="0"/>
              <w:rPr>
                <w:sz w:val="20"/>
                <w:szCs w:val="20"/>
                <w:color w:val="auto"/>
              </w:rPr>
            </w:pPr>
          </w:p>
        </w:tc>
        <w:tc>
          <w:tcPr>
            <w:tcW w:w="6200" w:type="dxa"/>
            <w:vAlign w:val="bottom"/>
            <w:gridSpan w:val="17"/>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Corporate Governance Guidelines and Code of Business Conduct and Ethics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20" w:type="dxa"/>
            <w:vAlign w:val="bottom"/>
            <w:tcBorders>
              <w:top w:val="single" w:sz="8" w:color="0000FF"/>
            </w:tcBorders>
            <w:gridSpan w:val="37"/>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4480" w:type="dxa"/>
            <w:vAlign w:val="bottom"/>
            <w:gridSpan w:val="6"/>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72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PROPOSAL NO. 1 ELECTION OF CLASS II DIRECTORS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2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370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Nominees</w:t>
            </w:r>
          </w:p>
        </w:tc>
        <w:tc>
          <w:tcPr>
            <w:tcW w:w="6300" w:type="dxa"/>
            <w:vAlign w:val="bottom"/>
            <w:gridSpan w:val="18"/>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Vote Required</w:t>
            </w:r>
          </w:p>
        </w:tc>
        <w:tc>
          <w:tcPr>
            <w:tcW w:w="20" w:type="dxa"/>
            <w:vAlign w:val="bottom"/>
            <w:tcBorders>
              <w:bottom w:val="single" w:sz="8" w:color="0000EE"/>
            </w:tcBorders>
          </w:tcPr>
          <w:p>
            <w:pPr>
              <w:spacing w:after="0"/>
              <w:rPr>
                <w:sz w:val="20"/>
                <w:szCs w:val="20"/>
                <w:color w:val="auto"/>
              </w:rPr>
            </w:pPr>
          </w:p>
        </w:tc>
        <w:tc>
          <w:tcPr>
            <w:tcW w:w="8920" w:type="dxa"/>
            <w:vAlign w:val="bottom"/>
            <w:gridSpan w:val="39"/>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Board Recommendation</w:t>
            </w:r>
          </w:p>
        </w:tc>
        <w:tc>
          <w:tcPr>
            <w:tcW w:w="20" w:type="dxa"/>
            <w:vAlign w:val="bottom"/>
            <w:tcBorders>
              <w:bottom w:val="single" w:sz="8" w:color="0000EE"/>
            </w:tcBorders>
          </w:tcPr>
          <w:p>
            <w:pPr>
              <w:spacing w:after="0"/>
              <w:rPr>
                <w:sz w:val="20"/>
                <w:szCs w:val="20"/>
                <w:color w:val="auto"/>
              </w:rPr>
            </w:pPr>
          </w:p>
        </w:tc>
        <w:tc>
          <w:tcPr>
            <w:tcW w:w="8180" w:type="dxa"/>
            <w:vAlign w:val="bottom"/>
            <w:gridSpan w:val="29"/>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6"/>
        </w:trPr>
        <w:tc>
          <w:tcPr>
            <w:tcW w:w="1072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PROPOSAL NO. 2 RATIFICATION OF APPOINTMENT OF INDEPENDENT REGISTERED PUBLIC ACCOUNTING FIRM</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4680" w:type="dxa"/>
            <w:vAlign w:val="bottom"/>
            <w:tcBorders>
              <w:top w:val="single" w:sz="8" w:color="0000FF"/>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Fees Paid to the Independent Registered Public Accounting Firm</w:t>
            </w:r>
          </w:p>
        </w:tc>
        <w:tc>
          <w:tcPr>
            <w:tcW w:w="4020" w:type="dxa"/>
            <w:vAlign w:val="bottom"/>
            <w:tcBorders>
              <w:top w:val="single" w:sz="8" w:color="0000FF"/>
            </w:tcBorders>
            <w:gridSpan w:val="6"/>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260" w:type="dxa"/>
            <w:vAlign w:val="bottom"/>
            <w:gridSpan w:val="3"/>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Auditor Independence</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4"/>
            <w:shd w:val="clear" w:color="auto" w:fill="0000FF"/>
          </w:tcPr>
          <w:p>
            <w:pPr>
              <w:spacing w:after="0" w:line="20" w:lineRule="exact"/>
              <w:rPr>
                <w:sz w:val="1"/>
                <w:szCs w:val="1"/>
                <w:color w:val="auto"/>
              </w:rPr>
            </w:pPr>
          </w:p>
        </w:tc>
        <w:tc>
          <w:tcPr>
            <w:tcW w:w="420" w:type="dxa"/>
            <w:vAlign w:val="bottom"/>
            <w:tcBorders>
              <w:right w:val="single" w:sz="8" w:color="0000EE"/>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700" w:type="dxa"/>
            <w:vAlign w:val="bottom"/>
            <w:tcBorders>
              <w:bottom w:val="single" w:sz="8" w:color="0000FF"/>
            </w:tcBorders>
            <w:gridSpan w:val="41"/>
          </w:tcPr>
          <w:p>
            <w:pPr>
              <w:spacing w:after="0"/>
              <w:rPr>
                <w:sz w:val="20"/>
                <w:szCs w:val="20"/>
                <w:color w:val="auto"/>
              </w:rPr>
            </w:pPr>
            <w:r>
              <w:rPr>
                <w:rFonts w:ascii="Times New Roman" w:cs="Times New Roman" w:eastAsia="Times New Roman" w:hAnsi="Times New Roman"/>
                <w:sz w:val="18"/>
                <w:szCs w:val="18"/>
                <w:color w:val="0000FF"/>
              </w:rPr>
              <w:t>Audit Committee Policy on Pre-Approval of Audit and Permissible Non-Audit Services of Independent Registered Public Accounting</w:t>
            </w:r>
          </w:p>
        </w:tc>
        <w:tc>
          <w:tcPr>
            <w:tcW w:w="30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FF"/>
              </w:rPr>
              <w:t>Firm</w:t>
            </w:r>
          </w:p>
        </w:tc>
        <w:tc>
          <w:tcPr>
            <w:tcW w:w="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Vote Required</w:t>
            </w:r>
          </w:p>
        </w:tc>
        <w:tc>
          <w:tcPr>
            <w:tcW w:w="20" w:type="dxa"/>
            <w:vAlign w:val="bottom"/>
            <w:tcBorders>
              <w:bottom w:val="single" w:sz="8" w:color="0000EE"/>
            </w:tcBorders>
          </w:tcPr>
          <w:p>
            <w:pPr>
              <w:spacing w:after="0"/>
              <w:rPr>
                <w:sz w:val="20"/>
                <w:szCs w:val="20"/>
                <w:color w:val="auto"/>
              </w:rPr>
            </w:pPr>
          </w:p>
        </w:tc>
        <w:tc>
          <w:tcPr>
            <w:tcW w:w="8920" w:type="dxa"/>
            <w:vAlign w:val="bottom"/>
            <w:gridSpan w:val="39"/>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Board Recommendation</w:t>
            </w:r>
          </w:p>
        </w:tc>
        <w:tc>
          <w:tcPr>
            <w:tcW w:w="8200" w:type="dxa"/>
            <w:vAlign w:val="bottom"/>
            <w:gridSpan w:val="30"/>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6"/>
        </w:trPr>
        <w:tc>
          <w:tcPr>
            <w:tcW w:w="24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AUDIT COMMITTEE REPORT</w:t>
            </w:r>
          </w:p>
        </w:tc>
        <w:tc>
          <w:tcPr>
            <w:tcW w:w="8300" w:type="dxa"/>
            <w:vAlign w:val="bottom"/>
            <w:gridSpan w:val="33"/>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0640" w:type="dxa"/>
            <w:vAlign w:val="bottom"/>
            <w:tcBorders>
              <w:bottom w:val="single" w:sz="8" w:color="0000FF"/>
            </w:tcBorders>
            <w:gridSpan w:val="43"/>
          </w:tcPr>
          <w:p>
            <w:pPr>
              <w:spacing w:after="0" w:line="182" w:lineRule="exact"/>
              <w:rPr>
                <w:sz w:val="20"/>
                <w:szCs w:val="20"/>
                <w:color w:val="auto"/>
              </w:rPr>
            </w:pPr>
            <w:r>
              <w:rPr>
                <w:rFonts w:ascii="Times New Roman" w:cs="Times New Roman" w:eastAsia="Times New Roman" w:hAnsi="Times New Roman"/>
                <w:sz w:val="18"/>
                <w:szCs w:val="18"/>
                <w:color w:val="0000FF"/>
                <w:w w:val="99"/>
              </w:rPr>
              <w:t>PROPOSAL NO. 3 APPROVAL OF THE TENAYA THERAPEUTICS, INC. AMENDED AND RESTATED 2021 EQUITY INCENTIVE PLAN</w:t>
            </w:r>
          </w:p>
        </w:tc>
        <w:tc>
          <w:tcPr>
            <w:tcW w:w="60" w:type="dxa"/>
            <w:vAlign w:val="bottom"/>
            <w:vMerge w:val="restart"/>
          </w:tcPr>
          <w:p>
            <w:pPr>
              <w:spacing w:after="0"/>
              <w:rPr>
                <w:sz w:val="17"/>
                <w:szCs w:val="17"/>
                <w:color w:val="auto"/>
              </w:rPr>
            </w:pP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3"/>
        </w:trPr>
        <w:tc>
          <w:tcPr>
            <w:tcW w:w="20" w:type="dxa"/>
            <w:vAlign w:val="bottom"/>
            <w:vMerge w:val="continue"/>
          </w:tcPr>
          <w:p>
            <w:pPr>
              <w:spacing w:after="0"/>
              <w:rPr>
                <w:sz w:val="3"/>
                <w:szCs w:val="3"/>
                <w:color w:val="auto"/>
              </w:rPr>
            </w:pPr>
          </w:p>
        </w:tc>
        <w:tc>
          <w:tcPr>
            <w:tcW w:w="1900" w:type="dxa"/>
            <w:vAlign w:val="bottom"/>
            <w:gridSpan w:val="6"/>
          </w:tcPr>
          <w:p>
            <w:pPr>
              <w:spacing w:after="0"/>
              <w:rPr>
                <w:sz w:val="3"/>
                <w:szCs w:val="3"/>
                <w:color w:val="auto"/>
              </w:rPr>
            </w:pPr>
          </w:p>
        </w:tc>
        <w:tc>
          <w:tcPr>
            <w:tcW w:w="560" w:type="dxa"/>
            <w:vAlign w:val="bottom"/>
            <w:gridSpan w:val="6"/>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gridSpan w:val="5"/>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gridSpan w:val="2"/>
          </w:tcPr>
          <w:p>
            <w:pPr>
              <w:spacing w:after="0"/>
              <w:rPr>
                <w:sz w:val="3"/>
                <w:szCs w:val="3"/>
                <w:color w:val="auto"/>
              </w:rPr>
            </w:pPr>
          </w:p>
        </w:tc>
        <w:tc>
          <w:tcPr>
            <w:tcW w:w="1580" w:type="dxa"/>
            <w:vAlign w:val="bottom"/>
            <w:gridSpan w:val="7"/>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gridSpan w:val="3"/>
          </w:tcPr>
          <w:p>
            <w:pPr>
              <w:spacing w:after="0"/>
              <w:rPr>
                <w:sz w:val="3"/>
                <w:szCs w:val="3"/>
                <w:color w:val="auto"/>
              </w:rPr>
            </w:pPr>
          </w:p>
        </w:tc>
        <w:tc>
          <w:tcPr>
            <w:tcW w:w="48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4540" w:type="dxa"/>
            <w:vAlign w:val="bottom"/>
            <w:gridSpan w:val="7"/>
          </w:tcPr>
          <w:p>
            <w:pPr>
              <w:spacing w:after="0"/>
              <w:rPr>
                <w:sz w:val="3"/>
                <w:szCs w:val="3"/>
                <w:color w:val="auto"/>
              </w:rPr>
            </w:pPr>
          </w:p>
        </w:tc>
        <w:tc>
          <w:tcPr>
            <w:tcW w:w="60" w:type="dxa"/>
            <w:vAlign w:val="bottom"/>
            <w:vMerge w:val="continue"/>
          </w:tcPr>
          <w:p>
            <w:pPr>
              <w:spacing w:after="0"/>
              <w:rPr>
                <w:sz w:val="3"/>
                <w:szCs w:val="3"/>
                <w:color w:val="auto"/>
              </w:rPr>
            </w:pPr>
          </w:p>
        </w:tc>
        <w:tc>
          <w:tcPr>
            <w:tcW w:w="5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0" w:type="dxa"/>
            <w:vAlign w:val="bottom"/>
            <w:tcBorders>
              <w:bottom w:val="single" w:sz="8" w:color="0000FF"/>
            </w:tcBorders>
            <w:gridSpan w:val="35"/>
          </w:tcPr>
          <w:p>
            <w:pPr>
              <w:spacing w:after="0" w:line="174" w:lineRule="exact"/>
              <w:rPr>
                <w:sz w:val="20"/>
                <w:szCs w:val="20"/>
                <w:color w:val="auto"/>
              </w:rPr>
            </w:pPr>
            <w:r>
              <w:rPr>
                <w:rFonts w:ascii="Times New Roman" w:cs="Times New Roman" w:eastAsia="Times New Roman" w:hAnsi="Times New Roman"/>
                <w:sz w:val="18"/>
                <w:szCs w:val="18"/>
                <w:color w:val="0000FF"/>
                <w:w w:val="99"/>
              </w:rPr>
              <w:t>Material Differences Between the Current 2021 Plan and the Restated Plan</w:t>
            </w:r>
          </w:p>
        </w:tc>
        <w:tc>
          <w:tcPr>
            <w:tcW w:w="4600" w:type="dxa"/>
            <w:vAlign w:val="bottom"/>
            <w:gridSpan w:val="8"/>
            <w:vMerge w:val="restart"/>
          </w:tcPr>
          <w:p>
            <w:pPr>
              <w:spacing w:after="0"/>
              <w:rPr>
                <w:sz w:val="16"/>
                <w:szCs w:val="16"/>
                <w:color w:val="auto"/>
              </w:rPr>
            </w:pP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520" w:type="dxa"/>
            <w:vAlign w:val="bottom"/>
            <w:gridSpan w:val="32"/>
            <w:vMerge w:val="restart"/>
          </w:tcPr>
          <w:p>
            <w:pPr>
              <w:spacing w:after="0"/>
              <w:rPr>
                <w:sz w:val="20"/>
                <w:szCs w:val="20"/>
                <w:color w:val="auto"/>
              </w:rPr>
            </w:pPr>
            <w:r>
              <w:rPr>
                <w:rFonts w:ascii="Times New Roman" w:cs="Times New Roman" w:eastAsia="Times New Roman" w:hAnsi="Times New Roman"/>
                <w:sz w:val="18"/>
                <w:szCs w:val="18"/>
                <w:color w:val="0000FF"/>
                <w:w w:val="99"/>
              </w:rPr>
              <w:t>Why Should Stockholders Vote to Approve the Restated Plan?</w:t>
            </w:r>
          </w:p>
        </w:tc>
        <w:tc>
          <w:tcPr>
            <w:tcW w:w="48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4600" w:type="dxa"/>
            <w:vAlign w:val="bottom"/>
            <w:gridSpan w:val="8"/>
            <w:vMerge w:val="continue"/>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520" w:type="dxa"/>
            <w:vAlign w:val="bottom"/>
            <w:tcBorders>
              <w:bottom w:val="single" w:sz="8" w:color="0000FF"/>
            </w:tcBorders>
            <w:gridSpan w:val="32"/>
            <w:vMerge w:val="continue"/>
          </w:tcPr>
          <w:p>
            <w:pPr>
              <w:spacing w:after="0"/>
              <w:rPr>
                <w:sz w:val="15"/>
                <w:szCs w:val="15"/>
                <w:color w:val="auto"/>
              </w:rPr>
            </w:pPr>
          </w:p>
        </w:tc>
        <w:tc>
          <w:tcPr>
            <w:tcW w:w="480" w:type="dxa"/>
            <w:vAlign w:val="bottom"/>
            <w:gridSpan w:val="2"/>
            <w:vMerge w:val="restart"/>
          </w:tcPr>
          <w:p>
            <w:pPr>
              <w:spacing w:after="0"/>
              <w:rPr>
                <w:sz w:val="15"/>
                <w:szCs w:val="15"/>
                <w:color w:val="auto"/>
              </w:rPr>
            </w:pPr>
          </w:p>
        </w:tc>
        <w:tc>
          <w:tcPr>
            <w:tcW w:w="5000" w:type="dxa"/>
            <w:vAlign w:val="bottom"/>
            <w:gridSpan w:val="9"/>
            <w:vMerge w:val="restart"/>
          </w:tcPr>
          <w:p>
            <w:pPr>
              <w:spacing w:after="0"/>
              <w:rPr>
                <w:sz w:val="15"/>
                <w:szCs w:val="15"/>
                <w:color w:val="auto"/>
              </w:rPr>
            </w:pP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18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w w:val="98"/>
              </w:rPr>
              <w:t>Summary of the Restated Plan</w:t>
            </w:r>
          </w:p>
        </w:tc>
        <w:tc>
          <w:tcPr>
            <w:tcW w:w="60" w:type="dxa"/>
            <w:vAlign w:val="bottom"/>
            <w:gridSpan w:val="2"/>
          </w:tcPr>
          <w:p>
            <w:pPr>
              <w:spacing w:after="0"/>
              <w:rPr>
                <w:sz w:val="5"/>
                <w:szCs w:val="5"/>
                <w:color w:val="auto"/>
              </w:rPr>
            </w:pPr>
          </w:p>
        </w:tc>
        <w:tc>
          <w:tcPr>
            <w:tcW w:w="1580" w:type="dxa"/>
            <w:vAlign w:val="bottom"/>
            <w:gridSpan w:val="7"/>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gridSpan w:val="3"/>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5000" w:type="dxa"/>
            <w:vAlign w:val="bottom"/>
            <w:gridSpan w:val="9"/>
            <w:vMerge w:val="continue"/>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80" w:type="dxa"/>
            <w:vAlign w:val="bottom"/>
            <w:tcBorders>
              <w:bottom w:val="single" w:sz="8" w:color="0000FF"/>
            </w:tcBorders>
            <w:gridSpan w:val="18"/>
            <w:vMerge w:val="continue"/>
          </w:tcPr>
          <w:p>
            <w:pPr>
              <w:spacing w:after="0"/>
              <w:rPr>
                <w:sz w:val="15"/>
                <w:szCs w:val="15"/>
                <w:color w:val="auto"/>
              </w:rPr>
            </w:pPr>
          </w:p>
        </w:tc>
        <w:tc>
          <w:tcPr>
            <w:tcW w:w="60" w:type="dxa"/>
            <w:vAlign w:val="bottom"/>
            <w:gridSpan w:val="2"/>
          </w:tcPr>
          <w:p>
            <w:pPr>
              <w:spacing w:after="0"/>
              <w:rPr>
                <w:sz w:val="15"/>
                <w:szCs w:val="15"/>
                <w:color w:val="auto"/>
              </w:rPr>
            </w:pPr>
          </w:p>
        </w:tc>
        <w:tc>
          <w:tcPr>
            <w:tcW w:w="158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vMerge w:val="restart"/>
          </w:tcPr>
          <w:p>
            <w:pPr>
              <w:spacing w:after="0"/>
              <w:rPr>
                <w:sz w:val="15"/>
                <w:szCs w:val="15"/>
                <w:color w:val="auto"/>
              </w:rPr>
            </w:pPr>
          </w:p>
        </w:tc>
        <w:tc>
          <w:tcPr>
            <w:tcW w:w="1060" w:type="dxa"/>
            <w:vAlign w:val="bottom"/>
            <w:gridSpan w:val="5"/>
            <w:vMerge w:val="restart"/>
          </w:tcPr>
          <w:p>
            <w:pPr>
              <w:spacing w:after="0"/>
              <w:rPr>
                <w:sz w:val="15"/>
                <w:szCs w:val="15"/>
                <w:color w:val="auto"/>
              </w:rPr>
            </w:pPr>
          </w:p>
        </w:tc>
        <w:tc>
          <w:tcPr>
            <w:tcW w:w="5000" w:type="dxa"/>
            <w:vAlign w:val="bottom"/>
            <w:gridSpan w:val="9"/>
            <w:vMerge w:val="restart"/>
          </w:tcPr>
          <w:p>
            <w:pPr>
              <w:spacing w:after="0"/>
              <w:rPr>
                <w:sz w:val="15"/>
                <w:szCs w:val="15"/>
                <w:color w:val="auto"/>
              </w:rPr>
            </w:pP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20" w:type="dxa"/>
            <w:vAlign w:val="bottom"/>
            <w:gridSpan w:val="27"/>
            <w:vMerge w:val="restart"/>
          </w:tcPr>
          <w:p>
            <w:pPr>
              <w:spacing w:after="0"/>
              <w:rPr>
                <w:sz w:val="20"/>
                <w:szCs w:val="20"/>
                <w:color w:val="auto"/>
              </w:rPr>
            </w:pPr>
            <w:r>
              <w:rPr>
                <w:rFonts w:ascii="Times New Roman" w:cs="Times New Roman" w:eastAsia="Times New Roman" w:hAnsi="Times New Roman"/>
                <w:sz w:val="18"/>
                <w:szCs w:val="18"/>
                <w:color w:val="0000FF"/>
                <w:w w:val="99"/>
              </w:rPr>
              <w:t>Summary of U.S. Federal Income Tax Consequences</w:t>
            </w:r>
          </w:p>
        </w:tc>
        <w:tc>
          <w:tcPr>
            <w:tcW w:w="20" w:type="dxa"/>
            <w:vAlign w:val="bottom"/>
            <w:vMerge w:val="restart"/>
          </w:tcPr>
          <w:p>
            <w:pPr>
              <w:spacing w:after="0"/>
              <w:rPr>
                <w:sz w:val="5"/>
                <w:szCs w:val="5"/>
                <w:color w:val="auto"/>
              </w:rPr>
            </w:pPr>
          </w:p>
        </w:tc>
        <w:tc>
          <w:tcPr>
            <w:tcW w:w="100" w:type="dxa"/>
            <w:vAlign w:val="bottom"/>
            <w:vMerge w:val="continue"/>
          </w:tcPr>
          <w:p>
            <w:pPr>
              <w:spacing w:after="0"/>
              <w:rPr>
                <w:sz w:val="5"/>
                <w:szCs w:val="5"/>
                <w:color w:val="auto"/>
              </w:rPr>
            </w:pPr>
          </w:p>
        </w:tc>
        <w:tc>
          <w:tcPr>
            <w:tcW w:w="1060" w:type="dxa"/>
            <w:vAlign w:val="bottom"/>
            <w:gridSpan w:val="5"/>
            <w:vMerge w:val="continue"/>
          </w:tcPr>
          <w:p>
            <w:pPr>
              <w:spacing w:after="0"/>
              <w:rPr>
                <w:sz w:val="5"/>
                <w:szCs w:val="5"/>
                <w:color w:val="auto"/>
              </w:rPr>
            </w:pPr>
          </w:p>
        </w:tc>
        <w:tc>
          <w:tcPr>
            <w:tcW w:w="5000" w:type="dxa"/>
            <w:vAlign w:val="bottom"/>
            <w:gridSpan w:val="9"/>
            <w:vMerge w:val="continue"/>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20" w:type="dxa"/>
            <w:vAlign w:val="bottom"/>
            <w:tcBorders>
              <w:bottom w:val="single" w:sz="8" w:color="0000FF"/>
            </w:tcBorders>
            <w:gridSpan w:val="27"/>
            <w:vMerge w:val="continue"/>
          </w:tcPr>
          <w:p>
            <w:pPr>
              <w:spacing w:after="0"/>
              <w:rPr>
                <w:sz w:val="15"/>
                <w:szCs w:val="15"/>
                <w:color w:val="auto"/>
              </w:rPr>
            </w:pPr>
          </w:p>
        </w:tc>
        <w:tc>
          <w:tcPr>
            <w:tcW w:w="20" w:type="dxa"/>
            <w:vAlign w:val="bottom"/>
            <w:tcBorders>
              <w:bottom w:val="single" w:sz="8" w:color="0000EE"/>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5"/>
          </w:tcPr>
          <w:p>
            <w:pPr>
              <w:spacing w:after="0"/>
              <w:rPr>
                <w:sz w:val="15"/>
                <w:szCs w:val="15"/>
                <w:color w:val="auto"/>
              </w:rPr>
            </w:pPr>
          </w:p>
        </w:tc>
        <w:tc>
          <w:tcPr>
            <w:tcW w:w="5000" w:type="dxa"/>
            <w:vAlign w:val="bottom"/>
            <w:gridSpan w:val="9"/>
            <w:vMerge w:val="restart"/>
          </w:tcPr>
          <w:p>
            <w:pPr>
              <w:spacing w:after="0"/>
              <w:rPr>
                <w:sz w:val="15"/>
                <w:szCs w:val="15"/>
                <w:color w:val="auto"/>
              </w:rPr>
            </w:pP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0" w:type="dxa"/>
            <w:vAlign w:val="bottom"/>
            <w:gridSpan w:val="34"/>
            <w:vMerge w:val="restart"/>
          </w:tcPr>
          <w:p>
            <w:pPr>
              <w:spacing w:after="0"/>
              <w:rPr>
                <w:sz w:val="20"/>
                <w:szCs w:val="20"/>
                <w:color w:val="auto"/>
              </w:rPr>
            </w:pPr>
            <w:r>
              <w:rPr>
                <w:rFonts w:ascii="Times New Roman" w:cs="Times New Roman" w:eastAsia="Times New Roman" w:hAnsi="Times New Roman"/>
                <w:sz w:val="18"/>
                <w:szCs w:val="18"/>
                <w:color w:val="0000FF"/>
                <w:w w:val="99"/>
              </w:rPr>
              <w:t>Number of Awards Granted to Employees, Consultants and Directors</w:t>
            </w:r>
          </w:p>
        </w:tc>
        <w:tc>
          <w:tcPr>
            <w:tcW w:w="5000" w:type="dxa"/>
            <w:vAlign w:val="bottom"/>
            <w:gridSpan w:val="9"/>
            <w:vMerge w:val="continue"/>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0" w:type="dxa"/>
            <w:vAlign w:val="bottom"/>
            <w:tcBorders>
              <w:bottom w:val="single" w:sz="8" w:color="0000FF"/>
            </w:tcBorders>
            <w:gridSpan w:val="34"/>
            <w:vMerge w:val="continue"/>
          </w:tcPr>
          <w:p>
            <w:pPr>
              <w:spacing w:after="0"/>
              <w:rPr>
                <w:sz w:val="15"/>
                <w:szCs w:val="15"/>
                <w:color w:val="auto"/>
              </w:rPr>
            </w:pPr>
          </w:p>
        </w:tc>
        <w:tc>
          <w:tcPr>
            <w:tcW w:w="5000" w:type="dxa"/>
            <w:vAlign w:val="bottom"/>
            <w:gridSpan w:val="9"/>
            <w:vMerge w:val="restart"/>
          </w:tcPr>
          <w:p>
            <w:pPr>
              <w:spacing w:after="0"/>
              <w:rPr>
                <w:sz w:val="15"/>
                <w:szCs w:val="15"/>
                <w:color w:val="auto"/>
              </w:rPr>
            </w:pP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0" w:type="dxa"/>
            <w:vAlign w:val="bottom"/>
            <w:gridSpan w:val="5"/>
          </w:tcPr>
          <w:p>
            <w:pPr>
              <w:spacing w:after="0"/>
              <w:rPr>
                <w:sz w:val="3"/>
                <w:szCs w:val="3"/>
                <w:color w:val="auto"/>
              </w:rPr>
            </w:pPr>
          </w:p>
        </w:tc>
        <w:tc>
          <w:tcPr>
            <w:tcW w:w="560" w:type="dxa"/>
            <w:vAlign w:val="bottom"/>
            <w:gridSpan w:val="6"/>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gridSpan w:val="5"/>
          </w:tcPr>
          <w:p>
            <w:pPr>
              <w:spacing w:after="0"/>
              <w:rPr>
                <w:sz w:val="3"/>
                <w:szCs w:val="3"/>
                <w:color w:val="auto"/>
              </w:rPr>
            </w:pPr>
          </w:p>
        </w:tc>
        <w:tc>
          <w:tcPr>
            <w:tcW w:w="260" w:type="dxa"/>
            <w:vAlign w:val="bottom"/>
            <w:gridSpan w:val="3"/>
          </w:tcPr>
          <w:p>
            <w:pPr>
              <w:spacing w:after="0"/>
              <w:rPr>
                <w:sz w:val="3"/>
                <w:szCs w:val="3"/>
                <w:color w:val="auto"/>
              </w:rPr>
            </w:pPr>
          </w:p>
        </w:tc>
        <w:tc>
          <w:tcPr>
            <w:tcW w:w="1700" w:type="dxa"/>
            <w:vAlign w:val="bottom"/>
            <w:gridSpan w:val="9"/>
          </w:tcPr>
          <w:p>
            <w:pPr>
              <w:spacing w:after="0"/>
              <w:rPr>
                <w:sz w:val="3"/>
                <w:szCs w:val="3"/>
                <w:color w:val="auto"/>
              </w:rPr>
            </w:pPr>
          </w:p>
        </w:tc>
        <w:tc>
          <w:tcPr>
            <w:tcW w:w="1060" w:type="dxa"/>
            <w:vAlign w:val="bottom"/>
            <w:gridSpan w:val="5"/>
          </w:tcPr>
          <w:p>
            <w:pPr>
              <w:spacing w:after="0"/>
              <w:rPr>
                <w:sz w:val="3"/>
                <w:szCs w:val="3"/>
                <w:color w:val="auto"/>
              </w:rPr>
            </w:pPr>
          </w:p>
        </w:tc>
        <w:tc>
          <w:tcPr>
            <w:tcW w:w="5000" w:type="dxa"/>
            <w:vAlign w:val="bottom"/>
            <w:gridSpan w:val="9"/>
            <w:vMerge w:val="continue"/>
          </w:tcPr>
          <w:p>
            <w:pPr>
              <w:spacing w:after="0"/>
              <w:rPr>
                <w:sz w:val="3"/>
                <w:szCs w:val="3"/>
                <w:color w:val="auto"/>
              </w:rPr>
            </w:pPr>
          </w:p>
        </w:tc>
        <w:tc>
          <w:tcPr>
            <w:tcW w:w="5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Borders>
              <w:bottom w:val="single" w:sz="8" w:color="0000FF"/>
            </w:tcBorders>
            <w:gridSpan w:val="3"/>
          </w:tcPr>
          <w:p>
            <w:pPr>
              <w:spacing w:after="0" w:line="174" w:lineRule="exact"/>
              <w:rPr>
                <w:sz w:val="20"/>
                <w:szCs w:val="20"/>
                <w:color w:val="auto"/>
              </w:rPr>
            </w:pPr>
            <w:r>
              <w:rPr>
                <w:rFonts w:ascii="Times New Roman" w:cs="Times New Roman" w:eastAsia="Times New Roman" w:hAnsi="Times New Roman"/>
                <w:sz w:val="18"/>
                <w:szCs w:val="18"/>
                <w:color w:val="0000FF"/>
                <w:w w:val="98"/>
              </w:rPr>
              <w:t>Vote Required</w:t>
            </w:r>
          </w:p>
        </w:tc>
        <w:tc>
          <w:tcPr>
            <w:tcW w:w="20" w:type="dxa"/>
            <w:vAlign w:val="bottom"/>
            <w:tcBorders>
              <w:bottom w:val="single" w:sz="8" w:color="0000EE"/>
            </w:tcBorders>
          </w:tcPr>
          <w:p>
            <w:pPr>
              <w:spacing w:after="0"/>
              <w:rPr>
                <w:sz w:val="16"/>
                <w:szCs w:val="16"/>
                <w:color w:val="auto"/>
              </w:rPr>
            </w:pPr>
          </w:p>
        </w:tc>
        <w:tc>
          <w:tcPr>
            <w:tcW w:w="120" w:type="dxa"/>
            <w:vAlign w:val="bottom"/>
            <w:vMerge w:val="restart"/>
          </w:tcPr>
          <w:p>
            <w:pPr>
              <w:spacing w:after="0"/>
              <w:rPr>
                <w:sz w:val="16"/>
                <w:szCs w:val="16"/>
                <w:color w:val="auto"/>
              </w:rPr>
            </w:pPr>
          </w:p>
        </w:tc>
        <w:tc>
          <w:tcPr>
            <w:tcW w:w="560" w:type="dxa"/>
            <w:vAlign w:val="bottom"/>
            <w:gridSpan w:val="6"/>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00" w:type="dxa"/>
            <w:vAlign w:val="bottom"/>
            <w:gridSpan w:val="5"/>
            <w:vMerge w:val="restart"/>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1700" w:type="dxa"/>
            <w:vAlign w:val="bottom"/>
            <w:gridSpan w:val="9"/>
            <w:vMerge w:val="restart"/>
          </w:tcPr>
          <w:p>
            <w:pPr>
              <w:spacing w:after="0"/>
              <w:rPr>
                <w:sz w:val="16"/>
                <w:szCs w:val="16"/>
                <w:color w:val="auto"/>
              </w:rPr>
            </w:pPr>
          </w:p>
        </w:tc>
        <w:tc>
          <w:tcPr>
            <w:tcW w:w="6060" w:type="dxa"/>
            <w:vAlign w:val="bottom"/>
            <w:gridSpan w:val="14"/>
            <w:vMerge w:val="restart"/>
          </w:tcPr>
          <w:p>
            <w:pPr>
              <w:spacing w:after="0"/>
              <w:rPr>
                <w:sz w:val="16"/>
                <w:szCs w:val="16"/>
                <w:color w:val="auto"/>
              </w:rPr>
            </w:pP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80" w:type="dxa"/>
            <w:vAlign w:val="bottom"/>
            <w:gridSpan w:val="4"/>
          </w:tcPr>
          <w:p>
            <w:pPr>
              <w:spacing w:after="0"/>
              <w:rPr>
                <w:sz w:val="3"/>
                <w:szCs w:val="3"/>
                <w:color w:val="auto"/>
              </w:rPr>
            </w:pPr>
          </w:p>
        </w:tc>
        <w:tc>
          <w:tcPr>
            <w:tcW w:w="120" w:type="dxa"/>
            <w:vAlign w:val="bottom"/>
            <w:vMerge w:val="continue"/>
          </w:tcPr>
          <w:p>
            <w:pPr>
              <w:spacing w:after="0"/>
              <w:rPr>
                <w:sz w:val="3"/>
                <w:szCs w:val="3"/>
                <w:color w:val="auto"/>
              </w:rPr>
            </w:pPr>
          </w:p>
        </w:tc>
        <w:tc>
          <w:tcPr>
            <w:tcW w:w="560" w:type="dxa"/>
            <w:vAlign w:val="bottom"/>
            <w:gridSpan w:val="6"/>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0" w:type="dxa"/>
            <w:vAlign w:val="bottom"/>
            <w:gridSpan w:val="5"/>
            <w:vMerge w:val="continue"/>
          </w:tcPr>
          <w:p>
            <w:pPr>
              <w:spacing w:after="0"/>
              <w:rPr>
                <w:sz w:val="3"/>
                <w:szCs w:val="3"/>
                <w:color w:val="auto"/>
              </w:rPr>
            </w:pPr>
          </w:p>
        </w:tc>
        <w:tc>
          <w:tcPr>
            <w:tcW w:w="260" w:type="dxa"/>
            <w:vAlign w:val="bottom"/>
            <w:gridSpan w:val="3"/>
            <w:vMerge w:val="continue"/>
          </w:tcPr>
          <w:p>
            <w:pPr>
              <w:spacing w:after="0"/>
              <w:rPr>
                <w:sz w:val="3"/>
                <w:szCs w:val="3"/>
                <w:color w:val="auto"/>
              </w:rPr>
            </w:pPr>
          </w:p>
        </w:tc>
        <w:tc>
          <w:tcPr>
            <w:tcW w:w="1700" w:type="dxa"/>
            <w:vAlign w:val="bottom"/>
            <w:gridSpan w:val="9"/>
            <w:vMerge w:val="continue"/>
          </w:tcPr>
          <w:p>
            <w:pPr>
              <w:spacing w:after="0"/>
              <w:rPr>
                <w:sz w:val="3"/>
                <w:szCs w:val="3"/>
                <w:color w:val="auto"/>
              </w:rPr>
            </w:pPr>
          </w:p>
        </w:tc>
        <w:tc>
          <w:tcPr>
            <w:tcW w:w="6060" w:type="dxa"/>
            <w:vAlign w:val="bottom"/>
            <w:gridSpan w:val="14"/>
            <w:vMerge w:val="continue"/>
          </w:tcPr>
          <w:p>
            <w:pPr>
              <w:spacing w:after="0"/>
              <w:rPr>
                <w:sz w:val="3"/>
                <w:szCs w:val="3"/>
                <w:color w:val="auto"/>
              </w:rPr>
            </w:pPr>
          </w:p>
        </w:tc>
        <w:tc>
          <w:tcPr>
            <w:tcW w:w="5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0" w:type="dxa"/>
            <w:vAlign w:val="bottom"/>
            <w:tcBorders>
              <w:bottom w:val="single" w:sz="8" w:color="0000FF"/>
            </w:tcBorders>
            <w:gridSpan w:val="13"/>
          </w:tcPr>
          <w:p>
            <w:pPr>
              <w:spacing w:after="0" w:line="174" w:lineRule="exact"/>
              <w:rPr>
                <w:sz w:val="20"/>
                <w:szCs w:val="20"/>
                <w:color w:val="auto"/>
              </w:rPr>
            </w:pPr>
            <w:r>
              <w:rPr>
                <w:rFonts w:ascii="Times New Roman" w:cs="Times New Roman" w:eastAsia="Times New Roman" w:hAnsi="Times New Roman"/>
                <w:sz w:val="18"/>
                <w:szCs w:val="18"/>
                <w:color w:val="0000FF"/>
              </w:rPr>
              <w:t>Board Recommendation</w:t>
            </w:r>
          </w:p>
        </w:tc>
        <w:tc>
          <w:tcPr>
            <w:tcW w:w="180" w:type="dxa"/>
            <w:vAlign w:val="bottom"/>
            <w:gridSpan w:val="4"/>
            <w:vMerge w:val="restart"/>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1700" w:type="dxa"/>
            <w:vAlign w:val="bottom"/>
            <w:gridSpan w:val="9"/>
            <w:vMerge w:val="restart"/>
          </w:tcPr>
          <w:p>
            <w:pPr>
              <w:spacing w:after="0"/>
              <w:rPr>
                <w:sz w:val="16"/>
                <w:szCs w:val="16"/>
                <w:color w:val="auto"/>
              </w:rPr>
            </w:pPr>
          </w:p>
        </w:tc>
        <w:tc>
          <w:tcPr>
            <w:tcW w:w="6060" w:type="dxa"/>
            <w:vAlign w:val="bottom"/>
            <w:gridSpan w:val="14"/>
            <w:vMerge w:val="restart"/>
          </w:tcPr>
          <w:p>
            <w:pPr>
              <w:spacing w:after="0"/>
              <w:rPr>
                <w:sz w:val="16"/>
                <w:szCs w:val="16"/>
                <w:color w:val="auto"/>
              </w:rPr>
            </w:pP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0" w:type="dxa"/>
            <w:vAlign w:val="bottom"/>
            <w:gridSpan w:val="5"/>
          </w:tcPr>
          <w:p>
            <w:pPr>
              <w:spacing w:after="0"/>
              <w:rPr>
                <w:sz w:val="5"/>
                <w:szCs w:val="5"/>
                <w:color w:val="auto"/>
              </w:rPr>
            </w:pPr>
          </w:p>
        </w:tc>
        <w:tc>
          <w:tcPr>
            <w:tcW w:w="560" w:type="dxa"/>
            <w:vAlign w:val="bottom"/>
            <w:gridSpan w:val="6"/>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gridSpan w:val="4"/>
            <w:vMerge w:val="continue"/>
          </w:tcPr>
          <w:p>
            <w:pPr>
              <w:spacing w:after="0"/>
              <w:rPr>
                <w:sz w:val="5"/>
                <w:szCs w:val="5"/>
                <w:color w:val="auto"/>
              </w:rPr>
            </w:pPr>
          </w:p>
        </w:tc>
        <w:tc>
          <w:tcPr>
            <w:tcW w:w="260" w:type="dxa"/>
            <w:vAlign w:val="bottom"/>
            <w:gridSpan w:val="3"/>
            <w:vMerge w:val="continue"/>
          </w:tcPr>
          <w:p>
            <w:pPr>
              <w:spacing w:after="0"/>
              <w:rPr>
                <w:sz w:val="5"/>
                <w:szCs w:val="5"/>
                <w:color w:val="auto"/>
              </w:rPr>
            </w:pPr>
          </w:p>
        </w:tc>
        <w:tc>
          <w:tcPr>
            <w:tcW w:w="1700" w:type="dxa"/>
            <w:vAlign w:val="bottom"/>
            <w:gridSpan w:val="9"/>
            <w:vMerge w:val="continue"/>
          </w:tcPr>
          <w:p>
            <w:pPr>
              <w:spacing w:after="0"/>
              <w:rPr>
                <w:sz w:val="5"/>
                <w:szCs w:val="5"/>
                <w:color w:val="auto"/>
              </w:rPr>
            </w:pPr>
          </w:p>
        </w:tc>
        <w:tc>
          <w:tcPr>
            <w:tcW w:w="6060" w:type="dxa"/>
            <w:vAlign w:val="bottom"/>
            <w:gridSpan w:val="14"/>
            <w:vMerge w:val="continue"/>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720" w:type="dxa"/>
            <w:vAlign w:val="bottom"/>
            <w:gridSpan w:val="45"/>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1920" w:type="dxa"/>
            <w:vAlign w:val="bottom"/>
            <w:tcBorders>
              <w:right w:val="single" w:sz="8" w:color="0000EE"/>
            </w:tcBorders>
            <w:gridSpan w:val="7"/>
            <w:shd w:val="clear" w:color="auto" w:fill="0000FF"/>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6060" w:type="dxa"/>
            <w:vAlign w:val="bottom"/>
            <w:gridSpan w:val="1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4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bottom w:val="single" w:sz="8" w:color="0000EE"/>
            </w:tcBorders>
          </w:tcPr>
          <w:p>
            <w:pPr>
              <w:spacing w:after="0"/>
              <w:rPr>
                <w:sz w:val="20"/>
                <w:szCs w:val="20"/>
                <w:color w:val="auto"/>
              </w:rPr>
            </w:pPr>
          </w:p>
        </w:tc>
        <w:tc>
          <w:tcPr>
            <w:tcW w:w="8220" w:type="dxa"/>
            <w:vAlign w:val="bottom"/>
            <w:gridSpan w:val="31"/>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Processes and Procedures for Compensation Decisions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4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Summary Compensation Table</w:t>
            </w:r>
          </w:p>
        </w:tc>
        <w:tc>
          <w:tcPr>
            <w:tcW w:w="1700" w:type="dxa"/>
            <w:vAlign w:val="bottom"/>
            <w:tcBorders>
              <w:top w:val="single" w:sz="8" w:color="0000FF"/>
            </w:tcBorders>
            <w:gridSpan w:val="9"/>
          </w:tcPr>
          <w:p>
            <w:pPr>
              <w:spacing w:after="0"/>
              <w:rPr>
                <w:sz w:val="20"/>
                <w:szCs w:val="20"/>
                <w:color w:val="auto"/>
              </w:rPr>
            </w:pPr>
          </w:p>
        </w:tc>
        <w:tc>
          <w:tcPr>
            <w:tcW w:w="6060" w:type="dxa"/>
            <w:vAlign w:val="bottom"/>
            <w:gridSpan w:val="14"/>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Employment Arrangements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75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Change in Control and Severance Plan</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9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Equity Plans</w:t>
            </w:r>
          </w:p>
        </w:tc>
        <w:tc>
          <w:tcPr>
            <w:tcW w:w="20" w:type="dxa"/>
            <w:vAlign w:val="bottom"/>
            <w:tcBorders>
              <w:top w:val="single" w:sz="8" w:color="0000FF"/>
              <w:bottom w:val="single" w:sz="8" w:color="0000EE"/>
            </w:tcBorders>
          </w:tcPr>
          <w:p>
            <w:pPr>
              <w:spacing w:after="0"/>
              <w:rPr>
                <w:sz w:val="20"/>
                <w:szCs w:val="20"/>
                <w:color w:val="auto"/>
              </w:rPr>
            </w:pPr>
          </w:p>
        </w:tc>
        <w:tc>
          <w:tcPr>
            <w:tcW w:w="2600" w:type="dxa"/>
            <w:vAlign w:val="bottom"/>
            <w:tcBorders>
              <w:top w:val="single" w:sz="8" w:color="0000FF"/>
            </w:tcBorders>
            <w:gridSpan w:val="11"/>
          </w:tcPr>
          <w:p>
            <w:pPr>
              <w:spacing w:after="0"/>
              <w:rPr>
                <w:sz w:val="20"/>
                <w:szCs w:val="20"/>
                <w:color w:val="auto"/>
              </w:rPr>
            </w:pPr>
          </w:p>
        </w:tc>
        <w:tc>
          <w:tcPr>
            <w:tcW w:w="4020" w:type="dxa"/>
            <w:vAlign w:val="bottom"/>
            <w:gridSpan w:val="6"/>
          </w:tcPr>
          <w:p>
            <w:pPr>
              <w:spacing w:after="0"/>
              <w:rPr>
                <w:sz w:val="20"/>
                <w:szCs w:val="20"/>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75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Incentive Compensation Plan</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28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Clawback Policy</w:t>
            </w:r>
          </w:p>
        </w:tc>
        <w:tc>
          <w:tcPr>
            <w:tcW w:w="4680" w:type="dxa"/>
            <w:vAlign w:val="bottom"/>
            <w:gridSpan w:val="8"/>
          </w:tcPr>
          <w:p>
            <w:pPr>
              <w:spacing w:after="0"/>
              <w:rPr>
                <w:sz w:val="20"/>
                <w:szCs w:val="20"/>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12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401(k) Plan</w:t>
            </w:r>
          </w:p>
        </w:tc>
        <w:tc>
          <w:tcPr>
            <w:tcW w:w="6340" w:type="dxa"/>
            <w:vAlign w:val="bottom"/>
            <w:gridSpan w:val="16"/>
          </w:tcPr>
          <w:p>
            <w:pPr>
              <w:spacing w:after="0"/>
              <w:rPr>
                <w:sz w:val="20"/>
                <w:szCs w:val="20"/>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42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Policies and Practices for Granting Certain Equity Awards</w:t>
            </w:r>
          </w:p>
        </w:tc>
        <w:tc>
          <w:tcPr>
            <w:tcW w:w="3340" w:type="dxa"/>
            <w:vAlign w:val="bottom"/>
            <w:gridSpan w:val="3"/>
          </w:tcPr>
          <w:p>
            <w:pPr>
              <w:spacing w:after="0"/>
              <w:rPr>
                <w:sz w:val="20"/>
                <w:szCs w:val="20"/>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75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Outstanding Equity Awards at Fiscal 2025 Year-End</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28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Equity Compensation Plan Information</w:t>
            </w:r>
          </w:p>
        </w:tc>
        <w:tc>
          <w:tcPr>
            <w:tcW w:w="960" w:type="dxa"/>
            <w:vAlign w:val="bottom"/>
            <w:tcBorders>
              <w:top w:val="single" w:sz="8" w:color="0000FF"/>
            </w:tcBorders>
            <w:gridSpan w:val="4"/>
          </w:tcPr>
          <w:p>
            <w:pPr>
              <w:spacing w:after="0"/>
              <w:rPr>
                <w:sz w:val="20"/>
                <w:szCs w:val="20"/>
                <w:color w:val="auto"/>
              </w:rPr>
            </w:pPr>
          </w:p>
        </w:tc>
        <w:tc>
          <w:tcPr>
            <w:tcW w:w="3760" w:type="dxa"/>
            <w:vAlign w:val="bottom"/>
            <w:gridSpan w:val="5"/>
          </w:tcPr>
          <w:p>
            <w:pPr>
              <w:spacing w:after="0"/>
              <w:rPr>
                <w:sz w:val="20"/>
                <w:szCs w:val="20"/>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7"/>
        </w:trPr>
        <w:tc>
          <w:tcPr>
            <w:tcW w:w="82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7"/>
        </w:trPr>
        <w:tc>
          <w:tcPr>
            <w:tcW w:w="29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RELATED PERSON TRANSACTIONS</w:t>
            </w:r>
          </w:p>
        </w:tc>
        <w:tc>
          <w:tcPr>
            <w:tcW w:w="3780" w:type="dxa"/>
            <w:vAlign w:val="bottom"/>
            <w:tcBorders>
              <w:top w:val="single" w:sz="8" w:color="0000FF"/>
            </w:tcBorders>
            <w:gridSpan w:val="11"/>
          </w:tcPr>
          <w:p>
            <w:pPr>
              <w:spacing w:after="0"/>
              <w:rPr>
                <w:sz w:val="20"/>
                <w:szCs w:val="20"/>
                <w:color w:val="auto"/>
              </w:rPr>
            </w:pPr>
          </w:p>
        </w:tc>
        <w:tc>
          <w:tcPr>
            <w:tcW w:w="1520" w:type="dxa"/>
            <w:vAlign w:val="bottom"/>
            <w:gridSpan w:val="2"/>
          </w:tcPr>
          <w:p>
            <w:pPr>
              <w:spacing w:after="0"/>
              <w:rPr>
                <w:sz w:val="20"/>
                <w:szCs w:val="20"/>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20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Investors’ Rights Agreement</w:t>
            </w:r>
          </w:p>
        </w:tc>
        <w:tc>
          <w:tcPr>
            <w:tcW w:w="20" w:type="dxa"/>
            <w:vAlign w:val="bottom"/>
            <w:tcBorders>
              <w:bottom w:val="single" w:sz="8" w:color="0000EE"/>
            </w:tcBorders>
          </w:tcPr>
          <w:p>
            <w:pPr>
              <w:spacing w:after="0"/>
              <w:rPr>
                <w:sz w:val="20"/>
                <w:szCs w:val="20"/>
                <w:color w:val="auto"/>
              </w:rPr>
            </w:pPr>
          </w:p>
        </w:tc>
        <w:tc>
          <w:tcPr>
            <w:tcW w:w="5460" w:type="dxa"/>
            <w:vAlign w:val="bottom"/>
            <w:gridSpan w:val="14"/>
          </w:tcPr>
          <w:p>
            <w:pPr>
              <w:spacing w:after="0"/>
              <w:rPr>
                <w:sz w:val="20"/>
                <w:szCs w:val="20"/>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75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Stock, Pre-funded Warrant, Warrant Issuances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33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Indemnification Agreements</w:t>
            </w:r>
          </w:p>
        </w:tc>
        <w:tc>
          <w:tcPr>
            <w:tcW w:w="4220" w:type="dxa"/>
            <w:vAlign w:val="bottom"/>
            <w:gridSpan w:val="7"/>
          </w:tcPr>
          <w:p>
            <w:pPr>
              <w:spacing w:after="0"/>
              <w:rPr>
                <w:sz w:val="20"/>
                <w:szCs w:val="20"/>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EE"/>
            </w:tcBorders>
            <w:gridSpan w:val="4"/>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75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Policies and Procedures for Related Person Transactions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OTHER MATTERS</w:t>
            </w:r>
          </w:p>
        </w:tc>
        <w:tc>
          <w:tcPr>
            <w:tcW w:w="80" w:type="dxa"/>
            <w:vAlign w:val="bottom"/>
            <w:tcBorders>
              <w:bottom w:val="single" w:sz="8" w:color="0000EE"/>
            </w:tcBorders>
          </w:tcPr>
          <w:p>
            <w:pPr>
              <w:spacing w:after="0"/>
              <w:rPr>
                <w:sz w:val="20"/>
                <w:szCs w:val="20"/>
                <w:color w:val="auto"/>
              </w:rPr>
            </w:pPr>
          </w:p>
        </w:tc>
        <w:tc>
          <w:tcPr>
            <w:tcW w:w="6700" w:type="dxa"/>
            <w:vAlign w:val="bottom"/>
            <w:gridSpan w:val="19"/>
          </w:tcPr>
          <w:p>
            <w:pPr>
              <w:spacing w:after="0"/>
              <w:rPr>
                <w:sz w:val="20"/>
                <w:szCs w:val="20"/>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Delinquent Section 16(a) Reports</w:t>
            </w:r>
          </w:p>
        </w:tc>
        <w:tc>
          <w:tcPr>
            <w:tcW w:w="20" w:type="dxa"/>
            <w:vAlign w:val="bottom"/>
            <w:tcBorders>
              <w:bottom w:val="single" w:sz="8" w:color="0000EE"/>
            </w:tcBorders>
          </w:tcPr>
          <w:p>
            <w:pPr>
              <w:spacing w:after="0"/>
              <w:rPr>
                <w:sz w:val="20"/>
                <w:szCs w:val="20"/>
                <w:color w:val="auto"/>
              </w:rPr>
            </w:pPr>
          </w:p>
        </w:tc>
        <w:tc>
          <w:tcPr>
            <w:tcW w:w="5120" w:type="dxa"/>
            <w:vAlign w:val="bottom"/>
            <w:gridSpan w:val="11"/>
          </w:tcPr>
          <w:p>
            <w:pPr>
              <w:spacing w:after="0"/>
              <w:rPr>
                <w:sz w:val="20"/>
                <w:szCs w:val="20"/>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27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2025 Annual Report and SEC Filings</w:t>
            </w:r>
          </w:p>
        </w:tc>
        <w:tc>
          <w:tcPr>
            <w:tcW w:w="4860" w:type="dxa"/>
            <w:vAlign w:val="bottom"/>
            <w:gridSpan w:val="10"/>
          </w:tcPr>
          <w:p>
            <w:pPr>
              <w:spacing w:after="0"/>
              <w:rPr>
                <w:sz w:val="20"/>
                <w:szCs w:val="20"/>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APPENDIX A</w:t>
            </w:r>
          </w:p>
        </w:tc>
        <w:tc>
          <w:tcPr>
            <w:tcW w:w="7180" w:type="dxa"/>
            <w:vAlign w:val="bottom"/>
            <w:gridSpan w:val="20"/>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61"/>
        </w:trPr>
        <w:tc>
          <w:tcPr>
            <w:tcW w:w="1080" w:type="dxa"/>
            <w:vAlign w:val="bottom"/>
            <w:gridSpan w:val="2"/>
          </w:tcPr>
          <w:p>
            <w:pPr>
              <w:spacing w:after="0"/>
              <w:rPr>
                <w:sz w:val="5"/>
                <w:szCs w:val="5"/>
                <w:color w:val="auto"/>
              </w:rPr>
            </w:pPr>
          </w:p>
        </w:tc>
        <w:tc>
          <w:tcPr>
            <w:tcW w:w="7180" w:type="dxa"/>
            <w:vAlign w:val="bottom"/>
            <w:gridSpan w:val="20"/>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5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AMENDED AND RESTATED TENAYA THERAPEUTICS, INC. 2021 EQUITY INCENTIVE PLAN</w:t>
            </w:r>
          </w:p>
        </w:tc>
        <w:tc>
          <w:tcPr>
            <w:tcW w:w="20" w:type="dxa"/>
            <w:vAlign w:val="bottom"/>
            <w:tcBorders>
              <w:bottom w:val="single" w:sz="8" w:color="0000EE"/>
            </w:tcBorders>
          </w:tcPr>
          <w:p>
            <w:pPr>
              <w:spacing w:after="0"/>
              <w:rPr>
                <w:sz w:val="18"/>
                <w:szCs w:val="18"/>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3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To be held at 8:00 a.m. Pacific Time on Wednesday, May 27, 2026</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15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QUESTIONS AND ANSWERS ABOUT THE PROXY MATERIALS AND OUR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proxy statement and the form of proxy are furnished in connection with the solicitation of proxies by our board of directors for use at the 2026 annual meeting of stockholders of Tenaya Therapeutics, Inc., a Delaware corporation, and any postponements, adjournments or continuations thereof. The annual meeting will be held on Wednesday, May 27, 2026 at 8:00 a.m. Pacific Time. The annual meeting will be conducted virtually via a live audio webcast. You will be able to attend the annual meeting virtually by visiting www.proxydocs.com/TNYA, where you will be able to listen to the meeting live, submit questions and vote online during the meeting by entering the control number on your proxy card.</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Notice of Internet Availability of Proxy Materials, or Notice of Internet Availability, containing instructions on how to access this proxy statement, the accompanying notice of annual meeting and form of proxy, and our annual report, is first being sent or given on or about April 16, 2026, to all stockholders of record as of the close of business on April 1, 2026. The proxy materials and our annual report can be accessed as of April 16, 2026, by visiting www.proxydocs.com/TNYA.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annual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proposals will be voted on at the annual meeting:</w:t>
      </w:r>
    </w:p>
    <w:p>
      <w:pPr>
        <w:spacing w:after="0" w:line="225" w:lineRule="exact"/>
        <w:rPr>
          <w:sz w:val="20"/>
          <w:szCs w:val="20"/>
          <w:color w:val="auto"/>
        </w:rPr>
      </w:pPr>
    </w:p>
    <w:p>
      <w:pPr>
        <w:ind w:left="760" w:right="50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Class II directors to hold office until our 2029 annual meeting of stockholders and until their respective successors are elected and qualified;</w:t>
      </w:r>
    </w:p>
    <w:p>
      <w:pPr>
        <w:spacing w:after="0" w:line="161"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Deloitte &amp; Touche LLP as our independent registered public accounting firm for our fiscal year ending December 31, 2026; and</w:t>
      </w:r>
    </w:p>
    <w:p>
      <w:pPr>
        <w:spacing w:after="0" w:line="161" w:lineRule="exact"/>
        <w:rPr>
          <w:rFonts w:ascii="Times New Roman" w:cs="Times New Roman" w:eastAsia="Times New Roman" w:hAnsi="Times New Roman"/>
          <w:sz w:val="18"/>
          <w:szCs w:val="18"/>
          <w:color w:val="auto"/>
        </w:rPr>
      </w:pPr>
    </w:p>
    <w:p>
      <w:pPr>
        <w:ind w:left="760" w:right="20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and restatement of the 2021 Equity Incentive Plan (the 2021 Plan) to, among other things, increase the number of shares of our common stock reserved for issuance by approximately 3% of our outstanding shares and remove the annual limit of 4 million shares from the “evergreen” provision.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proxy statement, our management and board of directors were not aware of any other matters to be presented at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 on these proposals?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recommends that you vote your shares:</w:t>
      </w:r>
    </w:p>
    <w:p>
      <w:pPr>
        <w:spacing w:after="0" w:line="225" w:lineRule="exact"/>
        <w:rPr>
          <w:sz w:val="20"/>
          <w:szCs w:val="20"/>
          <w:color w:val="auto"/>
        </w:rPr>
      </w:pPr>
    </w:p>
    <w:p>
      <w:pPr>
        <w:ind w:left="5520" w:right="4400" w:hanging="5138"/>
        <w:spacing w:after="0" w:line="783" w:lineRule="auto"/>
        <w:tabs>
          <w:tab w:leader="none" w:pos="7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each Class II director nominee named in this proxy statement;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spacing w:after="0" w:line="194" w:lineRule="exact"/>
        <w:rPr>
          <w:sz w:val="20"/>
          <w:szCs w:val="20"/>
          <w:color w:val="auto"/>
        </w:rPr>
      </w:pPr>
    </w:p>
    <w:p>
      <w:pPr>
        <w:ind w:left="760" w:right="34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Deloitte &amp; Touche LLP as our independent registered public accounting firm for our fiscal year ending December 31, 2025; and</w:t>
      </w:r>
    </w:p>
    <w:p>
      <w:pPr>
        <w:spacing w:after="0" w:line="161"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amendment and restatement of the 2021 Plan to, among other things, increase the number of shares of our common stock reserved for issuance by approximately 3% of our outstanding shares and remove the annual limit of 4 million shares from the “evergreen” provision.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Holders of our common stock as of the close of business on April 1, 2026, the record date for the annual meeting, may vote at the annual meeting. As of the record date, there were 216,998,876 shares of our common stock outstanding. Each share of common stock is entitled to one vote on each matter properly brought before the annual meeting. Stockholders are not permitted to cumulate votes with respect to the election of directors.</w:t>
      </w:r>
    </w:p>
    <w:p>
      <w:pPr>
        <w:spacing w:after="0" w:line="17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your shares of common stock are registered directly in your name with our transfer agent, Computershare Trust Company, 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you are considered the stockholder of record with respect to those shares, and the Notice of Internet Availability was sent directly to you by us. As a stockholder of record, you have the right to grant your voting proxy directly to the individuals listed on the proxy card or to vote on your own behalf at the annual meeting. Throughout this proxy statement, we refer to these holders as “stockholders of record.”</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your shares are held in a brokerage account or by a broker, bank or other nominee, then you are considered the beneficial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 of shares held in street name, and the Notice of Internet Availability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there a list of registered stockholders entitled to vote at the annual meeting?</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 list of registered stockholders entitled to vote at the annual meeting will be made available for examination by any stockholder for any purpose germane to the meeting for a period of at least ten days prior to the meeting between the hours of 9:00 a.m. and 4:30 p.m. Pacific Time at our principal executive offices located at 171 Oyster Point Boulevard, Suite 500, South San Francisco, CA 94080 by contacting our corporate secretary.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 for the annual meeting?</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or represented at the annual meeting for the meeting to be properly held under our amended and restated bylaws (Bylaws) and Delaware law. The presence, in person (including virtually) or by proxy, of a majority of the voting power of our capital stock issued and outstanding and entitled to vote will constitute a quorum to transact business at the annual meeting. Abstentions, choosing to withhold authority to vote and broker non-votes are counted as present and entitled to vote for purposes of determining a quorum. Whether or not a quorum is present, the chairperson of the meeting may adjourn the meeting to another time or place.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for approval of each proposal?</w:t>
      </w:r>
    </w:p>
    <w:p>
      <w:pPr>
        <w:spacing w:after="0" w:line="227" w:lineRule="exact"/>
        <w:rPr>
          <w:sz w:val="20"/>
          <w:szCs w:val="20"/>
          <w:color w:val="auto"/>
        </w:rPr>
      </w:pPr>
    </w:p>
    <w:p>
      <w:pPr>
        <w:ind w:left="760" w:right="40" w:hanging="378"/>
        <w:spacing w:after="0" w:line="255"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 Each director is elected by a plurality of the voting power of the shares present in person (including virtually) or represented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at the annual meeting and entitled to vote on the election of directors. A plurality means that the nominees with the largest number of FOR votes are elected as directors. You may (1) vote FOR the election of all of the director nominees named herein, (2) WITHHOLD authority to vote for all such director nominees or (3) vote FOR the election of all such director nominees other than any nominees with respect to whom the vote is specifically WITHHELD by indicating in the space provided on the proxy. Because the outcome of this proposal will be determined by a plurality vote, any shares not voted FOR a particular nominee, whether as a result of choosing to WITHHOLD authority to vote or a broker non-vote, will have no effect on the outcome of the election. If you WITHHOLD your vote as to all nominees, you will be deemed to have abstained from voting on Proposal No. 1, and such abstention will have no effect on the outcome of the proposal.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2" w:lineRule="exact"/>
        <w:rPr>
          <w:sz w:val="20"/>
          <w:szCs w:val="20"/>
          <w:color w:val="auto"/>
        </w:rPr>
      </w:pPr>
    </w:p>
    <w:p>
      <w:pPr>
        <w:ind w:left="760" w:hanging="378"/>
        <w:spacing w:after="0" w:line="255"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2</w:t>
      </w:r>
      <w:r>
        <w:rPr>
          <w:rFonts w:ascii="Times New Roman" w:cs="Times New Roman" w:eastAsia="Times New Roman" w:hAnsi="Times New Roman"/>
          <w:sz w:val="18"/>
          <w:szCs w:val="18"/>
          <w:color w:val="auto"/>
        </w:rPr>
        <w:t>: The ratification of the appointment of Deloitte &amp; Touche LLP as our independent registered public accounting firm for our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year ending December 31, 2026, requires the affirmative vote of a majority of the voting power of the shares present in person (including virtually) or represented by proxy at the annual meeting and entitled to vote thereon. You may vote FOR or AGAINST this proposal, or you may indicate that you wish to ABSTAIN from voting on this proposal. Abstentions will be counted for purposes of determining the presence or absence of a quorum, and such abstentions, will also count as votes against this proposal, i.e., will have the same effect as a vote AGAINST this proposal for purposes of determining its passage. Because this is a routine proposal, your broker, bank or other nominee will have discretion to vote your shares on this routine matter. </w:t>
      </w:r>
      <w:r>
        <w:rPr>
          <w:rFonts w:ascii="Times New Roman" w:cs="Times New Roman" w:eastAsia="Times New Roman" w:hAnsi="Times New Roman"/>
          <w:sz w:val="18"/>
          <w:szCs w:val="18"/>
          <w:color w:val="3F3F3F"/>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3F3F3F"/>
        </w:rPr>
        <w:t>“</w:t>
      </w:r>
      <w:r>
        <w:rPr>
          <w:rFonts w:ascii="Times New Roman" w:cs="Times New Roman" w:eastAsia="Times New Roman" w:hAnsi="Times New Roman"/>
          <w:sz w:val="18"/>
          <w:szCs w:val="18"/>
          <w:i w:val="1"/>
          <w:iCs w:val="1"/>
          <w:color w:val="auto"/>
        </w:rPr>
        <w:t>What if I do not specify how my shares are to be voted or fail to provide timely directions to my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 bank or other nominee?</w:t>
      </w:r>
      <w:r>
        <w:rPr>
          <w:rFonts w:ascii="Times New Roman" w:cs="Times New Roman" w:eastAsia="Times New Roman" w:hAnsi="Times New Roman"/>
          <w:sz w:val="18"/>
          <w:szCs w:val="18"/>
          <w:i w:val="1"/>
          <w:iCs w:val="1"/>
          <w:color w:val="3F3F3F"/>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3F3F3F"/>
        </w:rPr>
        <w:t>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we do not expect any broker non-votes on this proposal.</w:t>
      </w:r>
    </w:p>
    <w:p>
      <w:pPr>
        <w:spacing w:after="0" w:line="184" w:lineRule="exact"/>
        <w:rPr>
          <w:rFonts w:ascii="Times New Roman" w:cs="Times New Roman" w:eastAsia="Times New Roman" w:hAnsi="Times New Roman"/>
          <w:sz w:val="18"/>
          <w:szCs w:val="18"/>
          <w:color w:val="auto"/>
        </w:rPr>
      </w:pPr>
    </w:p>
    <w:p>
      <w:pPr>
        <w:ind w:left="760" w:hanging="378"/>
        <w:spacing w:after="0" w:line="255"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No. 3: </w:t>
      </w:r>
      <w:r>
        <w:rPr>
          <w:rFonts w:ascii="Times New Roman" w:cs="Times New Roman" w:eastAsia="Times New Roman" w:hAnsi="Times New Roman"/>
          <w:sz w:val="18"/>
          <w:szCs w:val="18"/>
          <w:color w:val="auto"/>
        </w:rPr>
        <w:t>The approval of the amendment and restatement of the 2021 Plan requires the affirmative vote of a majority of the voting 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shares present in person (including virtually) or represented by proxy at the annual meeting and entitled to vote thereon. Abstentions will be counted for purposes of determining the presence or absence of a quorum, and such abstentions will also count as votes against this proposal, i.e., will have the same effect as a vote AGAINST this proposal. Because this is a non-routine proposal, your broker, bank or other nominee will not have discretion to vote your shares on this matter. As a result, if you do not provide voting instructions to your broker, bank or other nominee, then your broker, bank or other nominee may not vote your shares with respect to Proposal No. 3. Broker non-votes will be counted for purposes of determining the presence or absence of a quorum but will have no effect on the outcome of the proposal. </w:t>
      </w:r>
      <w:r>
        <w:rPr>
          <w:rFonts w:ascii="Times New Roman" w:cs="Times New Roman" w:eastAsia="Times New Roman" w:hAnsi="Times New Roman"/>
          <w:sz w:val="18"/>
          <w:szCs w:val="18"/>
          <w:color w:val="3F3F3F"/>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3F3F3F"/>
        </w:rPr>
        <w:t>“</w:t>
      </w:r>
      <w:r>
        <w:rPr>
          <w:rFonts w:ascii="Times New Roman" w:cs="Times New Roman" w:eastAsia="Times New Roman" w:hAnsi="Times New Roman"/>
          <w:sz w:val="18"/>
          <w:szCs w:val="18"/>
          <w:i w:val="1"/>
          <w:iCs w:val="1"/>
          <w:color w:val="auto"/>
        </w:rPr>
        <w:t>What are the effects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abstentions and broker non-votes?</w:t>
      </w:r>
      <w:r>
        <w:rPr>
          <w:rFonts w:ascii="Times New Roman" w:cs="Times New Roman" w:eastAsia="Times New Roman" w:hAnsi="Times New Roman"/>
          <w:sz w:val="18"/>
          <w:szCs w:val="18"/>
          <w:i w:val="1"/>
          <w:iCs w:val="1"/>
          <w:color w:val="3F3F3F"/>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3F3F3F"/>
        </w:rPr>
        <w:t>below</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and what are the voting deadlines?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 are a stockholder of record, you may vote in one of the following ways:</w:t>
      </w:r>
    </w:p>
    <w:p>
      <w:pPr>
        <w:spacing w:after="0" w:line="227" w:lineRule="exact"/>
        <w:rPr>
          <w:sz w:val="20"/>
          <w:szCs w:val="20"/>
          <w:color w:val="auto"/>
        </w:rPr>
      </w:pPr>
    </w:p>
    <w:p>
      <w:pPr>
        <w:ind w:left="760" w:right="160" w:hanging="378"/>
        <w:spacing w:after="0" w:line="261"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www.proxypush.com/TNYA, 24 hours a day, 7 days a week, until 11:59 p.m. Eastern Time on May 26, 2026. To vote via the Internet prior to the annual meeting, go to www.proxydocs.com/TNYA to complete an electronic proxy card. You will be asked to provide the control number from the proxy card you receive. If you vote via the Internet prior to the annual meeting, you do not need to return a proxy card by mail.</w:t>
      </w:r>
    </w:p>
    <w:p>
      <w:pPr>
        <w:spacing w:after="0" w:line="179"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toll-free telephone at 1-866-475-3780, 24 hours a day, 7 days a week, until 11:59 p.m. Eastern Time on May 26, 2026. You will be asked to provide the control number from the proxy card. If you vote by telephone, you do not need to return a proxy card by mail.</w:t>
      </w:r>
    </w:p>
    <w:p>
      <w:pPr>
        <w:spacing w:after="0" w:line="161" w:lineRule="exact"/>
        <w:rPr>
          <w:rFonts w:ascii="Times New Roman" w:cs="Times New Roman" w:eastAsia="Times New Roman" w:hAnsi="Times New Roman"/>
          <w:sz w:val="18"/>
          <w:szCs w:val="18"/>
          <w:color w:val="auto"/>
        </w:rPr>
      </w:pPr>
    </w:p>
    <w:p>
      <w:pPr>
        <w:ind w:left="760" w:right="60" w:hanging="378"/>
        <w:spacing w:after="0" w:line="261"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signing and mailing your proxy card that accompanies this proxy statement, which must be received prior to the annual meeting.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w:t>
      </w:r>
    </w:p>
    <w:p>
      <w:pPr>
        <w:spacing w:after="0" w:line="179"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annual meeting virtually by visiting www.proxydocs.com/TNYA, where you may vote during the meeting (have your Notice of Internet Availability or proxy card in hand when you visit the website).</w:t>
      </w:r>
    </w:p>
    <w:p>
      <w:pPr>
        <w:spacing w:after="0" w:line="16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you are a street name stockholder, then you will receive voting instructions from your broker, bank or other nominee.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availability of Internet and telephone voting options will depend on the voting process of your broker, bank or other nominee. We therefore recommend that you follow the voting instructions in the materials you receive. If your voting instruction form or notice of internet availability of proxy materials indicates that you may vote your shares through the proxyvote.com website, then you may vote those shares at the annual meeting with the control number indicated on that voting instruction form or notice of internet availability of proxy materials. Otherwise, you may not vote your shares at the annual meeting unless you obtain a legal proxy from your broker, bank or other nominee. 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 or fail to provide timely directions to my broker, bank or other nominee?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 are a stockholder of record and you submit a proxy, but you do not provide voting instructions, your shares will be voted:</w:t>
      </w:r>
    </w:p>
    <w:p>
      <w:pPr>
        <w:spacing w:after="0" w:line="227"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each Class II director nominee named in this proxy statement;</w:t>
      </w:r>
    </w:p>
    <w:p>
      <w:pPr>
        <w:spacing w:after="0" w:line="225"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Deloitte &amp; Touche LLP as our independent registered public accounting firm for our fiscal year ending December 31, 2026; and</w:t>
      </w:r>
    </w:p>
    <w:p>
      <w:pPr>
        <w:spacing w:after="0" w:line="161"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amendment and restatement of the 2021 Plan to, among other things, increase the number of shares of our common stock reserved for issuance by approximately 3% of our outstanding shares and remove the annual limit of 4 million shares from the “evergreen” provision.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if any other matters are properly brought before the annual meeting, the persons named as proxies will be authorized to vote or otherwise act on those matters in accordance with their judgment.</w:t>
      </w:r>
    </w:p>
    <w:p>
      <w:pPr>
        <w:spacing w:after="0" w:line="16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Brokers, banks and other nominees holding shares of common stock in street name for customers are generally required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shares in the manner directed by their customers. In the absence of timely directions, your broker, bank or other nominee will have discretion to vote your shares on our sole routine matter: the proposal to ratify the appointment of Deloitte &amp; Touche LLP as our independent registered public accounting firm for our fiscal year ending December 31, 2026. Your broker, bank or other nominee will not have discretion to vote on any other proposals,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effects of abstentions and broker non-votes?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thereon or a majority of the voting power of the shares of capital stock of the Company outstanding as of the record date and entitled to vote thereon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Proposals No. 2 and 3). However, because the outcome of Proposal No. 1 (election of directors) will be determined by a plurality vote, abstentions will have no impact on the outcome of such proposal as long as a quorum exists.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Proposals No. 1, 2 and 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 are a stockholder of record, you can change your vote or revoke your proxy before the annual meeting by:</w:t>
      </w:r>
    </w:p>
    <w:p>
      <w:pPr>
        <w:spacing w:after="0" w:line="227" w:lineRule="exact"/>
        <w:rPr>
          <w:sz w:val="20"/>
          <w:szCs w:val="20"/>
          <w:color w:val="auto"/>
        </w:rPr>
      </w:pPr>
    </w:p>
    <w:p>
      <w:pPr>
        <w:ind w:left="5520" w:right="2100" w:hanging="5138"/>
        <w:spacing w:after="0" w:line="783" w:lineRule="auto"/>
        <w:tabs>
          <w:tab w:leader="none" w:pos="7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by Internet or telephone (subject to the applicable deadlines for each method as set forth above);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4"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returning a later-dated proxy card, which must be received prior to the annual meeting;</w:t>
      </w:r>
    </w:p>
    <w:p>
      <w:pPr>
        <w:spacing w:after="0" w:line="225"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notice of revocation to our Secretary at Tenaya Therapeutics, Inc., 171 Oyster Point Boulevard, Suite 500, South San Francisco, CA 94080, Attention: Corporate Secretary, which must be received prior to the annual meeting; or</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virtually and voting at the annual meeting (although attendance at the annual meeting will not, by itself, revoke a proxy).</w:t>
      </w:r>
    </w:p>
    <w:p>
      <w:pPr>
        <w:spacing w:after="0" w:line="223"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you are a street name stockholder, then your broker, bank or other nominee can provide you with instructions on how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or revoke your proxy.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 I need to do to attend the annual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be hosting the annual meeting via a live audio webcast only.</w:t>
      </w:r>
    </w:p>
    <w:p>
      <w:pPr>
        <w:spacing w:after="0" w:line="2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 were a stockholder of record as of the record date, then you may attend the annual meeting virtually, and will be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 your questions during the meeting and vote your shares electronically during the meeting. To attend and participate in the annual meeting, you must register in advance at www.proxydocs.com/TNYA prior to the deadline of 7:59 a.m. Pacific Time on May 26, 2026. Upon completing your registration, you will receive further instructions via email, including your unique link that will allow you to access the annual meeting and to submit questions during the annual meeting. Stockholders are already provided the opportunity to submit questions prior to the annual meeting at the time of registration. The annual meeting via a live audio only webcast will begin promptly at 8:00 a.m. Pacific Time. We encourage you to access the meeting prior to the start time. Online check-in will begin at 7:45 a.m. Pacific Time on May 27, 2026, and you should allow ample time for the check-in procedures.</w:t>
      </w:r>
    </w:p>
    <w:p>
      <w:pPr>
        <w:spacing w:after="0" w:line="183"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i w:val="1"/>
          <w:iCs w:val="1"/>
          <w:color w:val="auto"/>
        </w:rPr>
        <w:t>Street Name Stockholders</w:t>
      </w:r>
      <w:r>
        <w:rPr>
          <w:rFonts w:ascii="Times New Roman" w:cs="Times New Roman" w:eastAsia="Times New Roman" w:hAnsi="Times New Roman"/>
          <w:sz w:val="17"/>
          <w:szCs w:val="17"/>
          <w:color w:val="auto"/>
        </w:rPr>
        <w:t>. If you were a street name stockholder as of the record date and your voting instruction form or notice of internet availability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proxy materials indicates that you may vote your shares through the proxyvote.com website, then you may access and participate in the annual meeting with the control number indicated on that voting instruction form or notice of internet availability of proxy materials. Otherwise, street name stockholders should contact their bank, broker or other nominee and obtain a legal proxy in order to be able to attend and participate in the annual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get help if I have trouble checking in or listening to the annual meeting online?</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annual meeting. If you encounter any difficulties accessing the virtual-only annual meeting platform, including any difficulties voting or submitting questions, you may call the technical support number that will be posted in your instructional email.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the annual meeting held virtually?</w:t>
      </w:r>
    </w:p>
    <w:p>
      <w:pPr>
        <w:spacing w:after="0" w:line="229"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We believe that a virtual annual meeting allows for participation by a broader group of stockholders and reduces the costs to stockholders associated with holding an in-person meeting. The virtual meeting format is intended to facilitate a level of transparency as close as possible to an in-person meeting.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effect of giving a proxy?</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Proxies are solicited by and on behalf of our board of directors. Faraz Ali, our Chief Executive Officer, and Jennifer Drimmer Rokovich, our General Counsel and Corporate Secretary, have been designated as proxy holders for the annual meeting by our board of directors. When proxies are properly dated, executed and returned, the shares represented by such proxies will be voted at the annual meeting in accordance with the instructions of the stockholders. If the proxy is dated and signed, but no specific instructions are given, however, the shares will be voted in accordance with the recommendations of our board of directors on the proposals as described above. If any other matters are properly brought before the annual meeting, then the proxy holders will use their own judgment to determine how to vote your shares. If the annual meeting is postponed or adjourned, then the proxy holders can vote your shares on the new meeting date, unless you have properly revoked your proxy, as described above.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representative of Mediant Communications Inc. will tabulate the votes and act as inspector of election.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contact Tenaya’s transfer agent?</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You may contact our transfer agent, Computershare Trust Company, N.A., by telephone at 800-736-3001, or by writing Computershare Trust Company, N.A, at 150 Royall Street, Canton, Massachusetts 02021. You may also access instructions with respect to certain stockholders matters (e.g., change of address) via the Internet at www-us.computershare.com.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proxies solicited for the annual meeting and who is paying for such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We have engaged Alliance Advisors, LLC to assist in and advise on the solicitation of proxies, for which we will pay them a services fee and the reimbursement of customary disbursements, which are not expected to exceed $15,000 in total.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88" w:lineRule="exact"/>
        <w:rPr>
          <w:sz w:val="20"/>
          <w:szCs w:val="20"/>
          <w:color w:val="auto"/>
        </w:rPr>
      </w:pPr>
    </w:p>
    <w:p>
      <w:pPr>
        <w:ind w:right="100"/>
        <w:spacing w:after="0" w:line="245" w:lineRule="exact"/>
        <w:rPr>
          <w:sz w:val="20"/>
          <w:szCs w:val="20"/>
          <w:color w:val="auto"/>
        </w:rPr>
      </w:pPr>
      <w:r>
        <w:rPr>
          <w:rFonts w:ascii="Times New Roman" w:cs="Times New Roman" w:eastAsia="Times New Roman" w:hAnsi="Times New Roman"/>
          <w:sz w:val="18"/>
          <w:szCs w:val="18"/>
          <w:color w:val="auto"/>
        </w:rPr>
        <w:t>We will disclose voting results on a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that we will file with the SEC within four business days after the meeting. If final voting results are not available to us in time to file a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we will file a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to publish preliminary results and will provide the final results in an amendment to the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as soon as they become available.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of Internet Availability instead of a full set of proxy materials?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 of Internet Availability or more than one set of printed proxy materials?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you receive more than one Notice of Internet Availability or more than one set of printed proxy materials, then your shares may be registered in more than one name and/or are registered in different accounts. Please follow the voting instructions on each Notice of Internet Availability or each set of printed proxy materials, as applicable, to ensure that all of your shares are voted.</w:t>
      </w:r>
    </w:p>
    <w:p>
      <w:pPr>
        <w:spacing w:after="0" w:line="17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 share an address with another stockholder, and we received only one paper copy of the Notice of Internet Availability or proxy statement and annual report. How may I obtain an additional copy of the Notice of Internet Availability or proxy statement and annual report?</w:t>
      </w:r>
    </w:p>
    <w:p>
      <w:pPr>
        <w:spacing w:after="0" w:line="15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We have adopted a procedure approved by the SEC called “householding,” under which we can deliver a single copy of the Notice of Internet Availability and, if applicable, the proxy statement and annual report, to multiple stockholders who share the same address unless we receive contrary instructions from one or more stockholders. This procedure reduces our printing and mailing costs. Stockholders who participate in householding will continue to be able to access and receive separate proxy cards. Upon written or oral request, we will deliver promptly a separate copy of the Notice of Internet Availability and, if</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1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applicable, the proxy statement and annual report, to any stockholders at a shared address to which we delivered a single copy of these documents. To receive a separate copy, or, if you are receiving multiple copies, to request that we only send a single copy of next year’s Notice of Internet Availability or proxy statement and annual report, as applicable, you may contact us as follows: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 Oyster Point Boulevard, Suite 500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 (650) 825-6990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name stockholders may contact their broker, bank or other nominee to request information about householding.</w:t>
      </w:r>
    </w:p>
    <w:p>
      <w:pPr>
        <w:spacing w:after="0" w:line="22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What is the deadline to propose actions for consideration at next year’s annual meeting of stockholders or to nominate individuals to serve as directors?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Proposals</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Stockholders may present proper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our 2027 annual meeting of stockholders, our corporate secretary must receive the written proposal at our principal executive offices not later than December 17, 2026.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 Oyster Point Boulevard, Suite 500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our proxy materials with respect to such meeting, (ii) otherwise properly brought before the annual meeting by or at the direction of the our board of directors, or (iii) properly brought before the annual meeting by a stockholder of record entitled to vote at the annual meeting who has delivered timely written notice to our corporate secretary, which notice must contain the information specified in our Bylaws, provided that clause</w:t>
      </w:r>
    </w:p>
    <w:p>
      <w:pPr>
        <w:spacing w:after="0" w:line="3" w:lineRule="exact"/>
        <w:rPr>
          <w:sz w:val="20"/>
          <w:szCs w:val="20"/>
          <w:color w:val="auto"/>
        </w:rPr>
      </w:pPr>
    </w:p>
    <w:p>
      <w:pPr>
        <w:ind w:firstLine="8"/>
        <w:spacing w:after="0" w:line="260" w:lineRule="auto"/>
        <w:tabs>
          <w:tab w:leader="none" w:pos="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exclusive means under our Bylaws for stockholders to propose business other than such proposals as are properly made pursuant to the Exchange Act. To be timely for our 2027 annual meeting of stockholders, our corporate secretary must receive the written notice at our principal executive offices:</w:t>
      </w:r>
    </w:p>
    <w:p>
      <w:pPr>
        <w:spacing w:after="0" w:line="18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earlier than 8:00 a.m., Eastern time, January 27, 2027;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5:00 p.m., Eastern time, than February 26, 2027.</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event that we hold our 2027 annual meeting of stockholders more than 25 days before or after the first anniversary of the date of this year’s annual meeting, then notice of a stockholder proposal that is not intended to be included in our proxy statement must be received no earlier than 8:00 a.m., Eastern time, on the 120th day before such annual meeting and no later than 5:00 p.m., Eastern time, on the later of the 90th day prior to the day of the annual meeting, or, if the first public announcement of the date of such annual meeting is less than 100 days prior to the date of such annual meeting, the 10th day following the day on which public announcement of the date of such annual meeting is first made.</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a stockholder who has notified us of his, her or its intention to present a proposal at an annual meeting does not appear to present his, her or its proposal at such annual meeting, we are not required to present the proposal for a vote at such annual meeting.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our Bylaws permit stockholders to nominate directors for election at an annual meeting of stockholders. To nominate a director, the stockholder must provide the information required by our Bylaws and give timely notice to our corporate secretary in accordance with our Bylaws, which, in general, require that the notice be received by our corporate secretary within the time period described above under “Stockholder Proposals” for stockholder proposals that are not intended to be included in a proxy statement.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Availability of Bylaws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copy of our Bylaws may be obtained by accessing our public filings on the SEC’s website at www.sec.gov. You may also contact our corporate secretary at our principal executive office for a copy of the relevant bylaw provisions regarding the requirements for making stockholder proposals and nominating director candidates.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the Board</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eight (8) directors, seven (7) of whom are independent under the listing standards of The Nasdaq Stock Market LLC, or Nasdaq. Our board of directors is divided into three classes with staggered three-year terms. Thus, at each annual meeting of stockholders, a class of directors will be elected for a three-year term to succeed the class whose term is then expiring.</w:t>
      </w:r>
    </w:p>
    <w:p>
      <w:pPr>
        <w:spacing w:after="0" w:line="176" w:lineRule="exact"/>
        <w:rPr>
          <w:sz w:val="20"/>
          <w:szCs w:val="20"/>
          <w:color w:val="auto"/>
        </w:rPr>
      </w:pPr>
    </w:p>
    <w:p>
      <w:pPr>
        <w:jc w:val="both"/>
        <w:ind w:right="200"/>
        <w:spacing w:after="0" w:line="289" w:lineRule="auto"/>
        <w:rPr>
          <w:sz w:val="20"/>
          <w:szCs w:val="20"/>
          <w:color w:val="auto"/>
        </w:rPr>
      </w:pPr>
      <w:r>
        <w:rPr>
          <w:rFonts w:ascii="Times New Roman" w:cs="Times New Roman" w:eastAsia="Times New Roman" w:hAnsi="Times New Roman"/>
          <w:sz w:val="17"/>
          <w:szCs w:val="17"/>
          <w:color w:val="auto"/>
        </w:rPr>
        <w:t>Upon the recommendation of our corporate governance and nominating committee, we are nominating Amy Burroughs, M.B.A., Karah Parschauer, J.D. and Catherine Stehman-Breen, M.D., as Class II directors at the annual meeting. If elected, Mses. Burroughs and Parschauer and Dr. Stehman-Breen will each hold office for a three-year term until the annual meeting of stockholders to be held in 2029 or until their successors are duly elected and qualified.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ages as of March 31, 2026, and certain other information for each of our directors and director nominees: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203"/>
        </w:trPr>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1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Term</w:t>
            </w:r>
          </w:p>
        </w:tc>
      </w:tr>
      <w:tr>
        <w:trPr>
          <w:trHeight w:val="203"/>
        </w:trPr>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1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Term</w:t>
            </w:r>
          </w:p>
        </w:tc>
        <w:tc>
          <w:tcPr>
            <w:tcW w:w="1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 Which</w:t>
            </w:r>
          </w:p>
        </w:tc>
      </w:tr>
      <w:tr>
        <w:trPr>
          <w:trHeight w:val="215"/>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0" w:type="dxa"/>
            <w:vAlign w:val="bottom"/>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Class</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60" w:type="dxa"/>
            <w:vAlign w:val="bottom"/>
          </w:tcPr>
          <w:p>
            <w:pPr>
              <w:spacing w:after="0"/>
              <w:rPr>
                <w:sz w:val="18"/>
                <w:szCs w:val="18"/>
                <w:color w:val="auto"/>
              </w:rPr>
            </w:pPr>
          </w:p>
        </w:tc>
        <w:tc>
          <w:tcPr>
            <w:tcW w:w="298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b w:val="1"/>
                <w:bCs w:val="1"/>
                <w:color w:val="auto"/>
              </w:rPr>
              <w:t>Position(s)</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Since</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Expires</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Nominated</w:t>
            </w:r>
          </w:p>
        </w:tc>
      </w:tr>
      <w:tr>
        <w:trPr>
          <w:trHeight w:val="199"/>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Nominees for Director</w:t>
            </w: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0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Amy Burroughs, M.B.A.(1)(2)</w:t>
            </w:r>
          </w:p>
        </w:tc>
        <w:tc>
          <w:tcPr>
            <w:tcW w:w="16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II</w:t>
            </w:r>
          </w:p>
        </w:tc>
        <w:tc>
          <w:tcPr>
            <w:tcW w:w="11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55</w:t>
            </w:r>
          </w:p>
        </w:tc>
        <w:tc>
          <w:tcPr>
            <w:tcW w:w="31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Director</w:t>
            </w:r>
          </w:p>
        </w:tc>
        <w:tc>
          <w:tcPr>
            <w:tcW w:w="11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2022</w:t>
            </w:r>
          </w:p>
        </w:tc>
        <w:tc>
          <w:tcPr>
            <w:tcW w:w="11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2026</w:t>
            </w:r>
          </w:p>
        </w:tc>
        <w:tc>
          <w:tcPr>
            <w:tcW w:w="11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2029</w:t>
            </w:r>
          </w:p>
        </w:tc>
      </w:tr>
      <w:tr>
        <w:trPr>
          <w:trHeight w:val="203"/>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Karah Parschauer, J.D.(1)</w:t>
            </w: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3"/>
              </w:rPr>
              <w:t>II</w:t>
            </w:r>
          </w:p>
        </w:tc>
        <w:tc>
          <w:tcPr>
            <w:tcW w:w="118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48</w:t>
            </w:r>
          </w:p>
        </w:tc>
        <w:tc>
          <w:tcPr>
            <w:tcW w:w="31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Director</w:t>
            </w:r>
          </w:p>
        </w:tc>
        <w:tc>
          <w:tcPr>
            <w:tcW w:w="118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2021</w:t>
            </w:r>
          </w:p>
        </w:tc>
        <w:tc>
          <w:tcPr>
            <w:tcW w:w="118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2026</w:t>
            </w:r>
          </w:p>
        </w:tc>
        <w:tc>
          <w:tcPr>
            <w:tcW w:w="118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2029</w:t>
            </w:r>
          </w:p>
        </w:tc>
      </w:tr>
      <w:tr>
        <w:trPr>
          <w:trHeight w:val="20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Catherine Stehman-Breen, M.D.(4)</w:t>
            </w:r>
          </w:p>
        </w:tc>
        <w:tc>
          <w:tcPr>
            <w:tcW w:w="16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II</w:t>
            </w:r>
          </w:p>
        </w:tc>
        <w:tc>
          <w:tcPr>
            <w:tcW w:w="11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63</w:t>
            </w:r>
          </w:p>
        </w:tc>
        <w:tc>
          <w:tcPr>
            <w:tcW w:w="31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Director</w:t>
            </w:r>
          </w:p>
        </w:tc>
        <w:tc>
          <w:tcPr>
            <w:tcW w:w="11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2020</w:t>
            </w:r>
          </w:p>
        </w:tc>
        <w:tc>
          <w:tcPr>
            <w:tcW w:w="11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2026</w:t>
            </w:r>
          </w:p>
        </w:tc>
        <w:tc>
          <w:tcPr>
            <w:tcW w:w="11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2029</w:t>
            </w:r>
          </w:p>
        </w:tc>
      </w:tr>
      <w:tr>
        <w:trPr>
          <w:trHeight w:val="203"/>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Continuing Directors</w:t>
            </w: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02"/>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June Lee, M.D. (2)(4)</w:t>
            </w:r>
          </w:p>
        </w:tc>
        <w:tc>
          <w:tcPr>
            <w:tcW w:w="16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III</w:t>
            </w:r>
          </w:p>
        </w:tc>
        <w:tc>
          <w:tcPr>
            <w:tcW w:w="11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60</w:t>
            </w:r>
          </w:p>
        </w:tc>
        <w:tc>
          <w:tcPr>
            <w:tcW w:w="31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Director</w:t>
            </w:r>
          </w:p>
        </w:tc>
        <w:tc>
          <w:tcPr>
            <w:tcW w:w="11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2021</w:t>
            </w:r>
          </w:p>
        </w:tc>
        <w:tc>
          <w:tcPr>
            <w:tcW w:w="11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2027</w:t>
            </w:r>
          </w:p>
        </w:tc>
        <w:tc>
          <w:tcPr>
            <w:tcW w:w="11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Deepak Srivastava, M.D. (3)(4)</w:t>
            </w: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III</w:t>
            </w:r>
          </w:p>
        </w:tc>
        <w:tc>
          <w:tcPr>
            <w:tcW w:w="118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59</w:t>
            </w:r>
          </w:p>
        </w:tc>
        <w:tc>
          <w:tcPr>
            <w:tcW w:w="31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Director</w:t>
            </w:r>
          </w:p>
        </w:tc>
        <w:tc>
          <w:tcPr>
            <w:tcW w:w="118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2016</w:t>
            </w:r>
          </w:p>
        </w:tc>
        <w:tc>
          <w:tcPr>
            <w:tcW w:w="118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2027</w:t>
            </w:r>
          </w:p>
        </w:tc>
        <w:tc>
          <w:tcPr>
            <w:tcW w:w="118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w w:val="74"/>
              </w:rPr>
              <w:t>-</w:t>
            </w:r>
          </w:p>
        </w:tc>
      </w:tr>
      <w:tr>
        <w:trPr>
          <w:trHeight w:val="20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Faraz Ali, M.B.A.</w:t>
            </w:r>
          </w:p>
        </w:tc>
        <w:tc>
          <w:tcPr>
            <w:tcW w:w="16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III</w:t>
            </w:r>
          </w:p>
        </w:tc>
        <w:tc>
          <w:tcPr>
            <w:tcW w:w="11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53</w:t>
            </w:r>
          </w:p>
        </w:tc>
        <w:tc>
          <w:tcPr>
            <w:tcW w:w="31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Chief Executive Officer and Director</w:t>
            </w:r>
          </w:p>
        </w:tc>
        <w:tc>
          <w:tcPr>
            <w:tcW w:w="11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2018</w:t>
            </w:r>
          </w:p>
        </w:tc>
        <w:tc>
          <w:tcPr>
            <w:tcW w:w="11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2027</w:t>
            </w:r>
          </w:p>
        </w:tc>
        <w:tc>
          <w:tcPr>
            <w:tcW w:w="1180" w:type="dxa"/>
            <w:vAlign w:val="bottom"/>
            <w:gridSpan w:val="2"/>
          </w:tcPr>
          <w:p>
            <w:pPr>
              <w:jc w:val="center"/>
              <w:ind w:left="59"/>
              <w:spacing w:after="0"/>
              <w:rPr>
                <w:sz w:val="20"/>
                <w:szCs w:val="20"/>
                <w:color w:val="auto"/>
              </w:rPr>
            </w:pPr>
            <w:r>
              <w:rPr>
                <w:rFonts w:ascii="Arial" w:cs="Arial" w:eastAsia="Arial" w:hAnsi="Arial"/>
                <w:sz w:val="16"/>
                <w:szCs w:val="16"/>
                <w:color w:val="auto"/>
                <w:w w:val="74"/>
              </w:rPr>
              <w:t>-</w:t>
            </w:r>
          </w:p>
        </w:tc>
      </w:tr>
      <w:tr>
        <w:trPr>
          <w:trHeight w:val="203"/>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Jeffrey T. Walsh, M.B.A.(1)(2)</w:t>
            </w: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I</w:t>
            </w:r>
          </w:p>
        </w:tc>
        <w:tc>
          <w:tcPr>
            <w:tcW w:w="118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60</w:t>
            </w:r>
          </w:p>
        </w:tc>
        <w:tc>
          <w:tcPr>
            <w:tcW w:w="31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Director</w:t>
            </w:r>
          </w:p>
        </w:tc>
        <w:tc>
          <w:tcPr>
            <w:tcW w:w="118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2020</w:t>
            </w:r>
          </w:p>
        </w:tc>
        <w:tc>
          <w:tcPr>
            <w:tcW w:w="118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2028</w:t>
            </w:r>
          </w:p>
        </w:tc>
        <w:tc>
          <w:tcPr>
            <w:tcW w:w="118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w w:val="74"/>
              </w:rPr>
              <w:t>-</w:t>
            </w:r>
          </w:p>
        </w:tc>
      </w:tr>
      <w:tr>
        <w:trPr>
          <w:trHeight w:val="215"/>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R. Sanders Williams, M.D.(3)(4)</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w:t>
            </w:r>
          </w:p>
        </w:tc>
        <w:tc>
          <w:tcPr>
            <w:tcW w:w="11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77</w:t>
            </w:r>
          </w:p>
        </w:tc>
        <w:tc>
          <w:tcPr>
            <w:tcW w:w="31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Chair and Director</w:t>
            </w:r>
          </w:p>
        </w:tc>
        <w:tc>
          <w:tcPr>
            <w:tcW w:w="11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2016</w:t>
            </w:r>
          </w:p>
        </w:tc>
        <w:tc>
          <w:tcPr>
            <w:tcW w:w="11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2028</w:t>
            </w:r>
          </w:p>
        </w:tc>
        <w:tc>
          <w:tcPr>
            <w:tcW w:w="1180" w:type="dxa"/>
            <w:vAlign w:val="bottom"/>
            <w:gridSpan w:val="2"/>
          </w:tcPr>
          <w:p>
            <w:pPr>
              <w:jc w:val="center"/>
              <w:ind w:left="59"/>
              <w:spacing w:after="0"/>
              <w:rPr>
                <w:sz w:val="20"/>
                <w:szCs w:val="20"/>
                <w:color w:val="auto"/>
              </w:rPr>
            </w:pPr>
            <w:r>
              <w:rPr>
                <w:rFonts w:ascii="Arial" w:cs="Arial" w:eastAsia="Arial" w:hAnsi="Arial"/>
                <w:sz w:val="16"/>
                <w:szCs w:val="16"/>
                <w:color w:val="auto"/>
                <w:w w:val="74"/>
              </w:rPr>
              <w:t>-</w:t>
            </w:r>
          </w:p>
        </w:tc>
      </w:tr>
    </w:tbl>
    <w:p>
      <w:pPr>
        <w:spacing w:after="0" w:line="208" w:lineRule="exact"/>
        <w:rPr>
          <w:sz w:val="20"/>
          <w:szCs w:val="20"/>
          <w:color w:val="auto"/>
        </w:rPr>
      </w:pPr>
    </w:p>
    <w:p>
      <w:pPr>
        <w:ind w:left="600" w:hanging="292"/>
        <w:spacing w:after="0"/>
        <w:tabs>
          <w:tab w:leader="none" w:pos="6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audit committee</w:t>
      </w:r>
    </w:p>
    <w:p>
      <w:pPr>
        <w:spacing w:after="0" w:line="3" w:lineRule="exact"/>
        <w:rPr>
          <w:rFonts w:ascii="Times New Roman" w:cs="Times New Roman" w:eastAsia="Times New Roman" w:hAnsi="Times New Roman"/>
          <w:sz w:val="14"/>
          <w:szCs w:val="14"/>
          <w:color w:val="auto"/>
        </w:rPr>
      </w:pPr>
    </w:p>
    <w:p>
      <w:pPr>
        <w:ind w:left="600" w:hanging="292"/>
        <w:spacing w:after="0" w:line="221" w:lineRule="auto"/>
        <w:tabs>
          <w:tab w:leader="none" w:pos="6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compensation committee</w:t>
      </w:r>
    </w:p>
    <w:p>
      <w:pPr>
        <w:ind w:left="600" w:hanging="292"/>
        <w:spacing w:after="0" w:line="221" w:lineRule="auto"/>
        <w:tabs>
          <w:tab w:leader="none" w:pos="6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corporate governance and nominating committee</w:t>
      </w:r>
    </w:p>
    <w:p>
      <w:pPr>
        <w:ind w:left="600" w:hanging="292"/>
        <w:spacing w:after="0"/>
        <w:tabs>
          <w:tab w:leader="none" w:pos="6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science and technology committee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 Nominees for Director</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Amy Burroughs, M.B.A.</w:t>
      </w:r>
      <w:r>
        <w:rPr>
          <w:rFonts w:ascii="Times New Roman" w:cs="Times New Roman" w:eastAsia="Times New Roman" w:hAnsi="Times New Roman"/>
          <w:sz w:val="18"/>
          <w:szCs w:val="18"/>
          <w:color w:val="auto"/>
        </w:rPr>
        <w:t>, has served as a member of our board of directors since December 2022. Since February 2024, she has served as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and Board member of Terns Pharmaceuticals, Inc., a publicly traded clinical-stage biopharmaceutical company developing a portfolio of small-molecule product candidates to address serious diseases. From April 2019 until October 2023, Ms. Burroughs served as President and Chief Executive Officer and director of Cleave Therapeutics, Inc. (Cleave), a privately held biopharmaceutical company. She previously served as an executive in residence at 5AM Ventures and, in parallel, as senior advisor to one of its portfolio companies, Crinetics Pharmaceuticals. Earlier in her career, Ms. Burroughs held roles of increasing responsibility in commercial and strategy at Genentech, commercial and business development at other high growth therapeutics companies, talent and governance at Egon Zehnder International, and brand management at Procter &amp; Gamble. She has served as a member of the board of directors of Cleave, since April 2019, and previously served as a member of the board of directors of DiaMedica Therapeutics, Inc. Ms. Burroughs holds a Bachelor of Arts in Computer Science and a minor in Economics from Dartmouth College and an MBA from Harvard Business School where she graduated as a Baker Scholar.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believe Ms. Burroughs is qualified to serve on our board of directors because of her knowledge and experience in the biotechnology and pharmaceutical industries and her broad leadership experience resulting from service as an executive of a biotechnology company and service as a public company board member within the life sciences industry.</w:t>
      </w:r>
    </w:p>
    <w:p>
      <w:pPr>
        <w:spacing w:after="0" w:line="1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Karah Parschauer, J.D.</w:t>
      </w:r>
      <w:r>
        <w:rPr>
          <w:rFonts w:ascii="Times New Roman" w:cs="Times New Roman" w:eastAsia="Times New Roman" w:hAnsi="Times New Roman"/>
          <w:sz w:val="18"/>
          <w:szCs w:val="18"/>
          <w:color w:val="auto"/>
        </w:rPr>
        <w:t>, has served as a member of our board of directors since December 2021. In June 2016, Ms. Parschauer began serving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Counsel and Executive Vice President and is currently serving as Chief Legal Officer and Executive Vice President, Corporate Affairs of Ultragenyx Pharmaceutical Inc., a publicly traded biopharmaceutical company developing treatments for rare and ultra-rare genetic diseases. From June 2005 to June 2016, Ms. Parschauer served in various executive capacities, and most recently as Vice President, Associate General Counsel, at Allergan plc, a pharmaceutical company. Before Allergan, Ms. Parschauer was an attorney at Latham &amp; Watkins LLP, where she practiced in the areas of mergers and acquisitions, securities offerings and corporate governance. Ms. Parschauer is a member of the board of directors of Evolus, Inc., a publicly traded performance beauty company. She previously served as a member of the board of directors of Arcturus Therapeutics Holdings Inc., and Anebulo Pharmaceuticals, Inc. Ms. Parschauer holds a B.A. in biology from Miami University and a J.D. from Harvard Law School.</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Ms. Parschauer is qualified to serve on our board of directors because of her extensive experience as an executive in the life sciences sector, her legal expertise, and her experience as a public company board member within the life sciences industry.</w:t>
      </w:r>
    </w:p>
    <w:p>
      <w:pPr>
        <w:spacing w:after="0" w:line="1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Catherine Stehman-Breen, M.D.</w:t>
      </w:r>
      <w:r>
        <w:rPr>
          <w:rFonts w:ascii="Times New Roman" w:cs="Times New Roman" w:eastAsia="Times New Roman" w:hAnsi="Times New Roman"/>
          <w:sz w:val="18"/>
          <w:szCs w:val="18"/>
          <w:color w:val="auto"/>
        </w:rPr>
        <w:t>, has served as a member of our board of directors since June 2020. Since August 2025, Dr. Dr. Stehman-Breen has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Chief Executive Officer of Winnow Therapeutics, Inc., a private biotechnology company. Previously, from December 2020 to January 2025, Dr. Stehman-Breen served as the Chief Executive Officer and a member of the board of directors of Chroma Medicine until its merger with Nvelop Therapeutics in January 2025. Dr. Stehman-Breen also served as the Chief Research and Development Officer of Obsidian Therapeutics, Inc., a private biotechnology company, from July 2019 to December 2020, as an entrepreneur-in-residence at Atlas Ventures, serving as Chief Medical Officer of both Dyne Therapeutics, Inc., a biotechnology company, from March 2018 to July 2019 and Disarm Therapeutics, Inc., a biotechnology company, from April 2018 to July 2019, as Chief Medical Officer of Sarepta Therapeutics, Inc., a publicly traded biopharmaceutical company, from March 2017 to December 2017 and as Vice President, Clinical Development and Regulatory Affairs at Regeneron Pharmaceuticals, Inc., a publicly traded biotechnology company, from January 2015 to March 2017. Prior to that, from 2003 to 2015, Dr. Stehman-Breen held senior leadership roles at Amgen, Inc. including Vice President, Global Development, leading the neuroscience, nephrology and bone therapeutic areas. She has also served on the boards of directors of Dyne Therapeutics, Inc. since June 2019 and Generation Bio Co., a publicly traded biotechnology company, since December 2017. Dr. Stehman-Breen earned a B.A. in biology and psychology from Colby College, an M.S. in epidemiology from the University of Washington, where she also completed her residency and fellowship training, and an M.D. from the University of Chicago.</w:t>
      </w:r>
    </w:p>
    <w:p>
      <w:pPr>
        <w:spacing w:after="0" w:line="19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Dr. Stehman-Breen is qualified to serve on our board based on her medical expertise, her experience with clinical development and regulatory affairs in many therapeutic areas, her expertise as an executive in the biotechnology industry and her experience as a public company board member, including within the biotechnology industry.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Faraz Ali, M.B.A.</w:t>
      </w:r>
      <w:r>
        <w:rPr>
          <w:rFonts w:ascii="Times New Roman" w:cs="Times New Roman" w:eastAsia="Times New Roman" w:hAnsi="Times New Roman"/>
          <w:sz w:val="18"/>
          <w:szCs w:val="18"/>
          <w:color w:val="auto"/>
        </w:rPr>
        <w:t>, has served as our Chief Executive Officer since June 2018 and as a member of our board of directors since September 2018.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joining us, Mr. Ali was Chief Business Officer at REGENXBIO, a publicly traded biotechnology company, from February 2016 to January 2018. From May 2011 to February 2016, he served as Vice President, Global Commercial Development and External Affairs at bluebird bio, a publicly traded biotechnology company. From August 2001 to November 2010, Mr. Ali held various roles at Genzyme, including Head of U.S. Marketing and Strategic Planning for the rare disease business unit. Prior to Genzyme, he served in leadership roles at GE Corporate and GE Healthcare. Mr. Ali is a member of the Board of Directors of the Alliance for Regenerative Medicine. He holds a B.S. in Electrical Engineering from Stanford University and an M.B.A. with distinction from Harvard Business School.</w:t>
      </w:r>
    </w:p>
    <w:p>
      <w:pPr>
        <w:spacing w:after="0" w:line="18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believe Mr. Ali is qualified to serve on our board of directors because of the perspective and experience he brings as our Chief Executive Officer, his experience in leadership and corporate development positions in the biotechnology industry and with companies focused on gene therapies and therapies for rare and orphan diseases, and his educational background.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June Lee, M.D.</w:t>
      </w:r>
      <w:r>
        <w:rPr>
          <w:rFonts w:ascii="Times New Roman" w:cs="Times New Roman" w:eastAsia="Times New Roman" w:hAnsi="Times New Roman"/>
          <w:sz w:val="18"/>
          <w:szCs w:val="18"/>
          <w:color w:val="auto"/>
        </w:rPr>
        <w:t>, has served as a member of our board of directors since November 2021. Dr. Lee joined 5AM Ventures in July 2022 where she served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part-time Venture Partner until November 2024. From February 2021 to November 2021, Dr. Lee served as Founder and Chief Executive Officer at Alumis Inc. (formerly known as Esker Therapeutics), a precision medicine company developing treatments for autoimmune diseases. From January 2017 until June 2020, Dr. Lee was Chief Development Officer and Chief Operating Officer of MyoKardia, Inc. (MyoKardia), a clinical stage biotechnology company with a focus on precision cardiovascular medicines. Prior to MyoKardia, from April 2011 to January 2017, Dr. Lee was Professor of Medicine at the University of California, San Francisco (UCSF) School of Medicine, where she served as Director of Translational Research. She is also the founding chair of the University of California Drug, Device, Discovery and Development Group. Previously, from March 2004 to April 2011, she was therapeutic area head in early clinical development in cardiovascular, metabolism, respiratory, and infectious diseases at Genentech. Dr. Lee is a member of the Board of Directors of Eledon Pharmaceuticals, Inc., Abivax S.A. and NKGen Korea, each a publicly traded biotechnology company and GenEdit, a privately held biotechnology company. She previously served as a member of the Board of Directors of CinCor Pharma, a publicly traded biotechnology company, from January 2022 until its acquisition by AstraZeneca Finance and Holdings Inc. in February 2023. Dr. Lee is the co-Founder and member of the Board of Directors of ElevAAte Biotech and previously served as Chair of the Board of Directors of the Council of Korean Americans. She is a founding member of the Translational Research Advisory Council of South Korea’s MOGAM Research Institute, and the MTRAC for Life Sciences Innovation Hub Therapeutic/Diagnostic Oversight Committee, a unit associated with the University of Michigan Medical School. Dr. Lee currently serves on Johns Hopkins University Center for Therapeutic Translation’s Advisory Board, and previously served on the Scientific Advisory Boards for Aer Therapeutics, Inc. and Foresite Labs. She completed a Bachelor of Science in chemistry at the Johns Hopkins University, an M.D. at the School of Medicine at University of California, Davis, and her clinical training in internal medicine and pulmonary and critical care at the University of California, Los Angeles and UCSF.</w:t>
      </w:r>
    </w:p>
    <w:p>
      <w:pPr>
        <w:spacing w:after="0" w:line="200" w:lineRule="exact"/>
        <w:rPr>
          <w:sz w:val="20"/>
          <w:szCs w:val="20"/>
          <w:color w:val="auto"/>
        </w:rPr>
      </w:pPr>
    </w:p>
    <w:p>
      <w:pPr>
        <w:spacing w:after="0" w:line="213"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We believe Dr. Lee is qualified to serve on our board of directors because of her extensive scientific background, medical training and leadership experience in the industry.</w:t>
      </w:r>
    </w:p>
    <w:p>
      <w:pPr>
        <w:spacing w:after="0" w:line="15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Deepak Srivastava, M.D.</w:t>
      </w:r>
      <w:r>
        <w:rPr>
          <w:rFonts w:ascii="Times New Roman" w:cs="Times New Roman" w:eastAsia="Times New Roman" w:hAnsi="Times New Roman"/>
          <w:sz w:val="18"/>
          <w:szCs w:val="18"/>
          <w:color w:val="auto"/>
        </w:rPr>
        <w:t>, has served as a member of our board of directors since October 2016. He has been Chairman of our Scientific Advisory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October 2016 and previously served as a consultant to our company from September 2016 until June 2025. Dr. Srivastava has been President of Gladstone Institutes since January 2018. He is currently the Robert W. and Linda Mahley Distinguished Professor and a senior investigator at the Gladstone Institute of Cardiovascular Disease and director of the Roddenberry Stem Cell Center. Since 2005, Dr. Srivastava has been a professor in the Departments of Pediatrics and Biochemistry and Biophysics at the University of California, San Francisco, and he is the Wilma and Adeline Pirag Distinguished Professor in pediatric developmental cardiology. He is past-president of the International Society for Stem Cell Research. Dr. Srivastava is a member of the American Academy of Arts and Sciences and the National Academy of Medicine. He received a B.S. from Rice University and an M.D. from the University of Texas. He trained in pediatrics at the University of California, San Francisco, and in pediatric cardiology at Harvard Medical School.</w:t>
      </w:r>
    </w:p>
    <w:p>
      <w:pPr>
        <w:spacing w:after="0" w:line="19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believe Dr. Srivastava is qualified to serve on our board because of his scientific and educational background and his extensive expertise in the cardiovascular field and as a co-Founder of the company.</w:t>
      </w:r>
    </w:p>
    <w:p>
      <w:pPr>
        <w:spacing w:after="0" w:line="1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Jeffrey T. Walsh, M.B.A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has served as a member of our board of directors since March 2020. In January 2025, Mr. Walsh began serving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NChroma Bio, Inc., a private biotechnology company focused on genetic medicines, following its merger with Nvelop Therapeutics, Inc. where he had served as Chief Executive Officer since April 2023. From January 2022 through April 2023, Mr. Walsh served as a part-time venture partner at Third Rock Ventures. Previously, between May 2011 and March 2021, he served in various roles at bluebird bio, Inc., including most recently as Strategic Advisor, and previously as Chief Operating Officer, Chief Financial Officer, and Chief Strategy Officer. From 2008 to 2011, Mr. Walsh served as Chief Business Officer of Taligen Therapeutics, Inc. until it was acquired by Alexion Pharmaceuticals, Inc. Mr. Walsh started his career at SmithKline Beecham Corporation in finance and worldwide business development roles from 1987 to 1995. He subsequently held senior business development, finance, sales and operations roles at Allscripts Healthcare Solutions Inc. from 1995 to 1998, PathoGenesis Corp. from 1998 to 2000, EXACT Sciences Corporation from 2000 to 2004, and Inotek Pharmaceuticals Corp. from 2004 to 2008. Mr. Walsh serves as a member of the Board of Tevard Biosciences, a private biotechnology company. He received a B.A. in sociology and economics from Yale University and an M.B.A. from the Kellogg Graduate School of Management at Northwestern University.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believe that Mr. Walsh’s qualifications to serve on our board of directors include his leadership and management experience in the biotechnology industry and his experience in finance and business development and strategic planning as an executive officer at multiple healthcare companies.</w:t>
      </w:r>
    </w:p>
    <w:p>
      <w:pPr>
        <w:spacing w:after="0" w:line="15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R. Sanders (Sandy) Williams, M.D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has served as a member of our board of directors since October 2016 and as chair of our board of directors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2025. Dr. Williams has served as the President Emeritus of Gladstone Institutes, a non-profit biomedical research enterprise since January 2018 and previously served as its President from November 2009 to December 2017. Dr. Williams also served as the Chief Executive Officer of Gladstone Foundation, a not-for-profit organization supporting Gladstone Institutes from January 2016 to December 2018. Since January 2018, Dr. Williams has served as Professor of Medicine and Senior Advisor for Science &amp; Technology at Duke University and, from February 2021-January 2022 as its Interim Vice President for Research and Innovation. Dr. Williams has also served as a Professor of Medicine at the University of California, San Francisco since 2010. From 2010 to 2017, Dr. Williams was the President and the Robert W. and Linda L. Mahley Distinguished Professor of Medicine of Gladstone Institutes. Prior to this, Dr. Williams served in various roles, including as Dean and Senior Vice Chancellor of the Duke University School of Medicine, from 2001 to 2010. He was the founding Dean of the Duke-NUS Graduate Medical School, Singapore, from 2003 to 2008 and served on its Governing Board from 2003 to 2010. From 1990 to 2001, Dr. Williams was Chief of Cardiology and Director of the Ryburn Center for Molecular Cardiology at the University of Texas, Southwestern Medical Center. He has also served as a director at numerous public biotechnology and pharmaceutical companies, including Bristol-Myers Squibb Company from 2006 until 2013, Laboratory Corporation of America Holdings from 2007 until 2024 and Amgen from 2014 until 2014. Dr. Williams was elected to the National Academy of Medicine in 2002. Dr. Williams received an A.B. from Princeton University and an M.D. from Duke University.</w:t>
      </w:r>
    </w:p>
    <w:p>
      <w:pPr>
        <w:spacing w:after="0" w:line="189"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We believe Dr. Williams is qualified to serve on our board because of his scientific and educational background, his extensive expertise in the cardiovascular field, and his experience as a public company board member, including within the biotechnology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rules of Nasdaq, independent directors must comprise a majority of our board of directors. A director will only qualify as “independent” under Nasdaq listing rules if, in the opinion of our board of directors, the director does not have a relationship that would interfere with the exercise of independent judgment in carrying out the responsibilities of a director. In addition, the Nasdaq listing rules require that, subject to specified exceptions, each member of our audit, compensation and corporate governance and nominating committees be independent.</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Audit committee members must also satisfy the additional independence criteria set forth in Rule 10A-3 under the Exchange Act, and Nasdaq listing rules applicable to audit committee members. Compensation committee members must also satisfy the additional independence criteria set forth in Rule 10C-1 under the Exchange Act and Nasdaq listing rules applicable to compensation committee members.</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of our directors. Based on information provided by each director concerning his or her background, employment and affiliations, our board of directors has determined that each of Drs. Lee, Srivastava, Stehman-Breen and Williams, Mses. Burroughs and Parschauer and Mr. Walsh, representing seven of our eight directors, do not have a relationship that would interfere with the exercise of independent judgment in carrying out the responsibilities of a director and that each of these directors is an “independent director” as defined under the listing standards of Nasdaq. Mr. Ali is not considered an independent director because of his position as our Chief Executive Officer.</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director nominees or executive officers.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board of directors is currently chaired by Dr. Williams. As a general policy, our board of directors believes that separation of the positions of Chair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Mr. Ali serves as our Chief Executive Officer while Dr. Williams serves as the Chair of our board of directors but is not an officer. We currently expect and intend the positions of Chair of our board of directors and Chief Executive Officer to continue to be held by two individuals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Risk is inherent with every business, and we face a number of risks, including strategic, financial, business and operational,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Our board reviews strategic and operational risk in the context of discussions, question and answer sessions, and reports from the management team at each regular board meeting, receives reports on all significant committee activities at each regular board meeting, and evaluates the risks inherent in significant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our board has tasked designated standing committees with oversight of certain categories of risk management.</w:t>
      </w:r>
    </w:p>
    <w:p>
      <w:pPr>
        <w:spacing w:after="0" w:line="225" w:lineRule="exact"/>
        <w:rPr>
          <w:sz w:val="20"/>
          <w:szCs w:val="20"/>
          <w:color w:val="auto"/>
        </w:rPr>
      </w:pPr>
    </w:p>
    <w:p>
      <w:pPr>
        <w:ind w:left="760" w:right="220" w:hanging="378"/>
        <w:spacing w:after="0" w:line="261"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audit committee assists our board in fulfilling its oversight responsibilities with respect to risk management in the areas of internal control over financial reporting and disclosure controls and procedures, cybersecurity and data security, legal and regulatory compliance, and also, among other things, discusses with management and the independent auditor guidelines and policies with respect to risk assessment and risk management.</w:t>
      </w:r>
    </w:p>
    <w:p>
      <w:pPr>
        <w:spacing w:after="0" w:line="179"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assesses risks relating to our executive compensation plans and arrangements, and whether our compensation policies and programs have the potential to encourage excessive risk taking.</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governance and nominating committee assesses risks relating to our corporate governance practices, the independence of the board and potential conflicts of interest.</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science and technology committee assesses risks relating to our research and development strategy and product pipeline.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believes its current leadership structure supports the risk oversight function of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the following standing committees of the board: audit committee; compensation committee; corporate governance and nominating committee; and science and technology committee. The composition and responsibilities of each of the committees of our board of directors is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The current members of our audit committee are Mses. Burroughs and Parschauer and Mr. Walsh. Mr. Walsh is the chairperson of our audit committee. Our board of directors has determined that each member of our audit committee meets the requirements for independence of audit committee members under the rules and regulations of the SEC and the listing standards of Nasdaq and also meets the financial literacy requirements of the listing standards of Nasdaq. Our board of directors has determined that Mr. Walsh is an audit committee financial expert within the meaning of Item 407(d)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Our audit committee is responsible for, among other things:</w:t>
      </w:r>
    </w:p>
    <w:p>
      <w:pPr>
        <w:spacing w:after="0" w:line="201" w:lineRule="exact"/>
        <w:rPr>
          <w:sz w:val="20"/>
          <w:szCs w:val="20"/>
          <w:color w:val="auto"/>
        </w:rPr>
      </w:pPr>
    </w:p>
    <w:p>
      <w:pPr>
        <w:ind w:left="5480" w:hanging="5098"/>
        <w:spacing w:after="0" w:line="783" w:lineRule="auto"/>
        <w:tabs>
          <w:tab w:leader="none" w:pos="7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retaining, compensating, evaluating, overseeing and, where appropriate, terminating our independent registered public accounting firm;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4" w:lineRule="exact"/>
        <w:rPr>
          <w:sz w:val="20"/>
          <w:szCs w:val="20"/>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scope and plans for the audits and the audit fees and approving all non-audit and tax services to be performed by the independent auditor;</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independence and qualifications of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statements, and discussing with management and our independent registered public accounting firm the results of the annual audit and the quarterly reviews;</w:t>
      </w:r>
    </w:p>
    <w:p>
      <w:pPr>
        <w:spacing w:after="0" w:line="161"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the quality and adequacy of our internal controls and our disclosure controls and procedures;</w:t>
      </w:r>
    </w:p>
    <w:p>
      <w:pPr>
        <w:spacing w:after="0" w:line="161"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our procedures regarding the presentation of our financial information, and reviewing earnings press releases and guidance;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design, implementation and performance of our internal audit function, if any;</w:t>
      </w:r>
    </w:p>
    <w:p>
      <w:pPr>
        <w:spacing w:after="0" w:line="225"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hiring policies with regard to the hiring of employees and former employees of our independent auditor and overseeing compliance with such policies;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monitoring related party transactions;</w:t>
      </w:r>
    </w:p>
    <w:p>
      <w:pPr>
        <w:spacing w:after="0" w:line="225"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overseeing procedures to address complaints regarding accounting, internal accounting controls and auditing matters, including confidential, anonymous submissions by our employees of concerns regarding questionable accounting or auditing matters;</w:t>
      </w:r>
    </w:p>
    <w:p>
      <w:pPr>
        <w:spacing w:after="0" w:line="161"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auditor the adequacy and effectiveness of our legal, regulatory and ethical compliance programs; and</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auditor our guidelines and policies to identify, monitor and address enterprise risks, including financial, operating, cybersecurity and data security risks.</w:t>
      </w:r>
    </w:p>
    <w:p>
      <w:pPr>
        <w:spacing w:after="0" w:line="1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Our audit committee operates under a written charter that satisfies the applicable rules and regulations of the SEC and the listing standards of Nasdaq. A copy of the charter of our audit committee is available on our website at investors.tenayatherapeutics.com/corporate-governance/governance-overview. During 2025, our audit committee held four meetings.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The current members of our compensation committee are Dr. Lee, Ms. Burroughs and Mr. Walsh. Dr. Lee is the chairperson of our compensation committee. Our board of directors has determined that each member of our compensation committee meets the requirements for independence for compensation committee members under the rules and regulations of the SEC and the listing standards of Nasdaq. Each member of the compensation committee is also a non-employee director, as defined pursuant to Rule 16b-3 promulgated under the Exchange Act. Our compensation committee is responsible for, among other things:</w:t>
      </w:r>
    </w:p>
    <w:p>
      <w:pPr>
        <w:spacing w:after="0" w:line="183" w:lineRule="exact"/>
        <w:rPr>
          <w:sz w:val="20"/>
          <w:szCs w:val="20"/>
          <w:color w:val="auto"/>
        </w:rPr>
      </w:pPr>
    </w:p>
    <w:p>
      <w:pPr>
        <w:ind w:left="760" w:right="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or making recommendations to our board of directors regarding the compensation for our executive officers, including our chief executive officer;</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administering our employee benefit and equity incentive plans;</w:t>
      </w:r>
    </w:p>
    <w:p>
      <w:pPr>
        <w:spacing w:after="0" w:line="225" w:lineRule="exact"/>
        <w:rPr>
          <w:rFonts w:ascii="Times New Roman" w:cs="Times New Roman" w:eastAsia="Times New Roman" w:hAnsi="Times New Roman"/>
          <w:sz w:val="18"/>
          <w:szCs w:val="18"/>
          <w:color w:val="auto"/>
        </w:rPr>
      </w:pPr>
    </w:p>
    <w:p>
      <w:pPr>
        <w:ind w:left="760" w:right="54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reviewing the compensation plans and programs of our employees, and ensuring that they are consistent with our general compensation strategy;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194"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making recommendations to our board of directors regarding the creation or revision of any clawback policy;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regarding non-employee director compensation; and</w:t>
      </w:r>
    </w:p>
    <w:p>
      <w:pPr>
        <w:spacing w:after="0" w:line="225"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compensation policies and practices to determine whether any policies are reasonably likely to have a material adverse effect on us.</w:t>
      </w:r>
    </w:p>
    <w:p>
      <w:pPr>
        <w:spacing w:after="0" w:line="1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Our compensation committee operates under a written charter that satisfies the applicable rules and regulations of the SEC and the listing standards of Nasdaq. A copy of the charter of our compensation committee is available on our website at investors.tenayatherapeutics.com/corporate-governance/governance-overview. During 2025, our compensation committee held five meetings.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and Nominating Committee</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current members of our corporate governance and nominating committee are Drs. Srivastava and Williams. Dr. Srivastava is the chairperson of our corporate governance and nominating committee. Our board of directors has determined that each member of our corporate governance and nominating committee meets the requirements for independence for corporate governance and nominating committee members under the listing standards of Nasdaq. Our corporate governance and nominating committee is responsible for, among other things:</w:t>
      </w:r>
    </w:p>
    <w:p>
      <w:pPr>
        <w:spacing w:after="0" w:line="180" w:lineRule="exact"/>
        <w:rPr>
          <w:sz w:val="20"/>
          <w:szCs w:val="20"/>
          <w:color w:val="auto"/>
        </w:rPr>
      </w:pPr>
    </w:p>
    <w:p>
      <w:pPr>
        <w:ind w:left="760" w:right="28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and making recommendations to our board of directors regarding desired qualifications, expertise and characteristics sought of board members;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selecting or making recommendations to our board of directors regarding nominees for election to our board of directors;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policies and procedures for considering stockholder nominees for election to our board of directors;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succession planning process for our chief executive officer and any other members of our executive management team;</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regarding the composition, organization and governance our board of directors and its committees;</w:t>
      </w:r>
    </w:p>
    <w:p>
      <w:pPr>
        <w:spacing w:after="0" w:line="161"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directors regarding our corporate governance guidelines and corporate governance framework;</w:t>
      </w:r>
    </w:p>
    <w:p>
      <w:pPr>
        <w:spacing w:after="0" w:line="161"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our corporate sustainability strategy and policies and to oversee our implementation of and preparation of public disclosures pertaining to our environmental, social and governance programs;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director orientation for new directors and continuing education for our directors;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performance of our board of directors and its committees; and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compliance with our code of business conduct and ethics and reviewing conflicts of interest of our board members and officers other than related party transactions reviewed by our audit committee.</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corporate governance and nominating committee operates under a written charter that satisfies the applicable listing standards of Nasdaq. A copy of the charter of our corporate governance and nominating committee is available on our website at investors.tenayatherapeutics.com/corporate-governance/governance-overview. During 2025, our corporate governance and nominating committee held two meetings.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Science and Technology Committee</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current members of our science and technology committee are Drs. Lee, Srivastava, Stehman-Breen and Williams. Dr. Stehman-Breen is the chairperson of our science and technology committee. Our board of directors has determined that each member of our science and technology committee meets the requirements for independence under the listing standards of Nasdaq. Our science and technology committee is responsible for, among other things:</w:t>
      </w:r>
    </w:p>
    <w:p>
      <w:pPr>
        <w:spacing w:after="0" w:line="180" w:lineRule="exact"/>
        <w:rPr>
          <w:sz w:val="20"/>
          <w:szCs w:val="20"/>
          <w:color w:val="auto"/>
        </w:rPr>
      </w:pPr>
    </w:p>
    <w:p>
      <w:pPr>
        <w:ind w:left="760" w:right="12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progress of our product pipeline, as well as the quality, direction and competitiveness of our research and development programs and related strategy;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scientific aspects of potential future business development opportunities;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trends in the treatment landscape of areas of therapeutic interest to the company;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with respect to the overall research, development and manufacturing organizations.</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science and technology committee operates under a written charter. A copy of the charter of our science and technology committee is available on our website at investors.tenayatherapeutics.com/corporate-governance/governance-overview. During 2025, our science and technology committee held two meetings.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Board and Stockholders Meetings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our fiscal year ended December 31, 2025, our board of directors held eight meetings (including regularly scheduled and special meetings), and each director, attended at least 75% of the aggregate of (1) the total number of meetings of the board of directors held during the period for which he or she has been a director and (2) the total number of meetings held by all committees on which he or she served during the periods that he or she served.</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members of our board of directors at the annual meetings of stockholders, we encourage, but do not require, directors to attend. All our directors serving at the time attended the 2025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2025, the members of our compensation committee were Dr. Lee, Dr. Williams (through June 2025), Ms. Burroughs (beginning June 2025) and Mr. Walsh. 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of any entity that has one or more executive officers serving on our board of directors or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Considerations in Evaluating Director Nominees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corporate governance and nominating committee uses a variety of methods for identifying and evaluating potential director nominees. In its evaluation of director candidates, including the current directors eligible for re-election, our corporate governance and nominating committee will consider the current size and composition of our board of directors and the needs of our board of directors and the respective committees of our board of directors and other director qualifications. While our board has not established minimum qualifications for board members, some of the factors that our corporate governance and nominating committee considers in assessing director nominee qualifications include, without limitation, issues of character, professional ethics and integrity, judgment, business experience and diversity,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a diverse body, and the corporate governance and nominating committee considers a broad range of perspectives, backgrounds and experiences.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our corporate governance and nominating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After completing its review and evaluation of director candidates, our corporate governance and nominating committee recommends to our full board of directors the director nominees for selection. Our corporate governance and nominating committee has discretion to decide which individuals to recommend for nomination as directors and our board of directors has the final authority in determining the selection of director candidates for nomination to our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Recommendations and Nominations to our Board of Directors</w:t>
      </w:r>
    </w:p>
    <w:p>
      <w:pPr>
        <w:spacing w:after="0" w:line="229"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Our corporate governance and nominating committee will consider recommendations and nominations for candidates to our board of directors from stockholders in the same manner as candidates recommended to the committee from other sources, so long as such recommendations and nominations comply with our Amended and Restated Certificate of Incorporation and Bylaws, all applicable company policies and all applicable laws, rules and regulations, including those promulgated by the SEC. Our corporate governance and nominating committee will evaluate such recommendations in accordance with its charter, our Bylaws and corporate governance guidelines and the director nominee criteria described above.</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stockholder who wants to recommend a candidate to our board of directors should direct the recommendation in writing by letter to our corporate secretary at Tenaya Therapeutics, Inc., 171 Oyster Point Boulevard, Suite 500, South San Francisco, CA 94080,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stockholder(s) in support of the candidate. Our corporate governance and nominating committee has discretion to decide which individuals to recommend for nomination as directors.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our Bylaws, stockholders may also directly nominate persons for our board of directors. Any nomination must comply with the requirements set forth in our Bylaws and the rules and regulations of the SEC and should be sent in writing to our corporate secretary at the address above. To be timely for our 2027 annual meeting of stockholders, nominations must be received by our corporate secretary observing the deadlines discussed above under “</w:t>
      </w:r>
      <w:r>
        <w:rPr>
          <w:rFonts w:ascii="Times New Roman" w:cs="Times New Roman" w:eastAsia="Times New Roman" w:hAnsi="Times New Roman"/>
          <w:sz w:val="18"/>
          <w:szCs w:val="18"/>
          <w:i w:val="1"/>
          <w:iCs w:val="1"/>
          <w:color w:val="auto"/>
        </w:rPr>
        <w:t>Questions and Answers About the Proxy Materials—What is the deadline to propose actions for consideration at next year’s annual meeting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or to nominate individuals to serve as directors?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Stockholders and other interested parties wishing to communicate directly with our non-management directors, may do so by writing and sending the correspondence to our corporate secretary by mail to our principal executive offices at 171 Oyster Point Boulevard, Suite 500, South San Francisco, CA 94080, Attention: Corporate Secretary. Our corporate secretary,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to consider and (3) matters that are of a type that are improper or irrelevant to the functioning of our board or our business, for example, mass mailings, job inquiries and business solicitations. If appropriate, our corporate secretary will route such communications to the appropriate director(s) or, if none is specified, then to the chairperson of the board. These policies and procedures do not apply to (a) communications to non-management directors from our officers or directors who are stockholders, (b) stockholder proposals submitted pursuant to Rule 14a-8 under the Exchange Act, or (c) communications to our audit committee pursuant to our complaint procedures for accounting and audit matters.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Prohibiting Hedging or Pledging of Securities</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Under our insider trading policy, our employees, including our executive officers, and the members of our board of directors are prohibited from, directly or indirectly, among other things, (1) engaging in short sales, (2) trading in publicly 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(5) holding our securities in a margin account.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We are committed to promoting high standards of ethical business conduct and compliance with applicable laws, rules and regulations. As part of this commitment, we have adopted our Insider Trading Policy to help our directors, officers, employees and specified consultants, contractors and advisors comply with federal and state securities laws and regulations that govern trading in securities and to help our organization minimize our own legal and reputational risk. A copy of our Insider Trading Policy, as amended, is filed as Exhibit 19.1 to our Annual report on Form 10-K for the year ended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 and Code of Business Conduct and Ethics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These guidelines address, among other items, the qualifications and responsibilities of our directors and director candidates,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are available on our website at investors.tenayatherapeutics.com/corporate-governance/governance-overview. We will post amendments to our code of business conduct and ethics or any waivers of our code of business conduct and ethics for directors and executive officers on the same website.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Under our Outside Director Compensation Policy, non-employee directors receive compensation in the form of cash and equity, as described below. We also reimburse our non-employee directors for expenses incurred in connection with attending board and committee meetings, as well as continuing director education. Our Outside Director Compensation Policy was updated in May 2025 and again in January 2026, in each case, after consultation with the Company’s independent compensation consultant.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22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During 2025, each non-employee director was paid an annual cash retainer of $40,000. In addition, each non-employee director who serves as a chair or chair or member of a committee was entitled to receive the following cash compensation for his or her services (increases for 2026 are shown in parentheticals):</w:t>
      </w:r>
    </w:p>
    <w:p>
      <w:pPr>
        <w:spacing w:after="0" w:line="176"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 per year for service as non-executive chair of our board of directors;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per year for service as a lead independent director;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per year for service as chair of the audit committee;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 per year for service as a member of the audit committee;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chair of the compensation committee (increased to $12,000 beginning January 1, 2026);</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per year for service as a member of the compensation committee (increased to $6,000 beginning January 1, 2026);</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 per year for service as chair of the corporate governance and nominating committee (increased to $10,000 beginning January 1, 2026);</w:t>
      </w:r>
    </w:p>
    <w:p>
      <w:pPr>
        <w:spacing w:after="0" w:line="225"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 per year for service as a member of the corporate governance and nominating committee (increased to $5,000 beginning January 1, 2026);</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chair of the science and technology committee (increased to $12,000 beginning January 1, 2026);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per year for service as a member of the science and technology committee (increased to $6,000 beginning January 1, 2026).</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Each non-employee director who serves as a committee chair will receive only the cash retainer fee as the chair of the committee but not the cash retainer fee as a member of that committee. These fees to our non-employee directors are paid quarterly in arrears on a prorated basis. Under our Outside Director Compensation Policy, we also will reimburse our non-employee directors for reasonable travel expenses to attend meetings of our board of directors and its committees.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Initial Award</w:t>
      </w:r>
      <w:r>
        <w:rPr>
          <w:rFonts w:ascii="Times New Roman" w:cs="Times New Roman" w:eastAsia="Times New Roman" w:hAnsi="Times New Roman"/>
          <w:sz w:val="18"/>
          <w:szCs w:val="18"/>
          <w:color w:val="auto"/>
        </w:rPr>
        <w:t>. Pursuant to our Outside Director Compensation Policy, each person who first becomes a non-employee director after the initial effective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such policy will receive, on the first trading day on or after the date that the person first becomes a non-employee director, an initial award, or the Initial Award, of stock options to purchase shares of our common stock with a grant date fair value as determined in accordance with U.S. GAAP equal to $320,000, provided that no more than 214,800 shares of our common stock (68,000 shares before the May 2025 updates to our Outside Director Compensation Policy) could be subject to an Initial Award. The Initial Award will be scheduled to vest in equal installments as to one thirty-sixth of the shares of our common stock subject at grant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8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i w:val="1"/>
          <w:iCs w:val="1"/>
          <w:color w:val="auto"/>
        </w:rPr>
        <w:t>Annual Award</w:t>
      </w:r>
      <w:r>
        <w:rPr>
          <w:rFonts w:ascii="Times New Roman" w:cs="Times New Roman" w:eastAsia="Times New Roman" w:hAnsi="Times New Roman"/>
          <w:sz w:val="18"/>
          <w:szCs w:val="18"/>
          <w:color w:val="auto"/>
        </w:rPr>
        <w:t>. Pursuant to our Outside Director Compensation Policy, each non-employee director who has served continuously as an outside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the date of the most recently preceding annual meeting of stockholders will automatically receive, on the first trading day immediately after the date of each annual meeting of our stockholders, an annual award, or the Annual Award, of stock options to purchase shares of our common stock with a grant date fair value as determined in accordance with U.S. GAAP equal to $160,000, provided that no more than 107,400 shares of our common stock (34,000 shares before the May 2025 updates to our Outside Director Compensation Policy) could be subject to an Annual Award. Our Outside Director Compensation Policy further provides that, in the case of a director who joined our board after the immediately preceding annual meeting of stockholders, the number of shares subject to his or her first Annual Award will be prorated for the months the director served prior to and including the date of the annual meeting at which the Annual Award is to be granted. Each Annual Award will be scheduled to vest in full upon the first anniversary of the date of the grant, or if earlier, the day immediately before the date of the next annual meeting that occurs after the Annual Award’s grant date, subject to the outside director remaining a service provider through the applicable vesting date.</w:t>
      </w:r>
    </w:p>
    <w:p>
      <w:pPr>
        <w:spacing w:after="0" w:line="18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In the event of a change in control, as defined in our 2021 Equity Incentive Plan, each non-employee director’s then outstanding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covering shares of our common stock will accelerate vesting in full, provided that he or she remains a non-employee director through the date of our change in control.</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2"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Other Award Terms</w:t>
      </w:r>
      <w:r>
        <w:rPr>
          <w:rFonts w:ascii="Times New Roman" w:cs="Times New Roman" w:eastAsia="Times New Roman" w:hAnsi="Times New Roman"/>
          <w:sz w:val="18"/>
          <w:szCs w:val="18"/>
          <w:color w:val="auto"/>
        </w:rPr>
        <w:t>. Each Initial Award and Annual Award will be granted under our 2021 Equity Incentive Plan (or its successor plan, as applicable)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of award agreement under such plan. These awards will have a maximum term to expiration of ten years from their grant and a per-share exercise price equal to 100% of the fair market value of a share of our common stock on the award’s grant date.</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Director Compensation Limits</w:t>
      </w:r>
      <w:r>
        <w:rPr>
          <w:rFonts w:ascii="Times New Roman" w:cs="Times New Roman" w:eastAsia="Times New Roman" w:hAnsi="Times New Roman"/>
          <w:sz w:val="18"/>
          <w:szCs w:val="18"/>
          <w:color w:val="auto"/>
        </w:rPr>
        <w:t>. Our Outside Director Compensation Policy provides that in any fiscal year, a non-employee director may be granted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or provided cash or other compensation with an aggregate value of no more than $500,000 (with the value of equity awards based on its grant date fair value determined in accordance with U.S. GAAP for purposes of this limit). Equity awards granted or other compensation provided to a non-employee director while he or she was an employee or consultant (other than a non-employee director), or granted or provided before the effective date of the registration statement related to our initial public offering, do not count toward this annual limit.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for Fiscal Year 2025</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the total compensation awarded to, earned by or paid to our non-employee directors for their service on our board of directors, for the fiscal year ended December 31, 2025. Directors who are also our employees receive no additional compensation for their service as directors. During 2025, Mr. Ali was an employee and executive officer of the company and therefore, did not receive compensation as a director. See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for additional information regarding Mr. Ali’s compensation.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Fees Paid or</w:t>
            </w:r>
          </w:p>
        </w:tc>
        <w:tc>
          <w:tcPr>
            <w:tcW w:w="4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Earned in</w:t>
            </w:r>
          </w:p>
        </w:tc>
        <w:tc>
          <w:tcPr>
            <w:tcW w:w="4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Awards ($)</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7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Cash ($)</w:t>
            </w:r>
          </w:p>
        </w:tc>
        <w:tc>
          <w:tcPr>
            <w:tcW w:w="40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(1) (2)</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 ($)</w:t>
            </w:r>
          </w:p>
        </w:tc>
        <w:tc>
          <w:tcPr>
            <w:tcW w:w="100" w:type="dxa"/>
            <w:vAlign w:val="bottom"/>
          </w:tcPr>
          <w:p>
            <w:pPr>
              <w:spacing w:after="0"/>
              <w:rPr>
                <w:sz w:val="18"/>
                <w:szCs w:val="18"/>
                <w:color w:val="auto"/>
              </w:rPr>
            </w:pPr>
          </w:p>
        </w:tc>
      </w:tr>
      <w:tr>
        <w:trPr>
          <w:trHeight w:val="199"/>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Amy Burroughs, M.B.A.</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4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34,615</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84,615</w:t>
            </w: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David Goeddel, Ph.D.(3)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44,000</w:t>
            </w:r>
          </w:p>
        </w:tc>
        <w:tc>
          <w:tcPr>
            <w:tcW w:w="4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78,615</w:t>
            </w:r>
          </w:p>
        </w:tc>
        <w:tc>
          <w:tcPr>
            <w:tcW w:w="100" w:type="dxa"/>
            <w:vAlign w:val="bottom"/>
          </w:tcPr>
          <w:p>
            <w:pPr>
              <w:spacing w:after="0"/>
              <w:rPr>
                <w:sz w:val="17"/>
                <w:szCs w:val="17"/>
                <w:color w:val="auto"/>
              </w:rPr>
            </w:pPr>
          </w:p>
        </w:tc>
      </w:tr>
      <w:tr>
        <w:trPr>
          <w:trHeight w:val="203"/>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June Lee, M.D.</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4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34,615</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89,615</w:t>
            </w:r>
          </w:p>
        </w:tc>
        <w:tc>
          <w:tcPr>
            <w:tcW w:w="100" w:type="dxa"/>
            <w:vAlign w:val="bottom"/>
            <w:shd w:val="clear" w:color="auto" w:fill="CFF0FC"/>
          </w:tcPr>
          <w:p>
            <w:pPr>
              <w:spacing w:after="0"/>
              <w:rPr>
                <w:sz w:val="17"/>
                <w:szCs w:val="17"/>
                <w:color w:val="auto"/>
              </w:rPr>
            </w:pPr>
          </w:p>
        </w:tc>
      </w:tr>
      <w:tr>
        <w:trPr>
          <w:trHeight w:val="202"/>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Karah Parschauer, J.D.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47,500</w:t>
            </w:r>
          </w:p>
        </w:tc>
        <w:tc>
          <w:tcPr>
            <w:tcW w:w="4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82,115</w:t>
            </w:r>
          </w:p>
        </w:tc>
        <w:tc>
          <w:tcPr>
            <w:tcW w:w="100" w:type="dxa"/>
            <w:vAlign w:val="bottom"/>
          </w:tcPr>
          <w:p>
            <w:pPr>
              <w:spacing w:after="0"/>
              <w:rPr>
                <w:sz w:val="17"/>
                <w:szCs w:val="17"/>
                <w:color w:val="auto"/>
              </w:rPr>
            </w:pPr>
          </w:p>
        </w:tc>
      </w:tr>
      <w:tr>
        <w:trPr>
          <w:trHeight w:val="203"/>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Deepak Srivastava, M.D.</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90,500</w:t>
            </w:r>
          </w:p>
        </w:tc>
        <w:tc>
          <w:tcPr>
            <w:tcW w:w="4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34,615</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125,115</w:t>
            </w: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Catherine Stehman-Breen, M.D.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4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84,615</w:t>
            </w:r>
          </w:p>
        </w:tc>
        <w:tc>
          <w:tcPr>
            <w:tcW w:w="100" w:type="dxa"/>
            <w:vAlign w:val="bottom"/>
          </w:tcPr>
          <w:p>
            <w:pPr>
              <w:spacing w:after="0"/>
              <w:rPr>
                <w:sz w:val="17"/>
                <w:szCs w:val="17"/>
                <w:color w:val="auto"/>
              </w:rPr>
            </w:pPr>
          </w:p>
        </w:tc>
      </w:tr>
      <w:tr>
        <w:trPr>
          <w:trHeight w:val="203"/>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Jeffrey T. Walsh, M.B.A.</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4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34,615</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94,615</w:t>
            </w:r>
          </w:p>
        </w:tc>
        <w:tc>
          <w:tcPr>
            <w:tcW w:w="100" w:type="dxa"/>
            <w:vAlign w:val="bottom"/>
            <w:shd w:val="clear" w:color="auto" w:fill="CFF0FC"/>
          </w:tcPr>
          <w:p>
            <w:pPr>
              <w:spacing w:after="0"/>
              <w:rPr>
                <w:sz w:val="17"/>
                <w:szCs w:val="17"/>
                <w:color w:val="auto"/>
              </w:rPr>
            </w:pPr>
          </w:p>
        </w:tc>
      </w:tr>
      <w:tr>
        <w:trPr>
          <w:trHeight w:val="210"/>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R. Sanders (Sandy) Williams, M.D.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79,500</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114,115</w:t>
            </w:r>
          </w:p>
        </w:tc>
        <w:tc>
          <w:tcPr>
            <w:tcW w:w="100" w:type="dxa"/>
            <w:vAlign w:val="bottom"/>
          </w:tcPr>
          <w:p>
            <w:pPr>
              <w:spacing w:after="0"/>
              <w:rPr>
                <w:sz w:val="18"/>
                <w:szCs w:val="18"/>
                <w:color w:val="auto"/>
              </w:rPr>
            </w:pPr>
          </w:p>
        </w:tc>
      </w:tr>
    </w:tbl>
    <w:p>
      <w:pPr>
        <w:spacing w:after="0" w:line="221" w:lineRule="exact"/>
        <w:rPr>
          <w:sz w:val="20"/>
          <w:szCs w:val="20"/>
          <w:color w:val="auto"/>
        </w:rPr>
      </w:pPr>
    </w:p>
    <w:p>
      <w:pPr>
        <w:ind w:left="600" w:right="160" w:hanging="292"/>
        <w:spacing w:after="0" w:line="266" w:lineRule="auto"/>
        <w:tabs>
          <w:tab w:leader="none" w:pos="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column reflects the aggregate grant date fair value of option awards granted to the directors in the applicable fiscal year, computed in accordance with Financial Accounting Standards Board (FASB), Accounting Standards Codification Topic 718 (ASC 718). See Note 8 to our financial statements for the year ended December 31, 2025, included in our Annual Report on Form 10-K for the year ended December 31, 2025, filed with the SEC on March 11, 2026, for a discussion of the assumptions made by us in determining the grant date fair value of our equity awards. Our directors will only realize compensation to the extent the trading price of our common stock is greater than the exercise price of such stock options.</w:t>
      </w:r>
    </w:p>
    <w:p>
      <w:pPr>
        <w:ind w:left="600" w:right="440" w:hanging="292"/>
        <w:spacing w:after="0" w:line="264" w:lineRule="auto"/>
        <w:tabs>
          <w:tab w:leader="none" w:pos="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number of shares subject to all stock options held by each of our current non-employee directors as of December 31, 2025, is as follows: Ms. Burroughs—196,166; Dr. Lee—229,596; Ms. Parschauer—210,427; Dr. Srivastava—248,159; Dr. Stehman-Breen—232,534; Mr. Walsh—250,659; and Dr. Williams—210,659.</w:t>
      </w:r>
    </w:p>
    <w:p>
      <w:pPr>
        <w:ind w:left="600" w:hanging="292"/>
        <w:spacing w:after="0"/>
        <w:tabs>
          <w:tab w:leader="none" w:pos="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Goeddel resigned from the Board effective as of January 26, 2026.</w:t>
      </w:r>
    </w:p>
    <w:p>
      <w:pPr>
        <w:spacing w:after="0" w:line="18" w:lineRule="exact"/>
        <w:rPr>
          <w:rFonts w:ascii="Times New Roman" w:cs="Times New Roman" w:eastAsia="Times New Roman" w:hAnsi="Times New Roman"/>
          <w:sz w:val="16"/>
          <w:szCs w:val="16"/>
          <w:color w:val="auto"/>
        </w:rPr>
      </w:pPr>
    </w:p>
    <w:p>
      <w:pPr>
        <w:ind w:left="600" w:right="120" w:hanging="292"/>
        <w:spacing w:after="0" w:line="288" w:lineRule="auto"/>
        <w:tabs>
          <w:tab w:leader="none" w:pos="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disclosed includes $37,500 paid pursuant to our consulting agreement with Dr. Srivastava, which consulting agreement was terminated effective June 15, 2025.</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CLASS II DIRECTORS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board of directors currently consists of eight members. In accordance with our Amended and Restated Certificate of Incorporation, our board of directors is divided into three classes with staggered three-year terms. At the annual meeting, three Class II directors will be elected for a three-year term to succeed the same class whose term is then expiring. Each director’s term continues until the expiration of the term for which such director was elected and until such director’s successor is elected and qualified or until such director’s earlier death, resignation or removal.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corporate governance and nominating committee has recommended, and our board of directors has approved, Amy Burroughs, M.B.A., Karah Parschauer, J.D. and Catherine Stehman-Breen, M.D., as nominees for election as Class II directors at the annual meeting. If elected, each of Mses. Burroughs and Parschauer and Dr. Stehman-Breen will each serve as a Class II director until the 2029 annual meeting of stockholders and until her respective successor is elected and qualified or until her earlier death, resignation or removal. For more information concerning the nominees, please see the section titled “</w:t>
      </w:r>
      <w:r>
        <w:rPr>
          <w:rFonts w:ascii="Times New Roman" w:cs="Times New Roman" w:eastAsia="Times New Roman" w:hAnsi="Times New Roman"/>
          <w:sz w:val="18"/>
          <w:szCs w:val="18"/>
          <w:i w:val="1"/>
          <w:iCs w:val="1"/>
          <w:color w:val="auto"/>
        </w:rPr>
        <w:t>Board of Directors and Corporate Governance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Mses. Burroughs and Parschauer and Dr. Stehman-Breen have agreed to serve as directors if elected, and management has no reason to believe that they will be unavailable to serve. In the event a nominee is unable or declines to serve as a director at the time of the annual meeting, proxies will be voted for any nominee designated by the present board of directors to fill the vacancy.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Each director is elected by a plurality of the voting power of the shares present in person (including virtually) or represented by proxy at the meeting and entitled to vote on the election of directors. Because the outcome of this proposal will be determined by a plurality vote, any shares not voted FOR a particular nominee, whether as a result of choosing to WITHHOLD authority to vote or a broker non-vote, will have no effect on the outcome of the election.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ELECTION OF EACH OF THE DIRECTOR NOMINEES NAMED ABOVE.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audit committee has appointed Deloitte &amp; Touche LLP as our independent registered public accounting firm to audit our financial statements for our fiscal year ending December 31, 2026. Deloitte &amp; Touche LLP served as our independent registered public accounting firm for the fiscal year ended December 31, 2025.</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At the annual meeting, we are asking our stockholders to ratify the appointment of Deloitte &amp; Touche LLP as our independent registered public accounting firm for our fiscal year ending December 31, 2026. Our audit committee is submitting the appointment of Deloitte &amp; Touche LLP to our stockholders because we value our stockholders’ views on our independent registered public accounting firm and as a matter of good corporate governance. Notwithstanding the appointment of Deloitte &amp; Touche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Deloitte &amp; Touche LLP, then our audit committee may reconsider the appointment. One or more representatives of Deloitte &amp; Touche LLP are expected to be present at the annual meeting, and they will have an opportunity to make a statement and are expected to be available to respond to appropriate questions from our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the Independent Registered Public Accounting Firm</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and other services rendered to us by Deloitte &amp; Touche LLP for our fiscal years ended December 31, 2025, and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3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1,152,337</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1,130,725</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3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3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Fees</w:t>
            </w:r>
          </w:p>
        </w:tc>
        <w:tc>
          <w:tcPr>
            <w:tcW w:w="3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1,152,337</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1,130,725</w:t>
            </w:r>
          </w:p>
        </w:tc>
        <w:tc>
          <w:tcPr>
            <w:tcW w:w="100" w:type="dxa"/>
            <w:vAlign w:val="bottom"/>
            <w:shd w:val="clear" w:color="auto" w:fill="CFF0FC"/>
          </w:tcPr>
          <w:p>
            <w:pPr>
              <w:spacing w:after="0"/>
              <w:rPr>
                <w:sz w:val="18"/>
                <w:szCs w:val="18"/>
                <w:color w:val="auto"/>
              </w:rPr>
            </w:pPr>
          </w:p>
        </w:tc>
      </w:tr>
    </w:tbl>
    <w:p>
      <w:pPr>
        <w:spacing w:after="0" w:line="229" w:lineRule="exact"/>
        <w:rPr>
          <w:sz w:val="20"/>
          <w:szCs w:val="20"/>
          <w:color w:val="auto"/>
        </w:rPr>
      </w:pPr>
    </w:p>
    <w:p>
      <w:pPr>
        <w:ind w:left="600" w:right="120" w:hanging="292"/>
        <w:spacing w:after="0" w:line="275" w:lineRule="auto"/>
        <w:tabs>
          <w:tab w:leader="none" w:pos="6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“Audit fees” consist of fees billed for professional services rendered for the audit of our consolidated financial statements and review of the interim financial statements included in quarterly reports and services that are normally provided by Deloitte &amp; Touche LLP in connection with statutory and regulatory filings and other engagements such as consents and review of documents filed with the SEC. The fees for 2024 include services associated with the activation of our “at the market” program and our follow-on offering in March 2025. The fees for 2025 include services associated with our follow-on offering in December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2025, there were no other professional services provided by Deloitte &amp; Touche LLP, other than those listed above, that would have required our audit committee to consider their compatibility with maintaining the independence of Deloitte &amp; Touche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Policy on Pre-Approval of Audit and Permissible Non-Audit Services of Independent Registered Public Accounting Firm</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such accounting firm’s independence. All fees paid to Deloitte &amp; Touche LLP for our fiscal year ended December 31, 2025, were pre-approved by our audit committee.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ratification of the appointment of Deloitte &amp; Touche LLP as our independent registered public accounting firm for our fiscal year ending December 31, 2026, requires the affirmative vote of a majority of the voting power of the shares present in person (including virtually) or represented by proxy at the annual meeting and entitled to vote thereon. Abstentions will have the same effect as a vote AGAINST this proposal. Because this is a routine proposal, your broker, bank or other nominee will have discretion to vote your shares on this routine matter. See “</w:t>
      </w:r>
      <w:r>
        <w:rPr>
          <w:rFonts w:ascii="Times New Roman" w:cs="Times New Roman" w:eastAsia="Times New Roman" w:hAnsi="Times New Roman"/>
          <w:sz w:val="18"/>
          <w:szCs w:val="18"/>
          <w:i w:val="1"/>
          <w:iCs w:val="1"/>
          <w:color w:val="auto"/>
        </w:rPr>
        <w:t>What if I do not specify how my shares are to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voted or fail to provide timely directions to my broker, bank or other nominee?</w:t>
      </w:r>
      <w:r>
        <w:rPr>
          <w:rFonts w:ascii="Times New Roman" w:cs="Times New Roman" w:eastAsia="Times New Roman" w:hAnsi="Times New Roman"/>
          <w:sz w:val="18"/>
          <w:szCs w:val="18"/>
          <w:color w:val="auto"/>
        </w:rPr>
        <w:t>” above. Therefore, we do not expect any broker non-votes on this proposal.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RATIFICATION OF THE APPOINTMENT OF DELOITTE &amp; TOUCHE LLP AS OUR INDEPENDENT REGISTERED PUBLIC ACCOUNTING FIRM FOR OUR FISCAL YEAR ENDING DECEMBER 31, 2026.</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audit committee is a committee of the board of directors comprised solely of independent directors as required by the listing standards of the Nasdaq Stock Market LLC and the rules and regulations of the Securities and Exchange Commission (the SEC). The composition of the audit committee, the attributes of its members and the responsibilities of the audit committee, as reflected in its charter, are intended to be in accordance with applicable requirements for corporate audit committees. The audit committee operates under a written charter approved by the board of directors. The audit committee reviews and assesses the adequacy of its charter and the audit committee’s performance on an annual basis.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 respect to the Company’s financial reporting process, the Company’s management is responsible for (1) establishing and maintaining internal controls and (2) preparing the Company’s financial statements. The Company’s independent registered public accounting firm, Deloitte &amp; Touche LLP (Deloitte), is responsible for performing an independent audit of the Company’s financial statements. It is the responsibility of the audit committee to oversee these activities. It is not the responsibility of the audit committee to prepare the Company’s financial statements. These are the fundamental responsibilities of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performance of its oversight function, the audit committee has:</w:t>
      </w:r>
    </w:p>
    <w:p>
      <w:pPr>
        <w:spacing w:after="0" w:line="225"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with management and Deloitte;</w:t>
      </w:r>
    </w:p>
    <w:p>
      <w:pPr>
        <w:spacing w:after="0" w:line="225"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Deloitte the matters required to be discussed by the applicable requirements of the Public Company Accounting Oversight Board (PCAOB) and the SEC; and</w:t>
      </w:r>
    </w:p>
    <w:p>
      <w:pPr>
        <w:spacing w:after="0" w:line="161" w:lineRule="exact"/>
        <w:rPr>
          <w:rFonts w:ascii="Times New Roman" w:cs="Times New Roman" w:eastAsia="Times New Roman" w:hAnsi="Times New Roman"/>
          <w:sz w:val="18"/>
          <w:szCs w:val="18"/>
          <w:color w:val="auto"/>
        </w:rPr>
      </w:pPr>
    </w:p>
    <w:p>
      <w:pPr>
        <w:ind w:left="760" w:right="540" w:hanging="378"/>
        <w:spacing w:after="0" w:line="312" w:lineRule="auto"/>
        <w:tabs>
          <w:tab w:leader="none" w:pos="7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received the written disclosures and the letter from Deloitte required by applicable requirements of the PCAOB regarding the independent accountant’s communications with the audit committee concerning independence and has discussed with Deloitte its independence.</w:t>
      </w:r>
    </w:p>
    <w:p>
      <w:pPr>
        <w:spacing w:after="0" w:line="1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Based on the audit committee’s review and discussions with management and Deloitte, the audit committee recommended to the board of directors that the audited financial statements be included in the Company’s Annual Report on Form 10-K for the fiscal year ended December 31, 2025, for filing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 by the members of the audit committee of the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Jeffrey T. Walsh (Chair)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Amy Burroughs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Karah Parschauer</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the Company under the Securities Act of 1933, as amended, or the Exchange Act, except to the extent the Company specifically requests that the information be treated as “soliciting material” or specifically incorporates it by reference.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TENAYA THERAPEUTICS, INC. AMENDED AND RESTATED 2021 EQUITY INCENTIVE PLAN</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are seeking stockholder approval to amend and restate our 2021 Equity Incentive Plan (the 2021 Plan, and the currently in effect version of the 2021 Plan, the Current 2021 Plan), which was originally adopted by our board of directors and approved by our stockholders in 2021 in connection with our initial public offering.</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asking our stockholders to approve an amended and restated 2021 Plan (the Restated Plan) to (1) provide for a one-time increase to the number of shares of our common stock reserved for issuance under the Restated Plan by approximately 3% of our outstanding shares (6,509,966 shares), (2) amend the annual “evergreen” provision to remove the annual limit of 4 million shares, while maintaining the annual increase at 4% of our outstanding shares, and (3) add a limit on the number of shares that can be issued as incentive stock options under the Restated Plan.</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limited share reserve available in our Current 2021 Plan has constrained our ability to grant market-competitive equity awards. The proposed Restated Plan will allow us to address below-market equity holdings for our employees and ensure meaningful retention and incentives going forward. By doing so, we can continue to use the Restated Plan to attract, retain and incentivize our talent to increase stockholder value and achieve our business goals. Without these updates, we risk undermining the emphasis on long-term incentives in our compensation programs which closely aligns our employees with the interests of our stockholders.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Based on our Compensation Committee’s recommendation, our board of directors adopted the Restated Plan on March 10, 2026, subject to approval from our stockholders at our Annual Meeting. If stockholders approve this proposal, the Restated Plan will replace our Current 2021 Plan and become effective as of the date of stockholder approval (the Restatement Date). Under the guidance of our Compensation Committee and with input from our independent compensation consultant, we will continue to use our equity reserves in a responsible manner, balancing careful management of our burn rate with our need to provide competitive equity awards to drive performance and retention.</w:t>
      </w:r>
    </w:p>
    <w:p>
      <w:pPr>
        <w:spacing w:after="0" w:line="183"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If stockholders do not approve this proposal, such amendment and restatement will not take effect and our Current 2021 Plan will continue to be administered in its current 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Differences Between the Current 2021 Plan and the Restated Plan</w:t>
      </w:r>
    </w:p>
    <w:p>
      <w:pPr>
        <w:spacing w:after="0" w:line="229" w:lineRule="exact"/>
        <w:rPr>
          <w:sz w:val="20"/>
          <w:szCs w:val="20"/>
          <w:color w:val="auto"/>
        </w:rPr>
      </w:pPr>
    </w:p>
    <w:p>
      <w:pPr>
        <w:ind w:left="760" w:right="5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Restated Plan includes a one-time increase of approximately 3% of our outstanding shares (6,509,966 shares) to the number of shares available for future grants under the Restated Plan.</w:t>
      </w:r>
    </w:p>
    <w:p>
      <w:pPr>
        <w:spacing w:after="0" w:line="161" w:lineRule="exact"/>
        <w:rPr>
          <w:rFonts w:ascii="Times New Roman" w:cs="Times New Roman" w:eastAsia="Times New Roman" w:hAnsi="Times New Roman"/>
          <w:sz w:val="18"/>
          <w:szCs w:val="18"/>
          <w:color w:val="auto"/>
        </w:rPr>
      </w:pPr>
    </w:p>
    <w:p>
      <w:pPr>
        <w:ind w:left="760" w:right="120" w:hanging="378"/>
        <w:spacing w:after="0" w:line="25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Restated Plan will no longer have a 4 million share cap in the current annual “evergreen” provision. Instead, beginning with our 2027 fiscal year, the number of shares available for issuance under the Restated Plan will be increased on the first day of each fiscal year, in an amount, subject to the adjustment provisions of the Restated Plan, equal to 4% of our outstanding shares on the last day of the immediately prior fiscal year or such lesser number of shares determined by our board of directors or the compensation committee as the administrator of the Restated Plan. The term of the “evergreen” provision will remain unchanged under the Restated Plan and will expire as originally planned in January 2031.</w:t>
      </w:r>
    </w:p>
    <w:p>
      <w:pPr>
        <w:spacing w:after="0" w:line="187" w:lineRule="exact"/>
        <w:rPr>
          <w:rFonts w:ascii="Times New Roman" w:cs="Times New Roman" w:eastAsia="Times New Roman" w:hAnsi="Times New Roman"/>
          <w:sz w:val="18"/>
          <w:szCs w:val="18"/>
          <w:color w:val="auto"/>
        </w:rPr>
      </w:pPr>
    </w:p>
    <w:p>
      <w:pPr>
        <w:ind w:left="760" w:hanging="378"/>
        <w:spacing w:after="0" w:line="254"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Restated Plan includes a maximum number of shares that may be issued upon the exercise of incentive stock options under the Restated Plan of 15 million shares, which is in all cases still subject to the applicable share reserve. Currently, we are not granting incentive stock options, but to give us flexibility to do so in the future, we must have a specific maximum number of shares that can be granted under incentive stock options. The Current 2021 Plan met that requirement through the share reserve and the 4 million share cap in the “evergreen” provision. Removing the 4 million share cap in the “evergreen” provision means that, in order to be able to grant new incentive stock options in the future, we needed to provide for that maximum in a different way. The proposed maximum does not indicate that we intend to grant 15 million incentive stock options over the life of the Restated Plan; in fact, we currently expect that options granted under the Restated Plan will be in the form of nonstatutory stock options for the foreseeable future.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OUR BOARD OF DIRECTORS RECOMMENDS THAT YOU VOTE “FOR” THE APPROVAL OF THE TENAYA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2021 EQUITY INCENTIVE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Should Stockholders Vote to Approve the Restated Plan?</w:t>
      </w:r>
    </w:p>
    <w:p>
      <w:pPr>
        <w:spacing w:after="0" w:line="22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Restated Plan Will Allow Us to Recruit, Incentivize and Retain the Critical Talent Needed to Achieve our Strategic Priorities and Anticipated Business Milestones</w:t>
      </w:r>
    </w:p>
    <w:p>
      <w:pPr>
        <w:spacing w:after="0" w:line="15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use of equity compensation has historically been a significant part of our overall compensation philosophy and is a practice that we plan to continue. We believe that a market-competitive equity program is a necessary and powerful employee incentive and retention tool that benefits our stockholders. It is vital to our ability to attract, retain and motivate outstanding and highly skilled individuals in the competitive labor markets in which we compete, and puts employees’ interests directly into alignment with those of our stockholders.</w:t>
      </w:r>
    </w:p>
    <w:p>
      <w:pPr>
        <w:spacing w:after="0" w:line="180"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We have been disciplined in our equity usage and our annual dilution rates are low relative to our peer companies. Despite strict management of our burn rate and responsible usage of our share reserve, following our 2025 financings, our current equity overhang (total employee ownership) has fallen well below the 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of our peer group. The one-time increase and the “evergreen” modification for which we are requesting approval is intended to be a modest request to bring our equity reserves back in line with our peers, so that we can continue to provide our employees with meaningful long-term incentives, while also maintaining an annual equity burn rate that is aligned with the market.</w:t>
      </w:r>
    </w:p>
    <w:p>
      <w:pPr>
        <w:spacing w:after="0" w:line="19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Since 2024, we have reduced our workforce by over 50%. The employees that remain with us are core to our mission, and we recognize that the value of our equity awards have fallen behind equity compensation levels reported in the highly competitive San Francisco Bay area marketplace. While we continue to carefully manage our cash reserves, the use of equity incentives, which reinforce stockholder alignment, remains a critical component of our pay programs. As a result, we do not believe that the shares available for issuance under the Current 2021 Plan will be sufficient to support our performance-based compensation philosophy which relies heavily on long-term incentives for both executives and non-executive employees.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Without the ability to grant market-based equity incentives, we will be at a disadvantage versus companies with which we directly compete with for specialized and highly sought after skill sets. Absent a sufficient share reserve, we would be forced to consider cash replacement alternatives to provide market-competitive total compensation packages to our employees. These cash replacement alternatives could, among other things, reduce the cash available for investment in the ongoing development of our product pipeline, cause a loss of motivation by employees to achieve superior performance over the longer term, and reduce the incentive of employees to remain employed with us during the equity award vesting period.</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asking our stockholders to approve the Restated Plan at our Annual Meeting so that we are able to fully support our compensation philosophy and intended equity strategy going forward.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Used our Current 2021 Plan Responsibly and Intend to Use the Restated Plan Responsibly</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part of the process used to determine the number of shares of common stock subject to the Restated Plan, our compensation committee and our board of directors reviewed analyses prepared by Alpine Rewards, an independent compensation consultant, which included the burn rate and overhang metrics discussed below. If approved, the 8,023,401 shares available for grant under the Restated Plan as of the Restatement Date would represent approximately 3.7% of our 216,998,876 outstanding shares of common stock as of April 1, 2026. Our compensation committee and our board of directors believe the potential dilution to stockholders is reasonable and sustainable to meet our business goals.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Restated Plan Includes Compensation and Governance Best Practices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Restated Plan includes provisions considered best practice for compensation and corporate governance purposes, which protect our stockholders’ interests:</w:t>
      </w:r>
    </w:p>
    <w:p>
      <w:pPr>
        <w:spacing w:after="0" w:line="162" w:lineRule="exact"/>
        <w:rPr>
          <w:sz w:val="20"/>
          <w:szCs w:val="20"/>
          <w:color w:val="auto"/>
        </w:rPr>
      </w:pPr>
    </w:p>
    <w:p>
      <w:pPr>
        <w:ind w:left="760" w:right="380" w:hanging="378"/>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Single-Trigger Vesting Acceleration upon a Change in Control</w:t>
      </w:r>
      <w:r>
        <w:rPr>
          <w:rFonts w:ascii="Times New Roman" w:cs="Times New Roman" w:eastAsia="Times New Roman" w:hAnsi="Times New Roman"/>
          <w:sz w:val="18"/>
          <w:szCs w:val="18"/>
          <w:color w:val="auto"/>
        </w:rPr>
        <w:t>. In a change in control (as defined in the Restated Plan), awards will be treated in the manner determined by the administrator. The Restated Plan does not provide for automatic vesting of awards upon a change in control for executives, employees, and consultants unless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4" w:lineRule="exact"/>
        <w:rPr>
          <w:sz w:val="20"/>
          <w:szCs w:val="20"/>
          <w:color w:val="auto"/>
        </w:rPr>
      </w:pPr>
    </w:p>
    <w:p>
      <w:pPr>
        <w:ind w:left="760" w:right="60"/>
        <w:spacing w:after="0" w:line="282" w:lineRule="auto"/>
        <w:rPr>
          <w:sz w:val="20"/>
          <w:szCs w:val="20"/>
          <w:color w:val="auto"/>
        </w:rPr>
      </w:pPr>
      <w:r>
        <w:rPr>
          <w:rFonts w:ascii="Times New Roman" w:cs="Times New Roman" w:eastAsia="Times New Roman" w:hAnsi="Times New Roman"/>
          <w:sz w:val="18"/>
          <w:szCs w:val="18"/>
          <w:color w:val="auto"/>
        </w:rPr>
        <w:t>the award is not assumed or substituted for. As is typical, equity awards granted to our non-employee director equity awards accelerate upon the occurrence of a change in control.</w:t>
      </w:r>
    </w:p>
    <w:p>
      <w:pPr>
        <w:spacing w:after="0" w:line="162"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Tax Gross-ups</w:t>
      </w:r>
      <w:r>
        <w:rPr>
          <w:rFonts w:ascii="Times New Roman" w:cs="Times New Roman" w:eastAsia="Times New Roman" w:hAnsi="Times New Roman"/>
          <w:sz w:val="18"/>
          <w:szCs w:val="18"/>
          <w:color w:val="auto"/>
        </w:rPr>
        <w:t>. The Restated Plan does not provide for any tax gross-ups.</w:t>
      </w:r>
    </w:p>
    <w:p>
      <w:pPr>
        <w:spacing w:after="0" w:line="225"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Events</w:t>
      </w:r>
      <w:r>
        <w:rPr>
          <w:rFonts w:ascii="Times New Roman" w:cs="Times New Roman" w:eastAsia="Times New Roman" w:hAnsi="Times New Roman"/>
          <w:sz w:val="18"/>
          <w:szCs w:val="18"/>
          <w:color w:val="auto"/>
        </w:rPr>
        <w:t>. We have implemented a compensation recovery policy (the “Clawback Policy”) in compliance with SEC rules and applicable Nasdaq Listing Rules, and the administrator may require a participant to forfeit, return, or reimburse the Company all or a portion of the award and any amounts paid under the award to comply with our Clawback Policy or applicable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Considered Many Factors in Making its Recommendation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determining and recommending the increase to the share reserve and modification to the “evergreen” provision under the Restated Plan, in addition to the factors discussed above, our board of directors considered the following factors.</w:t>
      </w:r>
    </w:p>
    <w:p>
      <w:pPr>
        <w:spacing w:after="0" w:line="160"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Modest Overhang Impact</w:t>
      </w:r>
      <w:r>
        <w:rPr>
          <w:rFonts w:ascii="Times New Roman" w:cs="Times New Roman" w:eastAsia="Times New Roman" w:hAnsi="Times New Roman"/>
          <w:sz w:val="18"/>
          <w:szCs w:val="18"/>
          <w:i w:val="1"/>
          <w:iCs w:val="1"/>
          <w:color w:val="auto"/>
        </w:rPr>
        <w:t>.</w:t>
      </w:r>
    </w:p>
    <w:p>
      <w:pPr>
        <w:spacing w:after="0" w:line="125" w:lineRule="exact"/>
        <w:rPr>
          <w:rFonts w:ascii="Times New Roman" w:cs="Times New Roman" w:eastAsia="Times New Roman" w:hAnsi="Times New Roman"/>
          <w:sz w:val="18"/>
          <w:szCs w:val="18"/>
          <w:color w:val="auto"/>
        </w:rPr>
      </w:pPr>
    </w:p>
    <w:p>
      <w:pPr>
        <w:ind w:left="1140" w:right="120" w:hanging="383"/>
        <w:spacing w:after="0" w:line="233" w:lineRule="auto"/>
        <w:tabs>
          <w:tab w:leader="none" w:pos="11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level of “issued overhang” (equity awards currently held by our equity plan participants) is 8.2%, which is well below the 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of our peers (the median issued overhang for our peer group is 16.4%);</w:t>
      </w:r>
    </w:p>
    <w:p>
      <w:pPr>
        <w:spacing w:after="0" w:line="91" w:lineRule="exact"/>
        <w:rPr>
          <w:rFonts w:ascii="Times New Roman" w:cs="Times New Roman" w:eastAsia="Times New Roman" w:hAnsi="Times New Roman"/>
          <w:sz w:val="18"/>
          <w:szCs w:val="18"/>
          <w:color w:val="auto"/>
        </w:rPr>
      </w:pPr>
    </w:p>
    <w:p>
      <w:pPr>
        <w:ind w:left="1140" w:right="140" w:hanging="383"/>
        <w:spacing w:after="0" w:line="244" w:lineRule="auto"/>
        <w:tabs>
          <w:tab w:leader="none" w:pos="11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level of “total overhang” (our “all in” equity plan dilution, including both equity awards currently outstanding and shares remaining available for grant) is ~10.2%, and most of the shares we have remaining available for grant are under our 2024 Inducement Equity Incentive Plan, which may only be used for grants to new hire employees. This total overhang is also well below the 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percentile of our peers, which is 19.0% (the median total overhang for our peer group is ~22.3%); and</w:t>
      </w:r>
    </w:p>
    <w:p>
      <w:pPr>
        <w:spacing w:after="0" w:line="94" w:lineRule="exact"/>
        <w:rPr>
          <w:rFonts w:ascii="Times New Roman" w:cs="Times New Roman" w:eastAsia="Times New Roman" w:hAnsi="Times New Roman"/>
          <w:sz w:val="18"/>
          <w:szCs w:val="18"/>
          <w:color w:val="auto"/>
        </w:rPr>
      </w:pPr>
    </w:p>
    <w:p>
      <w:pPr>
        <w:ind w:left="1140" w:right="360" w:hanging="383"/>
        <w:spacing w:after="0" w:line="233" w:lineRule="auto"/>
        <w:tabs>
          <w:tab w:leader="none" w:pos="11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addition of the requested 6,509,966 shares, our total overhang will be approximately 13.2%, which will still be below the 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of our peer group.</w:t>
      </w:r>
    </w:p>
    <w:p>
      <w:pPr>
        <w:spacing w:after="0" w:line="199" w:lineRule="exact"/>
        <w:rPr>
          <w:rFonts w:ascii="Times New Roman" w:cs="Times New Roman" w:eastAsia="Times New Roman" w:hAnsi="Times New Roman"/>
          <w:sz w:val="18"/>
          <w:szCs w:val="18"/>
          <w:color w:val="auto"/>
        </w:rPr>
      </w:pPr>
    </w:p>
    <w:p>
      <w:pPr>
        <w:ind w:left="760" w:right="84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Evergreen Remains Lower Than Peers</w:t>
      </w:r>
      <w:r>
        <w:rPr>
          <w:rFonts w:ascii="Times New Roman" w:cs="Times New Roman" w:eastAsia="Times New Roman" w:hAnsi="Times New Roman"/>
          <w:sz w:val="18"/>
          <w:szCs w:val="18"/>
          <w:color w:val="auto"/>
        </w:rPr>
        <w:t>. Among the 85% of our peers with an “evergreen” provision, 70% are positioned at 5% of the outstanding shares; ours will be maintained at 4%.</w:t>
      </w:r>
    </w:p>
    <w:p>
      <w:pPr>
        <w:spacing w:after="0" w:line="161" w:lineRule="exact"/>
        <w:rPr>
          <w:rFonts w:ascii="Times New Roman" w:cs="Times New Roman" w:eastAsia="Times New Roman" w:hAnsi="Times New Roman"/>
          <w:sz w:val="18"/>
          <w:szCs w:val="18"/>
          <w:color w:val="auto"/>
        </w:rPr>
      </w:pPr>
    </w:p>
    <w:p>
      <w:pPr>
        <w:ind w:left="760" w:right="260" w:hanging="378"/>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Low Burn Rate</w:t>
      </w:r>
      <w:r>
        <w:rPr>
          <w:rFonts w:ascii="Times New Roman" w:cs="Times New Roman" w:eastAsia="Times New Roman" w:hAnsi="Times New Roman"/>
          <w:sz w:val="18"/>
          <w:szCs w:val="18"/>
          <w:color w:val="auto"/>
        </w:rPr>
        <w:t>. Our burn rate, which we define as the number of shares subject to equity awards granted in a year divided by the weighted average shares of common stock outstanding for 2025, was 3.5%, with a three-year average of 4.4%, which is also well below our peer group median.</w:t>
      </w:r>
    </w:p>
    <w:p>
      <w:pPr>
        <w:spacing w:after="0" w:line="175" w:lineRule="exact"/>
        <w:rPr>
          <w:rFonts w:ascii="Times New Roman" w:cs="Times New Roman" w:eastAsia="Times New Roman" w:hAnsi="Times New Roman"/>
          <w:sz w:val="18"/>
          <w:szCs w:val="18"/>
          <w:color w:val="auto"/>
        </w:rPr>
      </w:pPr>
    </w:p>
    <w:p>
      <w:pPr>
        <w:jc w:val="both"/>
        <w:ind w:left="760" w:right="140" w:hanging="378"/>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Responsible Budgeting and Forecasting Diligence</w:t>
      </w:r>
      <w:r>
        <w:rPr>
          <w:rFonts w:ascii="Times New Roman" w:cs="Times New Roman" w:eastAsia="Times New Roman" w:hAnsi="Times New Roman"/>
          <w:sz w:val="18"/>
          <w:szCs w:val="18"/>
          <w:color w:val="auto"/>
        </w:rPr>
        <w:t>. We are responsible when budgeting and forecasting our future equity grant needs. We work with independent compensation consultants to formulate an equity grant strategy that balances competitive benchmarks with reasonable annual equity dilution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140335</wp:posOffset>
            </wp:positionV>
            <wp:extent cx="6412230" cy="1671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12230"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executive officers and directors have an interest in the approval of the Restated Plan because they are eligible to receive equity awards under the Restated Plan.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2" w:name="page33"/>
    <w:bookmarkEnd w:id="3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Restated Plan</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following paragraphs summarize the principal features of the Restated Plan and its operation. However, this summary is not a complete description of the provisions of the Restated Plan and is qualified in its entirety by the specific language of the Restated Plan. A copy of the Restated Plan is provided as Appendix A to this proxy statement.</w:t>
      </w:r>
    </w:p>
    <w:p>
      <w:pPr>
        <w:spacing w:after="0" w:line="172"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Purposes of the Restated Plan</w:t>
      </w:r>
      <w:r>
        <w:rPr>
          <w:rFonts w:ascii="Times New Roman" w:cs="Times New Roman" w:eastAsia="Times New Roman" w:hAnsi="Times New Roman"/>
          <w:sz w:val="18"/>
          <w:szCs w:val="18"/>
          <w:color w:val="auto"/>
        </w:rPr>
        <w:t>. The purposes of the Restated Plan are to attract and retain the best available personnel for positions of substantial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responsibility, to provide additional incentive to employees, directors and consultants of the Company, and to promote the success of the Company’s business, thereby aligning their interests with those of the Company’s stockholders. Service providers eligible to participate in the Restated Plan are discussed below.</w:t>
      </w:r>
    </w:p>
    <w:p>
      <w:pPr>
        <w:spacing w:after="0" w:line="176"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Award Types</w:t>
      </w:r>
      <w:r>
        <w:rPr>
          <w:rFonts w:ascii="Times New Roman" w:cs="Times New Roman" w:eastAsia="Times New Roman" w:hAnsi="Times New Roman"/>
          <w:sz w:val="18"/>
          <w:szCs w:val="18"/>
          <w:color w:val="auto"/>
        </w:rPr>
        <w:t>. The Restated Plan permits the grant of incentive stock options, nonstatutory stock options, restricted stock, restricted stock units,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appreciation rights, and performance awards. An “incentive stock option” is an incentive stock option within the meaning of Section 422 of the Internal Revenue Code (the “Code”).</w:t>
      </w:r>
    </w:p>
    <w:p>
      <w:pPr>
        <w:spacing w:after="0" w:line="17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Stock Subject to the Restated Plan</w:t>
      </w:r>
      <w:r>
        <w:rPr>
          <w:rFonts w:ascii="Times New Roman" w:cs="Times New Roman" w:eastAsia="Times New Roman" w:hAnsi="Times New Roman"/>
          <w:sz w:val="18"/>
          <w:szCs w:val="18"/>
          <w:color w:val="auto"/>
        </w:rPr>
        <w:t>. Subject to certain adjustments provided in the Restated Plan and the automatic increase described below,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maximum aggregate number of shares that may be subject to awards and sold under the Restated Plan is (a)10,509,966 shares, plus (b) any shares subject to stock options, restricted stock units, or similar awards granted under our 2016 Equity Incentive Plan (the “2016 Plan”) that on or after our registration date, expire or otherwise terminate without having been exercised in full, are tendered to or withheld by the Company for payment of an exercise price or for tax withholding obligations, or are forfeited to or repurchased by us due to failure to vest, with the maximum number of shares to be added to the Restated Plan pursuant to clause (b) equal to 2,430,000. In addition, for purposes of clarity, a total of 14,520,845 shares became available for issuance under the 2021 Plan during the period from the first day of the 2022 fiscal year through and including the first day of our 2026 fiscal year pursuant to the automatic share reserve increase provisions of the 2021 Plan as they were in effect prior to this restatement, and such shares also will be subject to the adjustment provisions of the Restated Plan. The shares may be authorized, but unissued, or reacquired Company common stock. As of April 1, 2026, the closing sale price of a share of our common stock reported on the Nasdaq Global Select Market was $0.6810.</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Subject to certain adjustments provided in the Restated Plan, the number of shares available for issuance under the Restated Plan will be increased on the first day of each fiscal year beginning with the 2027 fiscal year, in an amount equal to the least of (a) four percent (4%) of the outstanding shares on the last day of the immediately preceding fiscal year, or (b) such number of shares determined by our board of directors or the compensation committee as the administrator of the Restated Plan no later than the last day of the immediately preceding fiscal year.</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Restated Plan (unless the Restated Plan has terminated). With respect to stock appreciation rights, only shares actually issued pursuant to the stock appreciation right will cease to be available under the Restated Plan; all remaining shares under stock appreciation rights will remain available for future grant or sale under the Restated Plan (unless the Restated Plan has terminated). Shares that actually have been issued under the Restated Plan under any award will not be returned to the Restated Plan and will not become available for future distribution under the Restated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Restated Plan. Shares used to pay the exercise price of an Award or to satisfy the tax liabilities or withholdings related to an Award will become available for future grant or sale under the Restated Plan. To the extent an award under the Restated Plan is paid out in cash rather than shares, such cash payment will not result in reducing the number of shares available for issuance under the Restated Plan.</w:t>
      </w:r>
    </w:p>
    <w:p>
      <w:pPr>
        <w:spacing w:after="0" w:line="19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Subject to certain adjustments provided in the Restated Plan, the maximum number of shares that may be issued upon the exercise of incentive stock options will equal 15 million shares, our ability to grant incentive stock options is in all cases still subject to the applicable share reserve under the Restated Plan.</w:t>
      </w:r>
    </w:p>
    <w:p>
      <w:pPr>
        <w:spacing w:after="0" w:line="172"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Administration of the Restated Plan</w:t>
      </w:r>
      <w:r>
        <w:rPr>
          <w:rFonts w:ascii="Times New Roman" w:cs="Times New Roman" w:eastAsia="Times New Roman" w:hAnsi="Times New Roman"/>
          <w:sz w:val="18"/>
          <w:szCs w:val="18"/>
          <w:color w:val="auto"/>
        </w:rPr>
        <w:t>. Different committees of one or more members of our board of directors, or of one or more other individuals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satisfying applicable laws appointed by our board of directors, may administer the Restated Plan with</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respect to different groups of service providers. Our compensation committee has been delegated the authority to act as the administrator of the Restated Plan. Our board of directors may also act as administrator of the Restated Plan.</w:t>
      </w:r>
    </w:p>
    <w:p>
      <w:pPr>
        <w:spacing w:after="0" w:line="15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Powers of the Administrator</w:t>
      </w:r>
      <w:r>
        <w:rPr>
          <w:rFonts w:ascii="Times New Roman" w:cs="Times New Roman" w:eastAsia="Times New Roman" w:hAnsi="Times New Roman"/>
          <w:sz w:val="18"/>
          <w:szCs w:val="18"/>
          <w:color w:val="auto"/>
        </w:rPr>
        <w:t>. Subject to the provisions of the Restated Plan, and in the case of a committee, the specific duties delegated by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to such committee, the administrator will have the authority, in its discretion, to: determine the fair market value (as defined in the Restated Plan) for purposes of the Restated Plan; select the eligible service providers to whom awards may be granted under the Restated Plan; determine the number of shares to be covered by each award granted under the Restated Plan; approve forms of award agreements for use under the Restated Plan; determine the terms and conditions, not inconsistent with the terms of the Restated Plan, of any award granted under the Restated Plan (including, but not limited to, the exercise price, the time or times when awards may vest or be exercised (which may be based on performance criteria)), any vesting acceleration or waiver of forfeiture restrictions, and any restriction or limitation regarding any award or the shares relating thereto, based in each case on such factors as the administrator determines; prescribe, amend and rescind rules and regulations relating to the Restated Plan, including rules and regulations relating to sub-plans established for the purpose of satisfying applicable non-U.S. laws or for qualifying for favorable tax treatment under applicable non-U.S. laws; construe and interpret the terms of the Restated Plan and awards granted under the Restated Plan; modify or amend each award (subject to limitations contained in the Restated Plan); allow participants to satisfy withholding tax obligations in a manner prescribed by the Restated Plan; authorize any person to execute on behalf of the Company any instrument required to effect the grant of an award previously granted by the administrator; temporarily suspend the exercisability of an award if the administrator deems such suspension to be necessary or appropriate for administrative purposes; allow a participant to defer the receipt of the payment of cash or the delivery of shares that otherwise would be due to the participant under an award; to institute and determine the terms and conditions of a program under which outstanding awards are surrendered or cancelled in exchange for awards of a different type and/or cash, participants could transfer any outstanding awards to a financial institution or other person or entity selected by the Administrator, and/or the exercise price of an outstanding award is reduced or increased; and make all other determinations deemed necessary or advisable for administering the Restated Plan.</w:t>
      </w:r>
    </w:p>
    <w:p>
      <w:pPr>
        <w:spacing w:after="0" w:line="19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Transferability of awards</w:t>
      </w:r>
      <w:r>
        <w:rPr>
          <w:rFonts w:ascii="Times New Roman" w:cs="Times New Roman" w:eastAsia="Times New Roman" w:hAnsi="Times New Roman"/>
          <w:sz w:val="18"/>
          <w:szCs w:val="18"/>
          <w:color w:val="auto"/>
        </w:rPr>
        <w:t>. Generally, unless determined otherwise by the administrator, an award may not be sold, pledged, assigned, hypothecated,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transferred, or disposed of in any manner other than by will or by the laws of descent and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color w:val="auto"/>
        </w:rPr>
        <w:t>. Nonstatutory stock options, stock appreciation rights, restricted stock, restricted stock units, and performance awards may be granted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members of our board of directors or consultants (each, as defined in the Restated Plan, a “service provider” and, collectively, “service providers”). Incentive stock options may be granted only to employees. As of April 1, 2026, we had approximately 65 employees (including one employee member of our board of directors), and seven non-employee members of our board of directors that would be eligible to participate in the Restated Plan. As of the same date, we also had less than approximately 120 consultants that would be eligible to participate in the Restated Plan; however, we expect to continue our practice of only issuing equity awards to members of our Scientific Advisory Board, which had nine members as of April 1, 2026.</w:t>
      </w:r>
    </w:p>
    <w:p>
      <w:pPr>
        <w:spacing w:after="0" w:line="18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color w:val="auto"/>
        </w:rPr>
        <w:t>. The Restated Plan permits the grant of options to purchase shares of our common stock. Each option will be evidenced by an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that will specify the exercise price, the term of the option, the number of shares subject to the option, the exercise restrictions, if any, applicable to the option, and such other terms and conditions as the administrator determines. Each option will be designated in the award agreement as either an incentive stock option or a nonstatutory stock option. The term of each option will be no more than 10 years from the date of grant. In the case of an incentive stock option granted to a participant who, at the time the incentive stock option is granted, owns stock representing more than 10% of the total combined voting power of all classes of stock of the Company or any parent or subsidiary, the term of the incentive stock option will be 5 years from the date of grant or such shorter term as may be provided in the award agreement. The per share exercise price for the shares to be issued pursuant to exercise of an option will be no less than the fair market value of an underlying share on the date of grant. In the case of an incentive stock option granted to an employee who, at the time the incentive stock option is granted, owns stock representing more than 10% of the voting power of all classes of stock of the Company or any parent or subsidiary, the per share exercise price will be no less than 110% of the fair market value per share on the date of grant. Notwithstanding the foregoing, options may be granted with a per share exercise price of less than 100% of the fair market value per share on the date of grant pursuant to a transaction described in, and in a manner consistent with, Section 424(a) of the Code.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19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At the time an option is granted, the administrator will specify the exercise price, the term of the options, the number of shares subject to the option, the exercise restrictions, if any, applicable to the option and such other terms and conditions as the administrator will determine. The administrator will determine the acceptable form of consideration for exercising an option, including the method of payment.</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a participant ceases to be a service provider, other than as the result of death or disability (as defined in the Restated Plan), the participant may exercise his or her option within such period of time as is specified in the award agreement to the extent that the option is vested on the date of the participant’s termination (but in no event later than the expiration of the term of such option as set forth in the award agreement). In the absence of a specified time in the award agreement, the option will remain exercisable for three months following the participant’s termination.</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a participant ceases to be a service provider as a result of death or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12 months following such termination of participant’s service.</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Restricted stock is stock that is subject to forfeiture to the Company during a “period of restriction” until applicable vesting conditions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met. Each award of restricted stock will be evidenced by an award agreement that will specify any period of restriction, the number of shares granted, and such other terms and conditions as the administrator determines. The administrator may accelerate the time at which any restrictions will lapse or be removed. Except as described below or the award agreement, shares of restricted stock may not be sold, transferred, pledged, assigned, or otherwise alienated or hypothecated until the end of any applicable period of restriction. During any applicable period of restriction, service providers holding shares of restricted stock granted under the Restated Plan may exercise full voting rights with respect to those shares and will be entitled to receive all dividends and other distributions paid with respect to such shares, unless the administrator determines otherwise. If any such dividends or distributions are paid in shares, the shares will be subject to the same restrictions on transferability and forfeitability as the shares with respect to which they were paid. On the date set forth in the award agreement, the restricted stock for which restrictions have not lapsed will revert to the Company and again will become available for grant under the Restated Plan.</w:t>
      </w:r>
    </w:p>
    <w:p>
      <w:pPr>
        <w:spacing w:after="0" w:line="18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A “restricted stock unit” is a bookkeeping entry representing an amount equal to the fair market value of one share. Each award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restricted stock units will be evidenced by an award agreement that will specify vesting criteria, the number of restricted stock units granted, and such other terms and conditions as the administrator determines. The administrator will set vesting criteria,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Upon meeting the applicable vesting criteria, the participant will be entitled to receive a payout as determined by the administrator. Notwithstanding the foregoing, at any time after the grant of restricted stock units, the administrator may reduce or waive any vesting criteria that must be met to receive a payout. The administrator may settle earned restricted stock units in cash, shares, or a combination of both. On the date set forth in the award agreement, all unearned restricted stock units will be forfeited to the Company.</w:t>
      </w:r>
    </w:p>
    <w:p>
      <w:pPr>
        <w:spacing w:after="0" w:line="18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Stock Appreciation Rights</w:t>
      </w:r>
      <w:r>
        <w:rPr>
          <w:rFonts w:ascii="Times New Roman" w:cs="Times New Roman" w:eastAsia="Times New Roman" w:hAnsi="Times New Roman"/>
          <w:sz w:val="18"/>
          <w:szCs w:val="18"/>
          <w:color w:val="auto"/>
        </w:rPr>
        <w:t>. A stock appreciation right is an award that provides for a payment based upon the difference between the fair market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share on the date of exercise and the stated exercise price of the stock appreciation right. Each stock appreciation right grant will be evidenced by an award agreement that will specify the exercise price, the term of the stock appreciation right, the conditions of exercise, and such other terms and conditions as the administrator determines. The administrator will have complete discretion to determine the number of stock appreciation rights granted to any service provider. At the discretion of the administrator, the payment upon exercise of a stock appreciation right may be in cash, in shares of equivalent value, or in some combination of both. The same exercise and expiration rules that apply to options also apply to stock appreciation rights.</w:t>
      </w:r>
    </w:p>
    <w:p>
      <w:pPr>
        <w:spacing w:after="0" w:line="18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Performance Awards</w:t>
      </w:r>
      <w:r>
        <w:rPr>
          <w:rFonts w:ascii="Times New Roman" w:cs="Times New Roman" w:eastAsia="Times New Roman" w:hAnsi="Times New Roman"/>
          <w:sz w:val="18"/>
          <w:szCs w:val="18"/>
          <w:color w:val="auto"/>
        </w:rPr>
        <w:t>. Performance awards are awards which may be earned in whole or in part upon attainment of performance goals or other vesting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criteria and which may be cash- or stock-denominated and may be settled for cash, shares or other securities or a combination thereof. Each performance award will be evidenced by an award agreement that will specify any time period which any performance objectives or other vesting provisions will be measured. The administrator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will set any objective or vesting provisions that, depending on the extent to which any such objecting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sole discretion. On the date set forth in the award agreement, all unearned or unvested performance awards will be forfeited to the Company and again will be available for grant under the Restated Plan. The administrator, in its discretion, may reduce or waive any performance objectives or other vesting provisions with respect to the performance awards. Each performance award will have an initial value that is determined by the administrator on or before the date of grant.</w:t>
      </w:r>
    </w:p>
    <w:p>
      <w:pPr>
        <w:spacing w:after="0" w:line="18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In the event that any dividend or other distribution (whether in the form of cash, shares, other securities, or other property), recapitalization,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Restated Plan, will adjust the number and class of shares of stock that may be delivered under the Restated Plan and/or the number, class, and price of shares of stock covered by each outstanding award, and the numerical share limits set forth in the Restated Plan.</w:t>
      </w:r>
    </w:p>
    <w:p>
      <w:pPr>
        <w:spacing w:after="0" w:line="18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Dissolution or Liquidation</w:t>
      </w:r>
      <w:r>
        <w:rPr>
          <w:rFonts w:ascii="Times New Roman" w:cs="Times New Roman" w:eastAsia="Times New Roman" w:hAnsi="Times New Roman"/>
          <w:sz w:val="18"/>
          <w:szCs w:val="18"/>
          <w:color w:val="auto"/>
        </w:rPr>
        <w:t>. In the event of a proposed dissolution or liquidation of the Company, the administrator will notify each participant as soon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practicable prior to the effective date of such proposed transaction. To the extent it has not been previously exercised or vested, an award will terminate immediately prior to the consummation of such proposed action.</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Merger or Change in Control</w:t>
      </w:r>
      <w:r>
        <w:rPr>
          <w:rFonts w:ascii="Times New Roman" w:cs="Times New Roman" w:eastAsia="Times New Roman" w:hAnsi="Times New Roman"/>
          <w:sz w:val="18"/>
          <w:szCs w:val="18"/>
          <w:color w:val="auto"/>
        </w:rPr>
        <w:t>. In the event of a merger of the Company with or into another corporation or other entity or a change in control (as defined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Restated Plan), each outstanding award will be treated as the administrator determines (subject to the restriction in the following paragraph) without a participant’s consent, including, without limitation, that (i) each award be assumed or a substantially equivalent award will be substituted by the acquiring or succeeding corporation (or an affiliate thereof) with appropriate adjustments as to the number and kind of shares and prices; (ii) upon written notice to the participant, that participant’s awards will terminate upon or immediately prior to the consummation of the merger or change in control; (iii) outstanding awards will vest and become exercisable, realizable, or payable, or restrictions applicable to an award will lapse, in whole or in part prior to or upon consummation of the merger or change in control, and, to the extent the administrator determines, terminate upon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or (v) any combination of the foregoing. The administrator will not be required to treat all awards, all awards held by a participant, all awards of the same type, or all portions of awards, similarly in the transaction.</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To the extent that the successor corporation does not assume or substitute for an award (or portion thereof), the participant will fully vest in and have the right to exercise such outstanding options and stock appreciation rights that are not assumed or substituted for, including shares as to which such award would not otherwise be vested or exercisable, all restrictions on restricted stock, restricted stock units, performance awards will lapse, and, with respect to such awards with performance-based vesting, all performance goals or other vesting criteria will be deemed achieved at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to the extent an option or stock appreciation right is not assumed or substituted for in the event of a merger or change in control, the administrator will notify the participant in writing or electronically that such option or stock appreciation right will be exercisable for a period of time determined by the administrator, and the option or stock appreciation right (or applicable portion thereof) will terminate upon the expiration of such period.</w:t>
      </w:r>
    </w:p>
    <w:p>
      <w:pPr>
        <w:spacing w:after="0" w:line="18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With respect to awards granted to an outside director, the outside director will fully vest in and have the right to exercise options and/or stock appreciation rights as to all of the shares underlying such award, including those shares which would not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Term of Restated Plan</w:t>
      </w:r>
      <w:r>
        <w:rPr>
          <w:rFonts w:ascii="Times New Roman" w:cs="Times New Roman" w:eastAsia="Times New Roman" w:hAnsi="Times New Roman"/>
          <w:sz w:val="18"/>
          <w:szCs w:val="18"/>
          <w:color w:val="auto"/>
        </w:rPr>
        <w:t>. The administrator may at any time amend, alter, suspend, or terminate the Restated Plan. The Restated Plan will continue until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terminated pursuant to its terms. However, (i) no options that qualify as incentive stock options may be granted after ten (10) years from the earlier of our board of director’s or stockholder original approval of the Current 2021 Plan, and (ii) the “evergreen” provision” relating to the automatic annual share reserve increases will operate only until the ten (10) year anniversary of the earlier of our board of director’s or stockholder original approval of the Current 2021 Plan. Our board of directors originally approved the Current 2021 Plan on June 17, 2021, and our stockholders originally approved it on July 23, 2021.</w:t>
      </w:r>
    </w:p>
    <w:p>
      <w:pPr>
        <w:spacing w:after="0" w:line="18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To the extent necessary and desirable to comply with applicable laws, we will obtain stockholder approval of any Restated Plan amendment. No amendment, alteration, suspension, or termination of the Restated Plan may materially impair the rights of any participant under an outstanding award, unless mutually agreed between the participant and the administrator.</w:t>
      </w:r>
    </w:p>
    <w:p>
      <w:pPr>
        <w:spacing w:after="0" w:line="17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Forfeiture Events</w:t>
      </w:r>
      <w:r>
        <w:rPr>
          <w:rFonts w:ascii="Times New Roman" w:cs="Times New Roman" w:eastAsia="Times New Roman" w:hAnsi="Times New Roman"/>
          <w:sz w:val="18"/>
          <w:szCs w:val="18"/>
          <w:color w:val="auto"/>
        </w:rPr>
        <w:t>. The administrator may specify in an award agreement that the participant’s rights, payment, and benefits with respect to an award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subject to the reduction, cancellation, forfeiture, recoupment, reimbursement, or reacquisition upon the occurrence of certain specified events, in addition to any otherwise applicable vesting or performance conditions of an award. Notwithstanding any provisions to the contrary under the Restated Plan, an award will be subject to the Company’s clawback policy as may be established and/or amended from time to time to comply with applicable laws (including without limitation pursuant to the listing standards of any national securities exchange or associate on which the Company’s securities are listed or as may be required by the Dodd-Frank Wall Street Reform and Consumer Protection Act). The administrator may require a participant to forfeit return or reimburse the Company all or a portion of the award and any amounts paid thereunder pursuant to the terms of the clawback policy or as necessary or appropriate to comply with applicable 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U.S. Federal Income Tax Consequences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following summary is intended only as a general guide to the U.S. federal income tax consequences of participation in the Restated Plan. The summary is based on existing U.S. laws and regulations, and there can be no assurance that those laws and regulations will not change. The summary is not complete and does not discuss the tax consequences upon a participant’s death, or the income tax laws of any municipality, state or foreign country in which the participant may reside. Tax consequences for any particular participant may vary based on individual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Options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 participant recognizes no taxable income for regular income tax purposes because of the grant or exercise of an option that qualifies as incentive stock option under Section 422 of the Code. If a participant exercises the option and then later sells or otherwise disposes of the shares acquired through the exercise the option after both the two-year anniversary of the date the option was granted and the one-year anniversary of the exercise, the participant will recognize a capital gain or loss equal to the difference between the sale price of the shares and the exercise price, and we will not be entitled to any deduction for federal income tax purposes.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However, if the participant disposes of such shares either on or before the two-year anniversary of the date of grant or on or before the one-year anniversary of the date of exercise (a “disqualifying disposition”), any gain up to the excess of the fair market value of the shares on the date of exercise over the exercise price generally will be taxed as ordinary income, unless the shares are disposed of in a transaction in which the participant would not recognize a loss (such as a gift). Any gain in excess of that amount will be a capital gain. If a loss is recognized, there will be no ordinary income, and such loss will be a capital loss. Any ordinary income recognized by the participant upon the disqualifying disposition of the shares generally should be deductible by Tenaya Therapeutics for federal income tax purposes, except to the extent such deduction is limited by applicable provisions of the Code.</w:t>
      </w:r>
    </w:p>
    <w:p>
      <w:pPr>
        <w:spacing w:after="0" w:line="187"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For purposes of the alternative minimum tax, the difference between the option exercise price and the fair market value of the shares on the exercise date is treated as an adjustment item in computing the participant’s alternative minimum taxable income in the year of exercise. In addition, special alternative minimum tax rules may apply to certain subsequent disqualifying dispositions of the shares or provide certain basis adjustments or tax credits for purposes.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Nonstatutory Stock Options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participant generally recognizes no taxable income as the result of the grant of such an option. However, upon exercising the option, the participant normally recognizes ordinary income equal to the amount that the fair market value of the shares on such date exceeds the exercise price. If the participant is an employee, such ordinary income generally is subject to withholding of income and employment taxes. Upon the sale of the shares acquired by exercising a nonstatutory stock option, any gain or loss (based on the difference between the sale price and the fair market value on the exercise date) will be taxed as capital gain or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general, no taxable income is reportable when a stock appreciation right is granted to a participant. Upon exercise, the participant generally will recognize ordinary income equal to the fair market value of any shares received. If the participant is an employee, such ordinary income generally is subject to withholding of income and employment taxes. Upon the sale of the shares acquired by exercising a stock appreciation right, any gain or loss (based on the difference between the sale price and the fair market value on the exercise date) will be taxed as capital gain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 participant acquiring shares of restricted stock generally will recognize ordinary income equal to the fair market value of the shares on the vesting date, reduced by any amount paid by the participant for such shares. If the participant is an employee, such ordinary income generally is subject to withholding of income and employment taxes. The participant may elect, under Section 83(b) of the Code to accelerate the ordinary income tax event to the date of acquisition by filing an election with the Internal Revenue Service no later than thirty days after the date the shares are acquired. Upon the sale of shares acquired under a restricted stock award, any gain or loss, based on the difference between the sale price and the fair market value on the date the ordinary income tax event occurs, will be taxed as capital gain or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are no immediate tax consequences of receiving an award of restricted stock units. A participant who is awarded restricted stock units generally will recognize ordinary income equal to the fair market value of shares issued to such participant on the vesting date or, if later, the settlement date elected by the administrator or a participant. If the participant is an employee, such ordinary income generally is subject to withholding of income and employment taxes. Any additional gain or loss recognized upon any later disposition of any shares received would be capital gain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 participant generally will recognize no income upon the grant of a performance award. Upon the settlement of such awards, participants normally will recognize ordinary income in the year of receipt in an amount equal to the cash received and the fair market value of any cash or unrestricted shares received. If the participant is an employee, such ordinary income generally is subject to withholding of income and employment taxes. Upon the sale of any shares received, any gain or loss, based on the difference between the sale price and the fair market value on the date the ordinary income tax event occurs, will be taxed as capital gain or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409A</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Section 409A of the Code provides certain requirements for non-qualified deferred compensation arrangements with respect to an individual’s deferral and distribution elections and permissible distribution events. Awards granted under the Restated Plan with a deferral feature will be subject to the requirements of Section 409A. If an award is subject to and fails to satisfy the requirements of Section 409A of the Code, the recipient of that award may recognize ordinary income on the amounts deferred under the award, to the extent vested, which may be before the compensation is actually or constructively received. Also, if an award subject to Section 409A of the Code violates the provisions of Section 409A of the Code, Section 409A of the Code imposes an additional 20% federal income tax on compensation recognized as ordinary income, and interest on such deferred compensation.</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8" w:name="page39"/>
    <w:bookmarkEnd w:id="3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Effect for Tenaya Therapeutics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generally will be entitled to a tax deduction in connection with an award under the Restated Plan equal to the ordinary income realized by a participant when the participant recognizes such income (for example, the exercise of a nonstatutory stock option) except to the extent such deduction is limited by applicable provisions of the Code. Special rules limit the deductibility of compensation paid to certain current or former executive officers and other “covered employees” as determined under Section 162(m) of the Code and applicable guidance. Under Section 162(m) of the Code, the annual compensation paid to any of these specified executives will be deductible only to the extent that it does not exceed $1,000,000.</w:t>
      </w:r>
    </w:p>
    <w:p>
      <w:pPr>
        <w:spacing w:after="0" w:line="18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FOREGOING IS ONLY A SUMMARY OF THE EFFECT OF U.S. FEDERAL INCOME TAXATION UPON PARTICIPANTS AND TENAYA THERAPEUTICS WITH RESPECT TO AWARDS UNDER THE RESTATED PLAN. IT DOES NOT PURPORT TO BE COMPLETE AND DOES NOT DISCUSS THE IMPACT OF EMPLOYMENT OR OTHER TAX REQUIREMENTS, THE TAX CONSEQUENCES OF A PARTICIPANT’S DEATH, OR THE PROVISIONS OF THE INCOME TAX LAWS OF ANY MUNICIPALITY, STATE, OR FOREIGN COUNTRY IN WHICH THE PARTICIPANT MAY RESIDE.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Awards Granted to Employees, Consultants and Directors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number of awards that an employee, director or consultant may receive under the Restated Plan is in the discretion of our compensation committee or our board of directors and therefore cannot be determined in advance. Awards to our non-employee directors are granted automatically pursuant to our outside director compensation policy as described in our proxy statement under the heading “Director Compensation”, and such directors also are eligible for awards under the Restated Plan granted at the discretion of the administrator. Further, since the number of shares subject to awards to be granted to non-employee directors under the Restated Plan depends on the fair market value of our common stock at future dates, it is not possible to determine the exact number of shares that will be subject to such future awards. The following table sets forth, with respect to the individuals and groups named below, the aggregate number of shares subject to, and the grant date fair value of, awards granted under the Current 2021 Plan (whether or not currently outstanding, vested, or forfeited, as applicable) during fiscal year 2025, along with the average per share exercise price of options granted during fiscal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03"/>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7"/>
                <w:szCs w:val="17"/>
                <w:color w:val="auto"/>
              </w:rPr>
            </w:pP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03"/>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Subject to</w:t>
            </w:r>
          </w:p>
        </w:tc>
        <w:tc>
          <w:tcPr>
            <w:tcW w:w="2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Price of</w:t>
            </w:r>
          </w:p>
        </w:tc>
        <w:tc>
          <w:tcPr>
            <w:tcW w:w="2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Subject</w:t>
            </w:r>
          </w:p>
        </w:tc>
        <w:tc>
          <w:tcPr>
            <w:tcW w:w="220" w:type="dxa"/>
            <w:vAlign w:val="bottom"/>
          </w:tcPr>
          <w:p>
            <w:pPr>
              <w:spacing w:after="0"/>
              <w:rPr>
                <w:sz w:val="17"/>
                <w:szCs w:val="17"/>
                <w:color w:val="auto"/>
              </w:rPr>
            </w:pP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 Option</w:t>
            </w:r>
          </w:p>
        </w:tc>
      </w:tr>
      <w:tr>
        <w:trPr>
          <w:trHeight w:val="203"/>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 RSUs</w:t>
            </w:r>
          </w:p>
        </w:tc>
        <w:tc>
          <w:tcPr>
            <w:tcW w:w="22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and RSUs ($)</w:t>
            </w:r>
          </w:p>
        </w:tc>
      </w:tr>
      <w:tr>
        <w:trPr>
          <w:trHeight w:val="215"/>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Position</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Granted (#)</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Granted ($)</w:t>
            </w:r>
          </w:p>
        </w:tc>
        <w:tc>
          <w:tcPr>
            <w:tcW w:w="22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Granted (#)</w:t>
            </w:r>
          </w:p>
        </w:tc>
        <w:tc>
          <w:tcPr>
            <w:tcW w:w="22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Granted(1)</w:t>
            </w:r>
          </w:p>
        </w:tc>
        <w:tc>
          <w:tcPr>
            <w:tcW w:w="120" w:type="dxa"/>
            <w:vAlign w:val="bottom"/>
          </w:tcPr>
          <w:p>
            <w:pPr>
              <w:spacing w:after="0"/>
              <w:rPr>
                <w:sz w:val="18"/>
                <w:szCs w:val="18"/>
                <w:color w:val="auto"/>
              </w:rPr>
            </w:pPr>
          </w:p>
        </w:tc>
      </w:tr>
      <w:tr>
        <w:trPr>
          <w:trHeight w:val="19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 xml:space="preserve">Faraz Ali, </w:t>
            </w:r>
            <w:r>
              <w:rPr>
                <w:rFonts w:ascii="Times New Roman" w:cs="Times New Roman" w:eastAsia="Times New Roman" w:hAnsi="Times New Roman"/>
                <w:sz w:val="16"/>
                <w:szCs w:val="16"/>
                <w:i w:val="1"/>
                <w:iCs w:val="1"/>
                <w:color w:val="auto"/>
              </w:rPr>
              <w:t>Chief Executive Officer</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141,924</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639,889</w:t>
            </w:r>
          </w:p>
        </w:tc>
        <w:tc>
          <w:tcPr>
            <w:tcW w:w="12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Whittemore (Whit) Tingley, </w:t>
            </w:r>
            <w:r>
              <w:rPr>
                <w:rFonts w:ascii="Times New Roman" w:cs="Times New Roman" w:eastAsia="Times New Roman" w:hAnsi="Times New Roman"/>
                <w:sz w:val="16"/>
                <w:szCs w:val="16"/>
                <w:i w:val="1"/>
                <w:iCs w:val="1"/>
                <w:color w:val="auto"/>
              </w:rPr>
              <w:t>Chief Medical Officer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235,000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71,676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305,019</w:t>
            </w:r>
          </w:p>
        </w:tc>
        <w:tc>
          <w:tcPr>
            <w:tcW w:w="120" w:type="dxa"/>
            <w:vAlign w:val="bottom"/>
          </w:tcPr>
          <w:p>
            <w:pPr>
              <w:spacing w:after="0"/>
              <w:rPr>
                <w:sz w:val="17"/>
                <w:szCs w:val="17"/>
                <w:color w:val="auto"/>
              </w:rPr>
            </w:pPr>
          </w:p>
        </w:tc>
      </w:tr>
      <w:tr>
        <w:trPr>
          <w:trHeight w:val="203"/>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All executive officers as a group</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885,000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213,600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944,908</w:t>
            </w:r>
          </w:p>
        </w:tc>
        <w:tc>
          <w:tcPr>
            <w:tcW w:w="12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All non-employee directors as a group</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859,200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276,920</w:t>
            </w:r>
          </w:p>
        </w:tc>
        <w:tc>
          <w:tcPr>
            <w:tcW w:w="120" w:type="dxa"/>
            <w:vAlign w:val="bottom"/>
          </w:tcPr>
          <w:p>
            <w:pPr>
              <w:spacing w:after="0"/>
              <w:rPr>
                <w:sz w:val="17"/>
                <w:szCs w:val="17"/>
                <w:color w:val="auto"/>
              </w:rPr>
            </w:pPr>
          </w:p>
        </w:tc>
      </w:tr>
      <w:tr>
        <w:trPr>
          <w:trHeight w:val="203"/>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All employees who are not executive officers, as a group</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2,084,975</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1,284,078</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3,159,532</w:t>
            </w:r>
          </w:p>
        </w:tc>
        <w:tc>
          <w:tcPr>
            <w:tcW w:w="120" w:type="dxa"/>
            <w:vAlign w:val="bottom"/>
            <w:shd w:val="clear" w:color="auto" w:fill="CFF0FC"/>
          </w:tcPr>
          <w:p>
            <w:pPr>
              <w:spacing w:after="0"/>
              <w:rPr>
                <w:sz w:val="17"/>
                <w:szCs w:val="17"/>
                <w:color w:val="auto"/>
              </w:rPr>
            </w:pPr>
          </w:p>
        </w:tc>
      </w:tr>
    </w:tbl>
    <w:p>
      <w:pPr>
        <w:spacing w:after="0" w:line="220" w:lineRule="exact"/>
        <w:rPr>
          <w:sz w:val="20"/>
          <w:szCs w:val="20"/>
          <w:color w:val="auto"/>
        </w:rPr>
      </w:pPr>
    </w:p>
    <w:p>
      <w:pPr>
        <w:ind w:left="600" w:right="20" w:hanging="292"/>
        <w:spacing w:after="0" w:line="236" w:lineRule="auto"/>
        <w:tabs>
          <w:tab w:leader="none" w:pos="6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represent the grant date fair value of option and RSU awards determined in accordance with FASB ASC Topic 718. See Note 8 to our financial statements for the year ended December 31, 2025, included in our Annual Report on Form 10-K for the year ended December 31, 2025, filed with the SEC on March 11, 2026, for a discussion of the assumptions made by us in determining the grant date fair value of our equity awards. With respect to option awards, our named executive officers will only realize compensation to the extent the trading price of our common stock is greater than the exercise price of such stock options.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Approval of our Restated Plan requires the affirmative vote of a majority of the voting power of the shares present in person (including virtually) or represented by proxy at the annual meeting and entitled to vote thereon. Abstentions will be counted toward the tabulation of votes cast on the proposal and will have the same effect as votes against this proposal. Broker non-votes will have no effect and will not be counted towards the vote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center"/>
        <w:ind w:left="36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APPROVAL OF THE TENAYA THERAPEUTICS, INC. AMENDED AND RESTATED 2021 EQUITY INCENTIVE PLAN.</w:t>
      </w:r>
    </w:p>
    <w:p>
      <w:pPr>
        <w:spacing w:after="0" w:line="3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40" w:name="page41"/>
    <w:bookmarkEnd w:id="40"/>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about our executive officers as of March 31, 2026.</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180" w:type="dxa"/>
            <w:vAlign w:val="bottom"/>
          </w:tcPr>
          <w:p>
            <w:pPr>
              <w:spacing w:after="0"/>
              <w:rPr>
                <w:sz w:val="18"/>
                <w:szCs w:val="18"/>
                <w:color w:val="auto"/>
              </w:rPr>
            </w:pPr>
          </w:p>
        </w:tc>
        <w:tc>
          <w:tcPr>
            <w:tcW w:w="538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19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Faraz Ali, M.B.A.</w:t>
            </w:r>
          </w:p>
        </w:tc>
        <w:tc>
          <w:tcPr>
            <w:tcW w:w="134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w w:val="99"/>
              </w:rPr>
              <w:t>53</w:t>
            </w:r>
          </w:p>
        </w:tc>
        <w:tc>
          <w:tcPr>
            <w:tcW w:w="55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Chief Executive Officer and Interim Principal Financial Officer</w:t>
            </w:r>
          </w:p>
        </w:tc>
      </w:tr>
      <w:tr>
        <w:trPr>
          <w:trHeight w:val="210"/>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Whittemore (Whit) Tingley, M.D., Ph.D.</w:t>
            </w:r>
          </w:p>
        </w:tc>
        <w:tc>
          <w:tcPr>
            <w:tcW w:w="13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w w:val="99"/>
              </w:rPr>
              <w:t>57</w:t>
            </w:r>
          </w:p>
        </w:tc>
        <w:tc>
          <w:tcPr>
            <w:tcW w:w="5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Chief Medical Officer</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biography of Mr. Ali, please see “</w:t>
      </w:r>
      <w:r>
        <w:rPr>
          <w:rFonts w:ascii="Times New Roman" w:cs="Times New Roman" w:eastAsia="Times New Roman" w:hAnsi="Times New Roman"/>
          <w:sz w:val="18"/>
          <w:szCs w:val="18"/>
          <w:i w:val="1"/>
          <w:iCs w:val="1"/>
          <w:color w:val="auto"/>
        </w:rPr>
        <w:t>Board of Directors and Corporate Governance—Continuing Directors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Whittemore (Whit) Tingley, M.D., Ph.D.</w:t>
      </w:r>
      <w:r>
        <w:rPr>
          <w:rFonts w:ascii="Times New Roman" w:cs="Times New Roman" w:eastAsia="Times New Roman" w:hAnsi="Times New Roman"/>
          <w:sz w:val="18"/>
          <w:szCs w:val="18"/>
          <w:color w:val="auto"/>
        </w:rPr>
        <w:t>, has served as our Chief Medical Officer since December 2018. Before joining us, he served as the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Clinical Research, Cardiology, at Cytokinetics, a publicly traded biotechnology company, from September 2017 to December 2018. From 2009 to September 2017, Dr. Tingley held various medical director and group medical director roles at Genentech. Before that, Dr. Tingley was adjunct assistant professor of medicine in the cardiology division at the University of California, San Francisco (UCSF), and was an attending cardiologist in the UCSF Cardiology Faculty Practice. Dr. Tingley earned a B.A. degree from Brown University and an M.D. and a Ph.D. from the Johns Hopkins University School of Medicine. He completed internship and residency programs at the Johns Hopkins Hospital, a cardiology fellowship at UCSF and post-doctoral research at Gladstone Institutes.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Processes and Procedures for Compensation Decisions</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compensation committee is responsible for the executive compensation programs for our executive officers and reports to our board of directors on its discussions, decisions and other actions. Typically, our chief executive officer makes recommendations to our compensation committee, often attends committee meetings and is involved in the determination of compensation for the respective executive officers who report to him, except that the chief executive officer does not make recommendations as to his own compensation. Our chief executive officer makes recommendations to our compensation committee regarding short- and long-term incentive compensation for all executive officers (other than himself) based on our results, an individual executive officer’s contribution toward these results and performance toward individual goal achievement. Our compensation committee then reviews the recommendations and other data furnished by its independent compensation consultant. Our compensation committee makes decisions as to total compensation for each executive officer other than the chief executive officer, although it may instead, in its discretion, make recommendations to our board of directors regarding executive compensation for its approval. Our compensation committee makes recommendations to our board of directors regarding our chief executive officer’s compensation, and our board of directors makes decisions as to such compensation.</w:t>
      </w:r>
    </w:p>
    <w:p>
      <w:pPr>
        <w:spacing w:after="0" w:line="1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compensation committee is authorized to retain the services of one or more executive compensation advisors, as it sees fit, in connection with the establishment of our compensation programs and related policies. Beginning in August 2022, our compensation committee retained Pearl Meyer, an independent compensation and leadership consulting firm, to provide it with information, recommendations and other advice relating to executive compensation and non-employee director compensation on an ongoing basis. Pearl Meyer served at the discretion of our compensation committee. As part of its engagement, Pearl Meyer assisted our compensation committee in developing a group of peer companies to help us determine the appropriate level of overall compensation for our executive officers, as well as assess each separate element of compensation, with a goal of ensuring that the compensation we offer to our executive officers is competitive and fair.</w:t>
      </w:r>
    </w:p>
    <w:p>
      <w:pPr>
        <w:spacing w:after="0" w:line="18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named executive officers, consisting of our principal executive officer and the two most highly compensated executive officers (other than our principal executive officer), as of December 31, 2025, were:</w:t>
      </w:r>
    </w:p>
    <w:p>
      <w:pPr>
        <w:spacing w:after="0" w:line="162"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Faraz Ali, M.B.A., our Chief Executive Officer;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Whittemore (Whit) Tingley, M.D., Ph.D., our Chief Medical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executive officers serving as of December 31, 2025, other than Mr. Ali and Dr. Tingley.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reportable for our named executive officers for the years ended December 31, 2025, and 2024.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4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6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8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0" w:type="dxa"/>
            <w:vAlign w:val="bottom"/>
          </w:tcPr>
          <w:p>
            <w:pPr>
              <w:spacing w:after="0"/>
              <w:rPr>
                <w:sz w:val="12"/>
                <w:szCs w:val="12"/>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4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tcPr>
          <w:p>
            <w:pPr>
              <w:spacing w:after="0"/>
              <w:rPr>
                <w:sz w:val="15"/>
                <w:szCs w:val="15"/>
                <w:color w:val="auto"/>
              </w:rPr>
            </w:pPr>
          </w:p>
        </w:tc>
        <w:tc>
          <w:tcPr>
            <w:tcW w:w="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4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w:t>
            </w:r>
          </w:p>
        </w:tc>
        <w:tc>
          <w:tcPr>
            <w:tcW w:w="16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w:t>
            </w:r>
          </w:p>
        </w:tc>
        <w:tc>
          <w:tcPr>
            <w:tcW w:w="16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92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color w:val="auto"/>
              </w:rPr>
              <w:t>Faraz Ali, M.B.A.</w:t>
            </w:r>
          </w:p>
        </w:tc>
        <w:tc>
          <w:tcPr>
            <w:tcW w:w="700" w:type="dxa"/>
            <w:vAlign w:val="bottom"/>
            <w:gridSpan w:val="2"/>
            <w:shd w:val="clear" w:color="auto" w:fill="CFF0FC"/>
          </w:tcPr>
          <w:p>
            <w:pPr>
              <w:ind w:left="240"/>
              <w:spacing w:after="0" w:line="118" w:lineRule="exact"/>
              <w:rPr>
                <w:sz w:val="20"/>
                <w:szCs w:val="20"/>
                <w:color w:val="auto"/>
              </w:rPr>
            </w:pPr>
            <w:r>
              <w:rPr>
                <w:rFonts w:ascii="Times New Roman" w:cs="Times New Roman" w:eastAsia="Times New Roman" w:hAnsi="Times New Roman"/>
                <w:sz w:val="13"/>
                <w:szCs w:val="13"/>
                <w:color w:val="auto"/>
              </w:rPr>
              <w:t>2025</w:t>
            </w:r>
          </w:p>
        </w:tc>
        <w:tc>
          <w:tcPr>
            <w:tcW w:w="82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664,173</w:t>
            </w:r>
          </w:p>
        </w:tc>
        <w:tc>
          <w:tcPr>
            <w:tcW w:w="180" w:type="dxa"/>
            <w:vAlign w:val="bottom"/>
            <w:shd w:val="clear" w:color="auto" w:fill="CFF0FC"/>
          </w:tcPr>
          <w:p>
            <w:pPr>
              <w:spacing w:after="0"/>
              <w:rPr>
                <w:sz w:val="10"/>
                <w:szCs w:val="10"/>
                <w:color w:val="auto"/>
              </w:rPr>
            </w:pPr>
          </w:p>
        </w:tc>
        <w:tc>
          <w:tcPr>
            <w:tcW w:w="520" w:type="dxa"/>
            <w:vAlign w:val="bottom"/>
            <w:shd w:val="clear" w:color="auto" w:fill="CFF0FC"/>
          </w:tcPr>
          <w:p>
            <w:pPr>
              <w:ind w:left="360"/>
              <w:spacing w:after="0" w:line="118"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141,924</w:t>
            </w:r>
          </w:p>
        </w:tc>
        <w:tc>
          <w:tcPr>
            <w:tcW w:w="114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755,507</w:t>
            </w:r>
          </w:p>
        </w:tc>
        <w:tc>
          <w:tcPr>
            <w:tcW w:w="420" w:type="dxa"/>
            <w:vAlign w:val="bottom"/>
            <w:shd w:val="clear" w:color="auto" w:fill="CFF0FC"/>
          </w:tcPr>
          <w:p>
            <w:pPr>
              <w:jc w:val="right"/>
              <w:ind w:right="71"/>
              <w:spacing w:after="0" w:line="118" w:lineRule="exact"/>
              <w:rPr>
                <w:sz w:val="20"/>
                <w:szCs w:val="20"/>
                <w:color w:val="auto"/>
              </w:rPr>
            </w:pPr>
            <w:r>
              <w:rPr>
                <w:rFonts w:ascii="Times New Roman" w:cs="Times New Roman" w:eastAsia="Times New Roman" w:hAnsi="Times New Roman"/>
                <w:sz w:val="13"/>
                <w:szCs w:val="13"/>
                <w:color w:val="auto"/>
              </w:rPr>
              <w:t>(3)</w:t>
            </w:r>
          </w:p>
        </w:tc>
        <w:tc>
          <w:tcPr>
            <w:tcW w:w="106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319,275</w:t>
            </w:r>
          </w:p>
        </w:tc>
        <w:tc>
          <w:tcPr>
            <w:tcW w:w="160" w:type="dxa"/>
            <w:vAlign w:val="bottom"/>
            <w:shd w:val="clear" w:color="auto" w:fill="CFF0FC"/>
          </w:tcPr>
          <w:p>
            <w:pPr>
              <w:spacing w:after="0"/>
              <w:rPr>
                <w:sz w:val="10"/>
                <w:szCs w:val="10"/>
                <w:color w:val="auto"/>
              </w:rPr>
            </w:pPr>
          </w:p>
        </w:tc>
        <w:tc>
          <w:tcPr>
            <w:tcW w:w="1060" w:type="dxa"/>
            <w:vAlign w:val="bottom"/>
            <w:shd w:val="clear" w:color="auto" w:fill="CFF0FC"/>
          </w:tcPr>
          <w:p>
            <w:pPr>
              <w:ind w:left="900"/>
              <w:spacing w:after="0" w:line="118"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516</w:t>
            </w:r>
          </w:p>
        </w:tc>
        <w:tc>
          <w:tcPr>
            <w:tcW w:w="1040" w:type="dxa"/>
            <w:vAlign w:val="bottom"/>
            <w:gridSpan w:val="2"/>
            <w:shd w:val="clear" w:color="auto" w:fill="CFF0FC"/>
          </w:tcPr>
          <w:p>
            <w:pPr>
              <w:ind w:left="440"/>
              <w:spacing w:after="0" w:line="118" w:lineRule="exact"/>
              <w:rPr>
                <w:sz w:val="20"/>
                <w:szCs w:val="20"/>
                <w:color w:val="auto"/>
              </w:rPr>
            </w:pPr>
            <w:r>
              <w:rPr>
                <w:rFonts w:ascii="Times New Roman" w:cs="Times New Roman" w:eastAsia="Times New Roman" w:hAnsi="Times New Roman"/>
                <w:sz w:val="13"/>
                <w:szCs w:val="13"/>
                <w:color w:val="auto"/>
              </w:rPr>
              <w:t>1,881,396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7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636,189</w:t>
            </w:r>
          </w:p>
        </w:tc>
        <w:tc>
          <w:tcPr>
            <w:tcW w:w="180" w:type="dxa"/>
            <w:vAlign w:val="bottom"/>
            <w:shd w:val="clear" w:color="auto" w:fill="CFF0FC"/>
          </w:tcPr>
          <w:p>
            <w:pPr>
              <w:spacing w:after="0"/>
              <w:rPr>
                <w:sz w:val="15"/>
                <w:szCs w:val="15"/>
                <w:color w:val="auto"/>
              </w:rPr>
            </w:pPr>
          </w:p>
        </w:tc>
        <w:tc>
          <w:tcPr>
            <w:tcW w:w="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443,700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2,047,927</w:t>
            </w:r>
          </w:p>
        </w:tc>
        <w:tc>
          <w:tcPr>
            <w:tcW w:w="4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153,450</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04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3,281,901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Whittemore (Whit) Tingley,</w:t>
            </w:r>
          </w:p>
        </w:tc>
        <w:tc>
          <w:tcPr>
            <w:tcW w:w="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2025</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521,192</w:t>
            </w:r>
          </w:p>
        </w:tc>
        <w:tc>
          <w:tcPr>
            <w:tcW w:w="180" w:type="dxa"/>
            <w:vAlign w:val="bottom"/>
          </w:tcPr>
          <w:p>
            <w:pPr>
              <w:spacing w:after="0"/>
              <w:rPr>
                <w:sz w:val="10"/>
                <w:szCs w:val="10"/>
                <w:color w:val="auto"/>
              </w:rPr>
            </w:pPr>
          </w:p>
        </w:tc>
        <w:tc>
          <w:tcPr>
            <w:tcW w:w="5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86,728</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385,071</w:t>
            </w:r>
          </w:p>
        </w:tc>
        <w:tc>
          <w:tcPr>
            <w:tcW w:w="4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(4)</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180,136</w:t>
            </w:r>
          </w:p>
        </w:tc>
        <w:tc>
          <w:tcPr>
            <w:tcW w:w="160" w:type="dxa"/>
            <w:vAlign w:val="bottom"/>
          </w:tcPr>
          <w:p>
            <w:pPr>
              <w:spacing w:after="0"/>
              <w:rPr>
                <w:sz w:val="10"/>
                <w:szCs w:val="10"/>
                <w:color w:val="auto"/>
              </w:rPr>
            </w:pPr>
          </w:p>
        </w:tc>
        <w:tc>
          <w:tcPr>
            <w:tcW w:w="1060" w:type="dxa"/>
            <w:vAlign w:val="bottom"/>
            <w:vMerge w:val="restart"/>
          </w:tcPr>
          <w:p>
            <w:pPr>
              <w:ind w:left="90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10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1,174,644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9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M.D., Ph.D.</w:t>
            </w:r>
          </w:p>
        </w:tc>
        <w:tc>
          <w:tcPr>
            <w:tcW w:w="7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9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Chief Medical Officer</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504,919</w:t>
            </w:r>
          </w:p>
        </w:tc>
        <w:tc>
          <w:tcPr>
            <w:tcW w:w="180" w:type="dxa"/>
            <w:vAlign w:val="bottom"/>
          </w:tcPr>
          <w:p>
            <w:pPr>
              <w:spacing w:after="0"/>
              <w:rPr>
                <w:sz w:val="16"/>
                <w:szCs w:val="16"/>
                <w:color w:val="auto"/>
              </w:rPr>
            </w:pPr>
          </w:p>
        </w:tc>
        <w:tc>
          <w:tcPr>
            <w:tcW w:w="52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182,700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871,890</w:t>
            </w: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60" w:type="dxa"/>
            <w:vAlign w:val="bottom"/>
          </w:tcPr>
          <w:p>
            <w:pPr>
              <w:spacing w:after="0"/>
              <w:rPr>
                <w:sz w:val="16"/>
                <w:szCs w:val="16"/>
                <w:color w:val="auto"/>
              </w:rPr>
            </w:pPr>
          </w:p>
        </w:tc>
        <w:tc>
          <w:tcPr>
            <w:tcW w:w="106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10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1,661,145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600" w:hanging="292"/>
        <w:spacing w:after="0"/>
        <w:tabs>
          <w:tab w:leader="none" w:pos="6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shown in this column represent the amount actually earned by each named executive officer for the indicated fiscal year.</w:t>
      </w:r>
    </w:p>
    <w:p>
      <w:pPr>
        <w:spacing w:after="0" w:line="26" w:lineRule="exact"/>
        <w:rPr>
          <w:rFonts w:ascii="Times New Roman" w:cs="Times New Roman" w:eastAsia="Times New Roman" w:hAnsi="Times New Roman"/>
          <w:sz w:val="16"/>
          <w:szCs w:val="16"/>
          <w:color w:val="auto"/>
        </w:rPr>
      </w:pPr>
    </w:p>
    <w:p>
      <w:pPr>
        <w:ind w:left="600" w:right="220" w:hanging="292"/>
        <w:spacing w:after="0" w:line="272" w:lineRule="auto"/>
        <w:tabs>
          <w:tab w:leader="none" w:pos="6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column reflects the aggregate grant date fair value of option awards granted to the officer in the applicable fiscal year, computed in accordance with FASB ASC Topic 718. See Note 8 to our financial statements for the year ended December 31, 2025, included in our Annual Report on Form 10-K for the year ended December 31, 2025, filed with the SEC on March 11, 2026, for a discussion of the assumptions made by us in determining the grant date fair value of our equity awards. Our named executive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ind w:left="600"/>
        <w:spacing w:after="0"/>
        <w:rPr>
          <w:sz w:val="20"/>
          <w:szCs w:val="20"/>
          <w:color w:val="auto"/>
        </w:rPr>
      </w:pPr>
      <w:r>
        <w:rPr>
          <w:rFonts w:ascii="Times New Roman" w:cs="Times New Roman" w:eastAsia="Times New Roman" w:hAnsi="Times New Roman"/>
          <w:sz w:val="16"/>
          <w:szCs w:val="16"/>
          <w:color w:val="auto"/>
        </w:rPr>
        <w:t>officers will only realize compensation to the extent the trading price of our common stock is greater than the exercise price of such stock options.</w:t>
      </w:r>
    </w:p>
    <w:p>
      <w:pPr>
        <w:spacing w:after="0" w:line="26" w:lineRule="exact"/>
        <w:rPr>
          <w:sz w:val="20"/>
          <w:szCs w:val="20"/>
          <w:color w:val="auto"/>
        </w:rPr>
      </w:pPr>
    </w:p>
    <w:p>
      <w:pPr>
        <w:ind w:left="600" w:right="40" w:hanging="292"/>
        <w:spacing w:after="0" w:line="264" w:lineRule="auto"/>
        <w:tabs>
          <w:tab w:leader="none" w:pos="6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also reflects the incremental fair value with respect to the Option Repricing (as described below) that took place in February 2025, in accordance with FASB ASC Topic 718.</w:t>
      </w:r>
    </w:p>
    <w:p>
      <w:pPr>
        <w:ind w:left="600" w:right="120" w:hanging="292"/>
        <w:spacing w:after="0" w:line="264" w:lineRule="auto"/>
        <w:tabs>
          <w:tab w:leader="none" w:pos="6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also reflects the incremental fair value with respect to the Option Repricing (as described below) that took place in January 2025, in accordance with FASB ASC Topic 718.</w:t>
      </w:r>
    </w:p>
    <w:p>
      <w:pPr>
        <w:ind w:left="600" w:right="820" w:hanging="292"/>
        <w:spacing w:after="0" w:line="288" w:lineRule="auto"/>
        <w:tabs>
          <w:tab w:leader="none" w:pos="6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this column represent the portion of the cash bonuses awarded under our Executive Incentive Compensation Plan that was based on the compensation committee’s assessment of the achievement of pre-determined corporate goals.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our current executive officers has executed our standard form of confidential information, invention assignment and arbitration agreement.</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have entered into an employment offer letter agreement with each of our executive officers in connection with his or her employment with us. These offer letters provide for “at will”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Faraz Ali, M.B.A.</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have entered into a confirmatory employment letter with Mr. Ali, our Chief Executive Officer. The confirmatory employment letter has no specific term and provides for at-will employment. Mr. Ali’s current annual base salary is $677,000 and his annual target bonus is 55% of his annual base salary.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Whittemore (Whit) Tingley, M.D., Ph.D.</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have entered into a confirmatory employment letter with Dr. Tingley, our Chief Medical Officer. The confirmatory employment letter has no specific term and provides for at-will employment. Dr. Tingley’s current annual base salary is $520,000 and his annual target bonus is 40% of his annual base salary.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Change in Control and Severance Plan</w:t>
      </w:r>
    </w:p>
    <w:p>
      <w:pPr>
        <w:spacing w:after="0" w:line="229"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Our board of directors adopted an Executive Change in Control and Severance Plan, or the Executive Severance Plan, pursuant to which our named executive officers and certain other key employees are eligible to receive severance benefits, as specified in and subject to the employee signing a participation agreement under our Executive Severance Plan. This Executive Severance Plan was initially developed with input from our compensation committee’s independent compensation consultant regarding severance practices at comparable companies. It is designed to attract, retain and reward senior level employees. The Executive Severance Plan will be in lieu of any other severance payments and benefits to which such key employee was entitled prior to signing the participation agreement. Each of our named executive officers has signed a participation agreement under our Executive Severance Plan providing for the rights to the applicable payments and benefits described below.</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event of a “qualifying termination” of the employment of a named executive officer, which generally includes a termination of employment by us for a reason other than “cause” or the named executive officer’s death or “disability” (as such terms are defined in our Executive Severance Plan), but in the case of Mr. Ali includes a termination of employment by him for “good reason” or by us for a reason other than “cause” or his death or disability, in all cases, that occurs outside the change in control period (as described below), then the named executive officer will be entitled to the following payments and benefits:</w:t>
      </w:r>
    </w:p>
    <w:p>
      <w:pPr>
        <w:spacing w:after="0" w:line="183" w:lineRule="exact"/>
        <w:rPr>
          <w:sz w:val="20"/>
          <w:szCs w:val="20"/>
          <w:color w:val="auto"/>
        </w:rPr>
      </w:pPr>
    </w:p>
    <w:p>
      <w:pPr>
        <w:ind w:left="760" w:right="30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nine months of the named executive officer’s annual base salary as in effect immediately prior to his qualifying termination of employment, or 12 months in the case of Mr. Ali; and</w:t>
      </w:r>
    </w:p>
    <w:p>
      <w:pPr>
        <w:spacing w:after="0" w:line="161"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health coverage under COBRA or a lump sum payment equal to the premium cost of continued health coverage under the Consolidated Omnibus Reconciliation Act of 1985 as amended, or COBRA, for a period of nine months following his qualifying termination, or 12 months in the case of Mr. Ali.</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43" w:name="page44"/>
    <w:bookmarkEnd w:id="43"/>
    <w:p>
      <w:pPr>
        <w:spacing w:after="0" w:line="19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the event of a termination of employment by the named executive officer for “good reason” or by us for a reason other than “cause” or the named executive officer’s death or disability, in each case, within the “change in control period” (as described below), then the named executive officer will be entitled to the following payments and benefits:</w:t>
      </w:r>
    </w:p>
    <w:p>
      <w:pPr>
        <w:spacing w:after="0" w:line="176" w:lineRule="exact"/>
        <w:rPr>
          <w:sz w:val="20"/>
          <w:szCs w:val="20"/>
          <w:color w:val="auto"/>
        </w:rPr>
      </w:pPr>
    </w:p>
    <w:p>
      <w:pPr>
        <w:ind w:left="760" w:right="38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12 months of the named executive officer’s annual base salary as in effect immediately prior to his qualifying termination of employment, or 18 months in the case of Mr. Ali;</w:t>
      </w:r>
    </w:p>
    <w:p>
      <w:pPr>
        <w:spacing w:after="0" w:line="161"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health coverage under COBRA or a lump sum payment equal to the cost of continued health coverage under COBRA for a period of 12 months, or 18 months in the case of Mr. Ali;</w:t>
      </w:r>
    </w:p>
    <w:p>
      <w:pPr>
        <w:spacing w:after="0" w:line="16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accelerated vesting of all outstanding equity awards, and, with respect to equity awards with performance-based vesting, all performance goals or other vesting criteria will be deemed achieved at 100% of target levels for the relevant performance period(s); and</w:t>
      </w:r>
    </w:p>
    <w:p>
      <w:pPr>
        <w:spacing w:after="0" w:line="161"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100% of his target annual bonus for the year in which the qualifying termination occurs, or 150% in the case of Mr. Ali.</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“change in control” period is the period beginning three months prior to and ending 12 months following a “change in control” (as defined in our Executive Severance Plan).</w:t>
      </w:r>
    </w:p>
    <w:p>
      <w:pPr>
        <w:spacing w:after="0" w:line="162"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The receipt of the payments and benefits provided for under the Executive Severance Plan described above is conditioned on the named executive officer signing and not revoking a separation and release of claims agreement and such release becoming effective and irrevocable no later than the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following the named executive officer’s involuntary termination of employment, as well as continued compliance with the invention assignment and confidentiality agreement applicable to the named executive officer.</w:t>
      </w:r>
    </w:p>
    <w:p>
      <w:pPr>
        <w:spacing w:after="0" w:line="20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if any of the payments or benefits provided for under the Executive Severance Plan or otherwise payable to a named executive officer would constitute “parachute payments” within the meaning of Section 280G of the Code and could be subject to the related excise tax, the named executive officer will receive either full payment of such payments and benefits or such lesser amount that would result in no portion of the payments and benefits being subject to the excise tax, whichever results in the greater amount of after-tax benefits to them. The Executive Severance Plan does not require us to provide any tax gross-up payments to the named executive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2016 Equity Incentive Plan (the 2016 Plan), our 2024 Inducement Equity Incentive Plan (the 2024 Plan) and our 2021 Equity Incentive Plan (the 2021 Plan) each provide that in the event of a “merger” or “change in control,” as defined thereunder, each outstanding award will be treated as the administrator determines, except that if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and, if not exercised during the specified period, will terminate upon the expiration of such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Incentive Compensation Plan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board of directors adopted the Executive Incentive Compensation Plan, or the Incentive Compensation Plan, and bonuses to our named executive officers for 2025 were subject to the terms and conditions of and were paid under this plan. Our Incentive Compensation Plan allows our compensation committee to grant incentive awards, generally payable in cash, to employees selected by our compensation committee, including our executive officers, based upon performance goals established by our compensation committee.</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Under our Incentive Compensation Plan, our compensation committee will determine the performance goals, if any, applicable to any award, which goals may include, without limitation, goals related to research and development, regulatory milestones or regulatory-related goals, financial milestones, new product or business development, operating margin, product release timelines or other product release milestones, publications, cash flow, procurement, savings, internal structure,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4" w:name="page45"/>
    <w:bookmarkEnd w:id="44"/>
    <w:p>
      <w:pPr>
        <w:spacing w:after="0" w:line="19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leadership development, project, function or portfolio-specific milestones, license or research collaboration agreements, capital raising, initial public offering preparations, patentability and individual objectives such as peer reviews or other subjective or objective criteria. The performance goals may differ from participant to participant and from award to award.</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compensation committee of our board of directors administers our Incentive Compensation Plan and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it is not required to establish any allocation or weighting with respect to the factors it considers.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Actual awards generally will be paid in cash (or its equivalent) only after they are earned, and, unless otherwise determined by the administrator, to earn an actual award a participant must be employed by us through the date the actual award is paid. The compensation committee may reserve the right to settle an actual award with a grant of an equity award under our then-current equity compensation plan, which equity award may have such terms and conditions, including vesting, as the compensation committee determines. Payment of awards will occur as soon as practicable after they are earned, but no later than the dates set forth in our Incentive Compensation Plan.</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board of directors and our compensation committee have the authority to amend, suspend or terminate our Incentive Compensation Plan, provided such action does not impair the existing rights of any participant with respect to any earned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Our compensation committee has adopted a compensation recovery policy (the Clawback Policy), in compliance with SEC rules and applicable Nasdaq Listing Rules. Consistent with these requirements, the Clawback Policy provides that, subject to the limited exemptions permitted under these requirements, if we are required to prepare an accounting restatement due to our material noncompliance with financial reporting requirements under applicable securities laws, we must clawback from covered executive officers any incentive-based compensation received by them while he/she was an executive officer, during the applicable recoupment period (which generally includes the three completed fiscal years prior to the date we conclude, or reasonably should have concluded, that we are required to prepare, or the date on which a court, regulator or other legally authorized body directs us to prepare, a financial restatement) that was in excess of what they would have received had their incentive compensation been determined based on the restated amounts.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maintain a 401(k) retirement savings plan, or 401(k)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(generally, up to 90% of the employee’s eligible compensation), on a pre-tax or after-tax (Roth) basis, through contributions to the 401(k) plan. All of a participant’s contributions into the 401(k) plan are 100% vested when contributed. The 401(k) plan permits us to make matching contributions and profit-sharing contributions to eligible participants. For 2025, we matched pre-tax contributions dollar-for-dollar up to $1,000.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for Granting Certain Equity Awards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do not have a practice to time stock option awards in coordination with the release of material non-public information, and we do not time the release of material non-public information to affect the value of executive compensation. Annual equity awards granted to our executive officers for purposes of Section 16 of the Exchange Act of 1934 (together, the Executive Grantees), other than the Chief Executive Officer (together, the Executive Grantees) and new hire awards for employees are generally determined and approved at pre-scheduled Compensation Committee meetings. The grant dates may coincide with these meeting dates or may be such other future date as agreed upon by the Compensation Committee. The Compensation Committee reviews and recommends annual equity awards for our Chief Executive Officer to our Board 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194"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Directors for approval, which awards are generally approved by unanimous written consent to be effective as of the same date as the other Executive Grantees’ annual equity awards, although sometimes the effective date may differ, as, for example, in February 2025, when the Board of Directors approved the annual equity awards to our Chief Executive Officer at its regularly scheduled meeting concurrently with its approval of the repricing of certain of our Chief Executive Officer’s options, as described below.</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Compensation Committee may sometimes approve the grant of equity awards to Executive Grantees (other than our Chief Executive Officer) and other employees and consultants in advance of its next scheduled meeting, in connection with certain new hires and other circumstances, either at a special meeting or by unanimous written consent where the Compensation Committee deems it appropriate to make such grants. Annual equity awards made to employees that are not Executive Grantees generally are approved by our Management Equity Award Committee (MEAC), comprised solely of our Chief Executive Officer, acting pursuant to authority delegated to him by the Compensation Committee. Awards to our non-employee directors are granted automatically pursuant to our outside director compensation policy. All stock options are granted with an exercise price that is not less than the closing price of our common stock on The Nasdaq Global Select Market on the grant date.</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we did not time the disclosure of material nonpublic information for the purpose of affecting the value of executive compensation and none of our named executive officers were awarded stock options with an effective grant date during any period beginning four business days before the filing or furnishing of a Form 10-Q, Form 10-K or Form 8-K that disclosed material non-public information, and ending one business day after the filing or furnishing of such reports.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2025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named executive officers as of December 31,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4"/>
          </w:tcPr>
          <w:p>
            <w:pPr>
              <w:ind w:left="760"/>
              <w:spacing w:after="0"/>
              <w:rPr>
                <w:sz w:val="20"/>
                <w:szCs w:val="20"/>
                <w:color w:val="auto"/>
              </w:rPr>
            </w:pPr>
            <w:r>
              <w:rPr>
                <w:rFonts w:ascii="Times New Roman" w:cs="Times New Roman" w:eastAsia="Times New Roman" w:hAnsi="Times New Roman"/>
                <w:sz w:val="16"/>
                <w:szCs w:val="16"/>
                <w:b w:val="1"/>
                <w:bCs w:val="1"/>
                <w:color w:val="auto"/>
              </w:rPr>
              <w:t>Stock Awards</w:t>
            </w:r>
          </w:p>
        </w:tc>
      </w:tr>
      <w:tr>
        <w:trPr>
          <w:trHeight w:val="134"/>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b w:val="1"/>
                <w:bCs w:val="1"/>
                <w:color w:val="auto"/>
              </w:rPr>
              <w:t>Market</w:t>
            </w:r>
          </w:p>
        </w:tc>
        <w:tc>
          <w:tcPr>
            <w:tcW w:w="100" w:type="dxa"/>
            <w:vAlign w:val="bottom"/>
          </w:tcPr>
          <w:p>
            <w:pPr>
              <w:spacing w:after="0"/>
              <w:rPr>
                <w:sz w:val="11"/>
                <w:szCs w:val="11"/>
                <w:color w:val="auto"/>
              </w:rPr>
            </w:pPr>
          </w:p>
        </w:tc>
      </w:tr>
      <w:tr>
        <w:trPr>
          <w:trHeight w:val="162"/>
        </w:trPr>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380" w:type="dxa"/>
            <w:vAlign w:val="bottom"/>
          </w:tcPr>
          <w:p>
            <w:pPr>
              <w:spacing w:after="0"/>
              <w:rPr>
                <w:sz w:val="14"/>
                <w:szCs w:val="14"/>
                <w:color w:val="auto"/>
              </w:rPr>
            </w:pPr>
          </w:p>
        </w:tc>
        <w:tc>
          <w:tcPr>
            <w:tcW w:w="11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rPr>
              <w:t>Value of</w:t>
            </w:r>
          </w:p>
        </w:tc>
      </w:tr>
      <w:tr>
        <w:trPr>
          <w:trHeight w:val="162"/>
        </w:trPr>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24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Securities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Shares</w:t>
            </w:r>
          </w:p>
        </w:tc>
        <w:tc>
          <w:tcPr>
            <w:tcW w:w="380" w:type="dxa"/>
            <w:vAlign w:val="bottom"/>
          </w:tcPr>
          <w:p>
            <w:pPr>
              <w:spacing w:after="0"/>
              <w:rPr>
                <w:sz w:val="14"/>
                <w:szCs w:val="14"/>
                <w:color w:val="auto"/>
              </w:rPr>
            </w:pPr>
          </w:p>
        </w:tc>
        <w:tc>
          <w:tcPr>
            <w:tcW w:w="11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rPr>
              <w:t>Shares or</w:t>
            </w:r>
          </w:p>
        </w:tc>
      </w:tr>
      <w:tr>
        <w:trPr>
          <w:trHeight w:val="162"/>
        </w:trPr>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Securities</w:t>
            </w:r>
          </w:p>
        </w:tc>
        <w:tc>
          <w:tcPr>
            <w:tcW w:w="24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Underlying</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or Units of</w:t>
            </w:r>
          </w:p>
        </w:tc>
        <w:tc>
          <w:tcPr>
            <w:tcW w:w="380" w:type="dxa"/>
            <w:vAlign w:val="bottom"/>
          </w:tcPr>
          <w:p>
            <w:pPr>
              <w:spacing w:after="0"/>
              <w:rPr>
                <w:sz w:val="14"/>
                <w:szCs w:val="14"/>
                <w:color w:val="auto"/>
              </w:rPr>
            </w:pPr>
          </w:p>
        </w:tc>
        <w:tc>
          <w:tcPr>
            <w:tcW w:w="11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Units of</w:t>
            </w:r>
          </w:p>
        </w:tc>
      </w:tr>
      <w:tr>
        <w:trPr>
          <w:trHeight w:val="162"/>
        </w:trPr>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Underlying</w:t>
            </w:r>
          </w:p>
        </w:tc>
        <w:tc>
          <w:tcPr>
            <w:tcW w:w="24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Unexercised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40"/>
              <w:spacing w:after="0" w:line="162" w:lineRule="exact"/>
              <w:rPr>
                <w:sz w:val="20"/>
                <w:szCs w:val="20"/>
                <w:color w:val="auto"/>
              </w:rPr>
            </w:pPr>
            <w:r>
              <w:rPr>
                <w:rFonts w:ascii="Times New Roman" w:cs="Times New Roman" w:eastAsia="Times New Roman" w:hAnsi="Times New Roman"/>
                <w:sz w:val="15"/>
                <w:szCs w:val="15"/>
                <w:b w:val="1"/>
                <w:bCs w:val="1"/>
                <w:color w:val="auto"/>
              </w:rPr>
              <w:t>Option</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Stock That</w:t>
            </w:r>
          </w:p>
        </w:tc>
        <w:tc>
          <w:tcPr>
            <w:tcW w:w="380" w:type="dxa"/>
            <w:vAlign w:val="bottom"/>
          </w:tcPr>
          <w:p>
            <w:pPr>
              <w:spacing w:after="0"/>
              <w:rPr>
                <w:sz w:val="14"/>
                <w:szCs w:val="14"/>
                <w:color w:val="auto"/>
              </w:rPr>
            </w:pPr>
          </w:p>
        </w:tc>
        <w:tc>
          <w:tcPr>
            <w:tcW w:w="11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Stock That</w:t>
            </w:r>
          </w:p>
        </w:tc>
      </w:tr>
      <w:tr>
        <w:trPr>
          <w:trHeight w:val="162"/>
        </w:trPr>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Unexercised</w:t>
            </w:r>
          </w:p>
        </w:tc>
        <w:tc>
          <w:tcPr>
            <w:tcW w:w="24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Options (#)</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40"/>
              <w:spacing w:after="0" w:line="162" w:lineRule="exact"/>
              <w:rPr>
                <w:sz w:val="20"/>
                <w:szCs w:val="20"/>
                <w:color w:val="auto"/>
              </w:rPr>
            </w:pPr>
            <w:r>
              <w:rPr>
                <w:rFonts w:ascii="Times New Roman" w:cs="Times New Roman" w:eastAsia="Times New Roman" w:hAnsi="Times New Roman"/>
                <w:sz w:val="15"/>
                <w:szCs w:val="15"/>
                <w:b w:val="1"/>
                <w:bCs w:val="1"/>
                <w:color w:val="auto"/>
                <w:w w:val="99"/>
              </w:rPr>
              <w:t>Exercise</w:t>
            </w:r>
          </w:p>
        </w:tc>
        <w:tc>
          <w:tcPr>
            <w:tcW w:w="200" w:type="dxa"/>
            <w:vAlign w:val="bottom"/>
          </w:tcPr>
          <w:p>
            <w:pPr>
              <w:spacing w:after="0"/>
              <w:rPr>
                <w:sz w:val="14"/>
                <w:szCs w:val="14"/>
                <w:color w:val="auto"/>
              </w:rPr>
            </w:pPr>
          </w:p>
        </w:tc>
        <w:tc>
          <w:tcPr>
            <w:tcW w:w="10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Option</w:t>
            </w:r>
          </w:p>
        </w:tc>
        <w:tc>
          <w:tcPr>
            <w:tcW w:w="10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Have Not</w:t>
            </w:r>
          </w:p>
        </w:tc>
        <w:tc>
          <w:tcPr>
            <w:tcW w:w="380" w:type="dxa"/>
            <w:vAlign w:val="bottom"/>
          </w:tcPr>
          <w:p>
            <w:pPr>
              <w:spacing w:after="0"/>
              <w:rPr>
                <w:sz w:val="14"/>
                <w:szCs w:val="14"/>
                <w:color w:val="auto"/>
              </w:rPr>
            </w:pPr>
          </w:p>
        </w:tc>
        <w:tc>
          <w:tcPr>
            <w:tcW w:w="11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rPr>
              <w:t>Have Not</w:t>
            </w:r>
          </w:p>
        </w:tc>
      </w:tr>
      <w:tr>
        <w:trPr>
          <w:trHeight w:val="162"/>
        </w:trPr>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Options (#)</w:t>
            </w:r>
          </w:p>
        </w:tc>
        <w:tc>
          <w:tcPr>
            <w:tcW w:w="24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Unexercisable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40"/>
              <w:spacing w:after="0" w:line="162" w:lineRule="exact"/>
              <w:rPr>
                <w:sz w:val="20"/>
                <w:szCs w:val="20"/>
                <w:color w:val="auto"/>
              </w:rPr>
            </w:pPr>
            <w:r>
              <w:rPr>
                <w:rFonts w:ascii="Times New Roman" w:cs="Times New Roman" w:eastAsia="Times New Roman" w:hAnsi="Times New Roman"/>
                <w:sz w:val="15"/>
                <w:szCs w:val="15"/>
                <w:b w:val="1"/>
                <w:bCs w:val="1"/>
                <w:color w:val="auto"/>
              </w:rPr>
              <w:t>Price</w:t>
            </w:r>
          </w:p>
        </w:tc>
        <w:tc>
          <w:tcPr>
            <w:tcW w:w="200" w:type="dxa"/>
            <w:vAlign w:val="bottom"/>
          </w:tcPr>
          <w:p>
            <w:pPr>
              <w:spacing w:after="0"/>
              <w:rPr>
                <w:sz w:val="14"/>
                <w:szCs w:val="14"/>
                <w:color w:val="auto"/>
              </w:rPr>
            </w:pPr>
          </w:p>
        </w:tc>
        <w:tc>
          <w:tcPr>
            <w:tcW w:w="10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Expiration</w:t>
            </w:r>
          </w:p>
        </w:tc>
        <w:tc>
          <w:tcPr>
            <w:tcW w:w="10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Vested</w:t>
            </w:r>
          </w:p>
        </w:tc>
        <w:tc>
          <w:tcPr>
            <w:tcW w:w="380" w:type="dxa"/>
            <w:vAlign w:val="bottom"/>
          </w:tcPr>
          <w:p>
            <w:pPr>
              <w:spacing w:after="0"/>
              <w:rPr>
                <w:sz w:val="14"/>
                <w:szCs w:val="14"/>
                <w:color w:val="auto"/>
              </w:rPr>
            </w:pPr>
          </w:p>
        </w:tc>
        <w:tc>
          <w:tcPr>
            <w:tcW w:w="11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Vested</w:t>
            </w:r>
          </w:p>
        </w:tc>
      </w:tr>
      <w:tr>
        <w:trPr>
          <w:trHeight w:val="183"/>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 and Principal Position</w:t>
            </w:r>
          </w:p>
        </w:tc>
        <w:tc>
          <w:tcPr>
            <w:tcW w:w="120" w:type="dxa"/>
            <w:vAlign w:val="bottom"/>
          </w:tcPr>
          <w:p>
            <w:pPr>
              <w:spacing w:after="0"/>
              <w:rPr>
                <w:sz w:val="15"/>
                <w:szCs w:val="15"/>
                <w:color w:val="auto"/>
              </w:rPr>
            </w:pP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5"/>
                <w:szCs w:val="15"/>
                <w:b w:val="1"/>
                <w:bCs w:val="1"/>
                <w:color w:val="auto"/>
              </w:rPr>
              <w:t>Grant Date</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Exercisable</w:t>
            </w:r>
          </w:p>
        </w:tc>
        <w:tc>
          <w:tcPr>
            <w:tcW w:w="24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(1)</w:t>
            </w: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 (2)</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5"/>
                <w:szCs w:val="15"/>
                <w:color w:val="auto"/>
              </w:rPr>
            </w:pPr>
          </w:p>
        </w:tc>
      </w:tr>
      <w:tr>
        <w:trPr>
          <w:trHeight w:val="196"/>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Faraz Ali, M.B.A.</w:t>
            </w:r>
          </w:p>
        </w:tc>
        <w:tc>
          <w:tcPr>
            <w:tcW w:w="124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rPr>
              <w:t>9/6/2018</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425,000</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24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9/5/2028</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3/10/2020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41,666</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4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3/9/2030</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2/27/2021</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63,395</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24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2/26/2031</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2/27/2021</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353,271</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4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2/26/2031</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6/17/2021</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5,452</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24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6/16/2031</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1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6/17/2021</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161,214</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4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6/16/2031</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2/15/2022</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384,665</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16,725</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4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2/14/2032</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2/15/2023</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478,125</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196,875</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4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2/14/2033</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2/15/2023</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46,875</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33,375</w:t>
            </w:r>
          </w:p>
        </w:tc>
        <w:tc>
          <w:tcPr>
            <w:tcW w:w="100" w:type="dxa"/>
            <w:vAlign w:val="bottom"/>
            <w:shd w:val="clear" w:color="auto" w:fill="CFF0FC"/>
          </w:tcPr>
          <w:p>
            <w:pPr>
              <w:spacing w:after="0"/>
              <w:rPr>
                <w:sz w:val="17"/>
                <w:szCs w:val="17"/>
                <w:color w:val="auto"/>
              </w:rPr>
            </w:pPr>
          </w:p>
        </w:tc>
      </w:tr>
      <w:tr>
        <w:trPr>
          <w:trHeight w:val="203"/>
        </w:trPr>
        <w:tc>
          <w:tcPr>
            <w:tcW w:w="1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2/23/2024</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231,458</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273,542</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24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2/22/2034</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2/23/2024</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53,125</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37,825</w:t>
            </w:r>
          </w:p>
        </w:tc>
        <w:tc>
          <w:tcPr>
            <w:tcW w:w="100" w:type="dxa"/>
            <w:vAlign w:val="bottom"/>
            <w:shd w:val="clear" w:color="auto" w:fill="CFF0FC"/>
          </w:tcPr>
          <w:p>
            <w:pPr>
              <w:spacing w:after="0"/>
              <w:rPr>
                <w:sz w:val="17"/>
                <w:szCs w:val="17"/>
                <w:color w:val="auto"/>
              </w:rPr>
            </w:pPr>
          </w:p>
        </w:tc>
      </w:tr>
      <w:tr>
        <w:trPr>
          <w:trHeight w:val="203"/>
        </w:trPr>
        <w:tc>
          <w:tcPr>
            <w:tcW w:w="1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2/6/2025</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135,416</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514,584</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4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2/5/2035</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2/6/2025</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94,063</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66,973</w:t>
            </w:r>
          </w:p>
        </w:tc>
        <w:tc>
          <w:tcPr>
            <w:tcW w:w="100" w:type="dxa"/>
            <w:vAlign w:val="bottom"/>
            <w:shd w:val="clear" w:color="auto" w:fill="CFF0FC"/>
          </w:tcPr>
          <w:p>
            <w:pPr>
              <w:spacing w:after="0"/>
              <w:rPr>
                <w:sz w:val="17"/>
                <w:szCs w:val="17"/>
                <w:color w:val="auto"/>
              </w:rPr>
            </w:pPr>
          </w:p>
        </w:tc>
      </w:tr>
      <w:tr>
        <w:trPr>
          <w:trHeight w:val="203"/>
        </w:trPr>
        <w:tc>
          <w:tcPr>
            <w:tcW w:w="1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2/6/2025</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17,212</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12,255</w:t>
            </w:r>
          </w:p>
        </w:tc>
        <w:tc>
          <w:tcPr>
            <w:tcW w:w="100" w:type="dxa"/>
            <w:vAlign w:val="bottom"/>
            <w:shd w:val="clear" w:color="auto" w:fill="CFF0FC"/>
          </w:tcPr>
          <w:p>
            <w:pPr>
              <w:spacing w:after="0"/>
              <w:rPr>
                <w:sz w:val="17"/>
                <w:szCs w:val="17"/>
                <w:color w:val="auto"/>
              </w:rPr>
            </w:pPr>
          </w:p>
        </w:tc>
      </w:tr>
      <w:tr>
        <w:trPr>
          <w:trHeight w:val="189"/>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Whittemore (Whit)</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12/10/2018</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2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12/9/2028</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Tingley, M.D., Ph.D.</w:t>
            </w:r>
          </w:p>
        </w:tc>
        <w:tc>
          <w:tcPr>
            <w:tcW w:w="12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1/19/2021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2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1/18/2031</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tcPr>
          <w:p>
            <w:pPr>
              <w:spacing w:after="0"/>
              <w:rPr>
                <w:sz w:val="17"/>
                <w:szCs w:val="17"/>
                <w:color w:val="auto"/>
              </w:rPr>
            </w:pPr>
          </w:p>
        </w:tc>
        <w:tc>
          <w:tcPr>
            <w:tcW w:w="12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6/17/2021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38,351</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2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6/16/2031</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tcPr>
          <w:p>
            <w:pPr>
              <w:spacing w:after="0"/>
              <w:rPr>
                <w:sz w:val="17"/>
                <w:szCs w:val="17"/>
                <w:color w:val="auto"/>
              </w:rPr>
            </w:pPr>
          </w:p>
        </w:tc>
        <w:tc>
          <w:tcPr>
            <w:tcW w:w="12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6/17/2021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69,982</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6/16/2031</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2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2/15/2022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135,125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5,875</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2/14/2032</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960" w:type="dxa"/>
            <w:vAlign w:val="bottom"/>
          </w:tcPr>
          <w:p>
            <w:pPr>
              <w:spacing w:after="0"/>
              <w:rPr>
                <w:sz w:val="17"/>
                <w:szCs w:val="17"/>
                <w:color w:val="auto"/>
              </w:rPr>
            </w:pPr>
          </w:p>
        </w:tc>
        <w:tc>
          <w:tcPr>
            <w:tcW w:w="12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2/15/2023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145,208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59,792</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2/14/2033</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2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2/15/2023</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13,125</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9,345</w:t>
            </w:r>
          </w:p>
        </w:tc>
        <w:tc>
          <w:tcPr>
            <w:tcW w:w="1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2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2/23/2024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98,541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116,459</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2/22/2034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2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2/23/2024</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21,875</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15,575</w:t>
            </w:r>
          </w:p>
        </w:tc>
        <w:tc>
          <w:tcPr>
            <w:tcW w:w="1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2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1/24/2025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53,854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181,146</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1/23/2035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2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1/24/2025</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24,920</w:t>
            </w:r>
          </w:p>
        </w:tc>
        <w:tc>
          <w:tcPr>
            <w:tcW w:w="100" w:type="dxa"/>
            <w:vAlign w:val="bottom"/>
          </w:tcPr>
          <w:p>
            <w:pPr>
              <w:spacing w:after="0"/>
              <w:rPr>
                <w:sz w:val="17"/>
                <w:szCs w:val="17"/>
                <w:color w:val="auto"/>
              </w:rPr>
            </w:pPr>
          </w:p>
        </w:tc>
      </w:tr>
      <w:tr>
        <w:trPr>
          <w:trHeight w:val="210"/>
        </w:trPr>
        <w:tc>
          <w:tcPr>
            <w:tcW w:w="1960" w:type="dxa"/>
            <w:vAlign w:val="bottom"/>
          </w:tcPr>
          <w:p>
            <w:pPr>
              <w:spacing w:after="0"/>
              <w:rPr>
                <w:sz w:val="18"/>
                <w:szCs w:val="18"/>
                <w:color w:val="auto"/>
              </w:rPr>
            </w:pPr>
          </w:p>
        </w:tc>
        <w:tc>
          <w:tcPr>
            <w:tcW w:w="12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1/24/2025</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15,838</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11,277</w:t>
            </w:r>
          </w:p>
        </w:tc>
        <w:tc>
          <w:tcPr>
            <w:tcW w:w="100" w:type="dxa"/>
            <w:vAlign w:val="bottom"/>
          </w:tcPr>
          <w:p>
            <w:pPr>
              <w:spacing w:after="0"/>
              <w:rPr>
                <w:sz w:val="18"/>
                <w:szCs w:val="18"/>
                <w:color w:val="auto"/>
              </w:rPr>
            </w:pPr>
          </w:p>
        </w:tc>
      </w:tr>
    </w:tbl>
    <w:p>
      <w:pPr>
        <w:spacing w:after="0" w:line="226" w:lineRule="exact"/>
        <w:rPr>
          <w:sz w:val="20"/>
          <w:szCs w:val="20"/>
          <w:color w:val="auto"/>
        </w:rPr>
      </w:pPr>
    </w:p>
    <w:p>
      <w:pPr>
        <w:ind w:left="600" w:hanging="292"/>
        <w:spacing w:after="0"/>
        <w:tabs>
          <w:tab w:leader="none" w:pos="6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Vesting of all options issued to our named executive officers are subject to acceleration as described under the caption “Executive Change in Control and Severance Plan.”</w:t>
      </w:r>
    </w:p>
    <w:p>
      <w:pPr>
        <w:spacing w:after="0" w:line="3" w:lineRule="exact"/>
        <w:rPr>
          <w:rFonts w:ascii="Times New Roman" w:cs="Times New Roman" w:eastAsia="Times New Roman" w:hAnsi="Times New Roman"/>
          <w:sz w:val="14"/>
          <w:szCs w:val="14"/>
          <w:color w:val="auto"/>
        </w:rPr>
      </w:pPr>
    </w:p>
    <w:p>
      <w:pPr>
        <w:ind w:left="600" w:hanging="292"/>
        <w:spacing w:after="0" w:line="221" w:lineRule="auto"/>
        <w:tabs>
          <w:tab w:leader="none" w:pos="6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exercise prices reflect the effect of the Option Repricing for the applicable option awards (as described below).</w:t>
      </w:r>
    </w:p>
    <w:p>
      <w:pPr>
        <w:ind w:left="600" w:right="40" w:hanging="292"/>
        <w:spacing w:after="0" w:line="221" w:lineRule="auto"/>
        <w:tabs>
          <w:tab w:leader="none" w:pos="6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vests as to 1/48th of the total number of shares subject to the option on the one-month anniversary of the grant date and 1/48th of the total number of shares subject to the option on each monthly anniversary thereafter until fully vested.</w:t>
      </w:r>
    </w:p>
    <w:p>
      <w:pPr>
        <w:ind w:left="600" w:right="20" w:hanging="292"/>
        <w:spacing w:after="0" w:line="221" w:lineRule="auto"/>
        <w:tabs>
          <w:tab w:leader="none" w:pos="6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RSU award vests as to 1/8th of the total number of shares subject to the RSU award on the six-month anniversary of the grant date, and 1/8th of the total number of shares subject to the RSU award every six months thereafter until fully vested.</w:t>
      </w:r>
    </w:p>
    <w:p>
      <w:pPr>
        <w:ind w:left="600" w:right="280" w:hanging="292"/>
        <w:spacing w:after="0" w:line="221" w:lineRule="auto"/>
        <w:tabs>
          <w:tab w:leader="none" w:pos="6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RSU award vests as to 1/8th of the total number of shares subject to the RSU award on August 15, 2024, and 1/8th of the total number of shares subject to the RSU award every six months thereafter until fully vested.</w:t>
      </w:r>
    </w:p>
    <w:p>
      <w:pPr>
        <w:ind w:left="600" w:right="280" w:hanging="292"/>
        <w:spacing w:after="0" w:line="221" w:lineRule="auto"/>
        <w:tabs>
          <w:tab w:leader="none" w:pos="6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RSU award vests as to 1/8th of the total number of shares subject to the RSU award on August 15, 2025, and 1/8th of the total number of shares subject to the RSU award every six months thereafter until fully vested.</w:t>
      </w:r>
    </w:p>
    <w:p>
      <w:pPr>
        <w:ind w:left="600" w:right="440" w:hanging="292"/>
        <w:spacing w:after="0" w:line="239" w:lineRule="auto"/>
        <w:tabs>
          <w:tab w:leader="none" w:pos="6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RSU award vests as to 1/4th of the total number of shares subject to the RSU award on May 15, 2025, and 1/4th of the total number of shares subject to the RSU award every six months thereafter until fully vested.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Repricing</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January 22, 2025, our compensation committee approved a repricing of certain outstanding vested and unvested stock option awards under the 2016 Plan and 2021 Plan that had an exercise price equal to or greater than $3.00 for eligible employees and certain other service providers (the Repricing Participants). The per share exercise price of eligible stock option awards was reduced to $1.21, the closing price of our common stock on January 24, 2025 (the Repricing Effective Date). To receive the benefit of the repricing, Repricing Participants, which included Dr. Tingley, but did not at the time include Mr. Ali, were required to remain a Service Provider (as such term is defined in the 2016 Plan or 2021 Plan, as applicable) through the period (the Retention Period) that began on the Repricing Effective Date and ended on July 24, 2025 (the Retention Date) and not exercise any of their repriced stock options prior to the Retention Date. Option holders who exercised their repriced stock options prior to the Retention Date were required to pay the original exercise price per share of such repriced options. No other changes were made to the terms and conditions of the eligible stock option awards. The stock option repricing impacted 4.1 million stock option awards and affected 89 employees and service providers, including options to purchase an aggregate of 630,982 shares held by Dr. Tingley with original exercise prices ranging from $3.06 to $15.19.</w:t>
      </w:r>
    </w:p>
    <w:p>
      <w:pPr>
        <w:spacing w:after="0" w:line="19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February 6, 2025, our board approved an option repricing applicable to Mr. Ali, with terms mirroring the aforementioned repricing approved on January 22, 2025, except that for Mr. Ali, the options eligible for repricing were limited to options with exercise prices higher than $5.25 per share. The total number of shares underlying Mr. Ali’s repriced options was 915,875 shares, with original exercise prices ranging from $5.64 to $15.19.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December 31, 2025. Information is included for equity compensation plans approved by our stockholders. We do not have any equity compensation plans not approved by our stockholders.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 Number of</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 Number of</w:t>
            </w:r>
          </w:p>
        </w:tc>
      </w:tr>
      <w:tr>
        <w:trPr>
          <w:trHeight w:val="203"/>
        </w:trPr>
        <w:tc>
          <w:tcPr>
            <w:tcW w:w="36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Securities to be</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 Weighted-</w:t>
            </w:r>
          </w:p>
        </w:tc>
        <w:tc>
          <w:tcPr>
            <w:tcW w:w="220" w:type="dxa"/>
            <w:vAlign w:val="bottom"/>
          </w:tcPr>
          <w:p>
            <w:pPr>
              <w:spacing w:after="0"/>
              <w:rPr>
                <w:sz w:val="17"/>
                <w:szCs w:val="17"/>
                <w:color w:val="auto"/>
              </w:rPr>
            </w:pP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Securities Remaining</w:t>
            </w:r>
          </w:p>
        </w:tc>
      </w:tr>
      <w:tr>
        <w:trPr>
          <w:trHeight w:val="203"/>
        </w:trPr>
        <w:tc>
          <w:tcPr>
            <w:tcW w:w="36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Issued Upon</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20" w:type="dxa"/>
            <w:vAlign w:val="bottom"/>
          </w:tcPr>
          <w:p>
            <w:pPr>
              <w:spacing w:after="0"/>
              <w:rPr>
                <w:sz w:val="17"/>
                <w:szCs w:val="17"/>
                <w:color w:val="auto"/>
              </w:rPr>
            </w:pP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Available for Future</w:t>
            </w:r>
          </w:p>
        </w:tc>
      </w:tr>
      <w:tr>
        <w:trPr>
          <w:trHeight w:val="203"/>
        </w:trPr>
        <w:tc>
          <w:tcPr>
            <w:tcW w:w="36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of</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220" w:type="dxa"/>
            <w:vAlign w:val="bottom"/>
          </w:tcPr>
          <w:p>
            <w:pPr>
              <w:spacing w:after="0"/>
              <w:rPr>
                <w:sz w:val="17"/>
                <w:szCs w:val="17"/>
                <w:color w:val="auto"/>
              </w:rPr>
            </w:pP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Issuance Under</w:t>
            </w:r>
          </w:p>
        </w:tc>
      </w:tr>
      <w:tr>
        <w:trPr>
          <w:trHeight w:val="203"/>
        </w:trPr>
        <w:tc>
          <w:tcPr>
            <w:tcW w:w="36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of Outstanding</w:t>
            </w:r>
          </w:p>
        </w:tc>
        <w:tc>
          <w:tcPr>
            <w:tcW w:w="220" w:type="dxa"/>
            <w:vAlign w:val="bottom"/>
          </w:tcPr>
          <w:p>
            <w:pPr>
              <w:spacing w:after="0"/>
              <w:rPr>
                <w:sz w:val="17"/>
                <w:szCs w:val="17"/>
                <w:color w:val="auto"/>
              </w:rPr>
            </w:pP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Equity Compensation</w:t>
            </w:r>
          </w:p>
        </w:tc>
      </w:tr>
      <w:tr>
        <w:trPr>
          <w:trHeight w:val="203"/>
        </w:trPr>
        <w:tc>
          <w:tcPr>
            <w:tcW w:w="36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220" w:type="dxa"/>
            <w:vAlign w:val="bottom"/>
          </w:tcPr>
          <w:p>
            <w:pPr>
              <w:spacing w:after="0"/>
              <w:rPr>
                <w:sz w:val="17"/>
                <w:szCs w:val="17"/>
                <w:color w:val="auto"/>
              </w:rPr>
            </w:pP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Plans (Excluding</w:t>
            </w:r>
          </w:p>
        </w:tc>
      </w:tr>
      <w:tr>
        <w:trPr>
          <w:trHeight w:val="203"/>
        </w:trPr>
        <w:tc>
          <w:tcPr>
            <w:tcW w:w="36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 and</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Warrants and</w:t>
            </w:r>
          </w:p>
        </w:tc>
        <w:tc>
          <w:tcPr>
            <w:tcW w:w="220" w:type="dxa"/>
            <w:vAlign w:val="bottom"/>
          </w:tcPr>
          <w:p>
            <w:pPr>
              <w:spacing w:after="0"/>
              <w:rPr>
                <w:sz w:val="17"/>
                <w:szCs w:val="17"/>
                <w:color w:val="auto"/>
              </w:rPr>
            </w:pP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Securities Reflected</w:t>
            </w:r>
          </w:p>
        </w:tc>
      </w:tr>
      <w:tr>
        <w:trPr>
          <w:trHeight w:val="215"/>
        </w:trPr>
        <w:tc>
          <w:tcPr>
            <w:tcW w:w="5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Rights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Rights</w:t>
            </w:r>
          </w:p>
        </w:tc>
        <w:tc>
          <w:tcPr>
            <w:tcW w:w="220" w:type="dxa"/>
            <w:vAlign w:val="bottom"/>
          </w:tcPr>
          <w:p>
            <w:pPr>
              <w:spacing w:after="0"/>
              <w:rPr>
                <w:sz w:val="18"/>
                <w:szCs w:val="18"/>
                <w:color w:val="auto"/>
              </w:rPr>
            </w:pP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in Column (a))</w:t>
            </w:r>
          </w:p>
        </w:tc>
      </w:tr>
      <w:tr>
        <w:trPr>
          <w:trHeight w:val="199"/>
        </w:trPr>
        <w:tc>
          <w:tcPr>
            <w:tcW w:w="528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20" w:type="dxa"/>
            <w:vAlign w:val="bottom"/>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1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Inducement Equity Incentive Plan (1)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675,000</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525,000</w:t>
            </w:r>
          </w:p>
        </w:tc>
        <w:tc>
          <w:tcPr>
            <w:tcW w:w="100" w:type="dxa"/>
            <w:vAlign w:val="bottom"/>
          </w:tcPr>
          <w:p>
            <w:pPr>
              <w:spacing w:after="0"/>
              <w:rPr>
                <w:sz w:val="17"/>
                <w:szCs w:val="17"/>
                <w:color w:val="auto"/>
              </w:rPr>
            </w:pPr>
          </w:p>
        </w:tc>
      </w:tr>
      <w:tr>
        <w:trPr>
          <w:trHeight w:val="203"/>
        </w:trPr>
        <w:tc>
          <w:tcPr>
            <w:tcW w:w="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2021</w:t>
            </w:r>
          </w:p>
        </w:tc>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 Incentive Plan (2)</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11,278,453</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1,842,110</w:t>
            </w:r>
          </w:p>
        </w:tc>
        <w:tc>
          <w:tcPr>
            <w:tcW w:w="100" w:type="dxa"/>
            <w:vAlign w:val="bottom"/>
            <w:shd w:val="clear" w:color="auto" w:fill="CFF0FC"/>
          </w:tcPr>
          <w:p>
            <w:pPr>
              <w:spacing w:after="0"/>
              <w:rPr>
                <w:sz w:val="17"/>
                <w:szCs w:val="17"/>
                <w:color w:val="auto"/>
              </w:rPr>
            </w:pPr>
          </w:p>
        </w:tc>
      </w:tr>
      <w:tr>
        <w:trPr>
          <w:trHeight w:val="203"/>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2021</w:t>
            </w:r>
          </w:p>
        </w:tc>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Stock Purchase Plan (4)</w:t>
            </w:r>
          </w:p>
        </w:tc>
        <w:tc>
          <w:tcPr>
            <w:tcW w:w="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2,274,594</w:t>
            </w:r>
          </w:p>
        </w:tc>
        <w:tc>
          <w:tcPr>
            <w:tcW w:w="100" w:type="dxa"/>
            <w:vAlign w:val="bottom"/>
          </w:tcPr>
          <w:p>
            <w:pPr>
              <w:spacing w:after="0"/>
              <w:rPr>
                <w:sz w:val="17"/>
                <w:szCs w:val="17"/>
                <w:color w:val="auto"/>
              </w:rPr>
            </w:pPr>
          </w:p>
        </w:tc>
      </w:tr>
      <w:tr>
        <w:trPr>
          <w:trHeight w:val="203"/>
        </w:trPr>
        <w:tc>
          <w:tcPr>
            <w:tcW w:w="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2016</w:t>
            </w:r>
          </w:p>
        </w:tc>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 Incentive Plan (5)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1,792,534</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220" w:type="dxa"/>
            <w:vAlign w:val="bottom"/>
            <w:shd w:val="clear" w:color="auto" w:fill="CFF0FC"/>
          </w:tcPr>
          <w:p>
            <w:pPr>
              <w:spacing w:after="0"/>
              <w:rPr>
                <w:sz w:val="17"/>
                <w:szCs w:val="17"/>
                <w:color w:val="auto"/>
              </w:rPr>
            </w:pPr>
          </w:p>
        </w:tc>
        <w:tc>
          <w:tcPr>
            <w:tcW w:w="2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13,745,987</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4,641,704</w:t>
            </w:r>
          </w:p>
        </w:tc>
        <w:tc>
          <w:tcPr>
            <w:tcW w:w="100" w:type="dxa"/>
            <w:vAlign w:val="bottom"/>
          </w:tcPr>
          <w:p>
            <w:pPr>
              <w:spacing w:after="0"/>
              <w:rPr>
                <w:sz w:val="18"/>
                <w:szCs w:val="18"/>
                <w:color w:val="auto"/>
              </w:rPr>
            </w:pPr>
          </w:p>
        </w:tc>
      </w:tr>
    </w:tbl>
    <w:p>
      <w:pPr>
        <w:spacing w:after="0" w:line="185" w:lineRule="exact"/>
        <w:rPr>
          <w:sz w:val="20"/>
          <w:szCs w:val="20"/>
          <w:color w:val="auto"/>
        </w:rPr>
      </w:pPr>
    </w:p>
    <w:p>
      <w:pPr>
        <w:ind w:left="600" w:right="80" w:hanging="292"/>
        <w:spacing w:after="0"/>
        <w:tabs>
          <w:tab w:leader="none" w:pos="6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2024, the Board adopted the 2024 Plan pursuant to which we reserved 1,200,000 shares of our common stock for issuance under the 2024 Plan. The only persons eligible to receive grants of Awards under the 2024 Plan are individuals who satisfy the standards for inducement grants under Nasdaq Marketplace Rule 5635(c)(4)—that is, generally, a person not previously an employee or director of the Company, or following a bona fide period of non-employment, as an inducement material to the individual’s entering into employment with the Company. An “Award” is any right to receive Company common stock pursuant to the 2024 Plan, consisting of non-qualified stock options, RSU awards, or any other stock award.</w:t>
      </w:r>
    </w:p>
    <w:p>
      <w:pPr>
        <w:spacing w:after="0" w:line="114" w:lineRule="exact"/>
        <w:rPr>
          <w:rFonts w:ascii="Times New Roman" w:cs="Times New Roman" w:eastAsia="Times New Roman" w:hAnsi="Times New Roman"/>
          <w:sz w:val="14"/>
          <w:szCs w:val="14"/>
          <w:color w:val="auto"/>
        </w:rPr>
      </w:pPr>
    </w:p>
    <w:p>
      <w:pPr>
        <w:jc w:val="both"/>
        <w:ind w:left="600" w:right="200" w:hanging="292"/>
        <w:spacing w:after="0" w:line="221" w:lineRule="auto"/>
        <w:tabs>
          <w:tab w:leader="none" w:pos="6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available for issuance under our 2021 Plan will automatically increase on the first day of each fiscal year, in an amount equal to the lesser of: 4,000,000 shares; 4% of our outstanding shares of common stock as of the last day of the immediately preceding year; or such other amount as our board of directors may determine.</w:t>
      </w:r>
    </w:p>
    <w:p>
      <w:pPr>
        <w:ind w:left="600" w:right="220" w:hanging="292"/>
        <w:spacing w:after="0" w:line="221" w:lineRule="auto"/>
        <w:tabs>
          <w:tab w:leader="none" w:pos="6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exercise price takes into account the shares subject to outstanding RSU awards, which have no exercise price. The weighted-average exercise price, excluding such outstanding RSU awards, is $1.90.</w:t>
      </w:r>
    </w:p>
    <w:p>
      <w:pPr>
        <w:jc w:val="both"/>
        <w:ind w:left="600" w:right="240" w:hanging="292"/>
        <w:spacing w:after="0" w:line="221" w:lineRule="auto"/>
        <w:tabs>
          <w:tab w:leader="none" w:pos="6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available for issuance under our 2021 Employee Stock Purchase Plan (2021 ESPP) will automatically increase on the first day of each fiscal year in an amount equal to the lesser of: 800,000 shares; 1% of the outstanding shares of the Company’s common stock as of the last day of the immediately preceding year; or such other amount as the board of directors may determine.</w:t>
      </w:r>
    </w:p>
    <w:p>
      <w:pPr>
        <w:ind w:left="600" w:right="120" w:hanging="292"/>
        <w:spacing w:after="0" w:line="233" w:lineRule="auto"/>
        <w:tabs>
          <w:tab w:leader="none" w:pos="6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no longer grant awards under the 2016 Plan; however, all outstanding options issued pursuant to the 2016 Plan continue to be governed by their existing terms. To the extent that any such awards are forfeited or lapse unexercised, are tendered to or withheld by the Company for payment of an exercise price or for tax withholding obligations, or are repurchased due to the failure to vest, the shares of common stock subject to such awards will become available for issuance under the 2021 Plan up to a maximum of 2,430,000 shares.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our common stock as of March 31, 2026, by:</w:t>
      </w:r>
    </w:p>
    <w:p>
      <w:pPr>
        <w:spacing w:after="0" w:line="225"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nominees for director;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thus it represents sole or shared voting or investment power with respect to our securities. Unless otherwise indicated, to our knowledge, the persons or entities identified in the table have sole voting power and sole investment power with respect to all shares shown as beneficially owned by them, subject to community property laws where applicable.</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based our calculation of the percentage of beneficial ownership on 216,998,876 shares of our common stock outstanding as of March 31, 2026. We have deemed shares of our common stock subject to stock options that are currently exercisable or exercisable within 60 days of March 31, 2026,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person or entity listed in the table is c/o Tenaya Therapeutics, Inc., 171 Oyster Point Boulevard, Suite 500, South San Francisco, CA 94080.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0" w:type="dxa"/>
            <w:vAlign w:val="bottom"/>
            <w:vMerge w:val="restart"/>
          </w:tcPr>
          <w:p>
            <w:pPr>
              <w:spacing w:after="0"/>
              <w:rPr>
                <w:sz w:val="15"/>
                <w:szCs w:val="15"/>
                <w:color w:val="auto"/>
              </w:rPr>
            </w:pPr>
          </w:p>
        </w:tc>
        <w:tc>
          <w:tcPr>
            <w:tcW w:w="3760" w:type="dxa"/>
            <w:vAlign w:val="bottom"/>
            <w:gridSpan w:val="4"/>
          </w:tcPr>
          <w:p>
            <w:pPr>
              <w:ind w:left="100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42"/>
        </w:trPr>
        <w:tc>
          <w:tcPr>
            <w:tcW w:w="73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700" w:type="dxa"/>
            <w:vAlign w:val="bottom"/>
            <w:tcBorders>
              <w:top w:val="single" w:sz="8" w:color="auto"/>
              <w:bottom w:val="single" w:sz="8" w:color="auto"/>
            </w:tcBorders>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172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8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5% or Greater Stockholders:</w:t>
            </w:r>
          </w:p>
        </w:tc>
        <w:tc>
          <w:tcPr>
            <w:tcW w:w="1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Entities affiliated with The Column Group (1)</w:t>
            </w: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102,884,985</w:t>
            </w:r>
          </w:p>
        </w:tc>
        <w:tc>
          <w:tcPr>
            <w:tcW w:w="1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Named Executive Officers and Directors</w:t>
            </w:r>
            <w:r>
              <w:rPr>
                <w:rFonts w:ascii="Times New Roman" w:cs="Times New Roman" w:eastAsia="Times New Roman" w:hAnsi="Times New Roman"/>
                <w:sz w:val="14"/>
                <w:szCs w:val="14"/>
                <w:b w:val="1"/>
                <w:bCs w:val="1"/>
                <w:color w:val="auto"/>
              </w:rPr>
              <w:t>:</w:t>
            </w:r>
          </w:p>
        </w:tc>
        <w:tc>
          <w:tcPr>
            <w:tcW w:w="1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Faraz Ali, M.B.A. (2)</w:t>
            </w: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2,608,835</w:t>
            </w:r>
          </w:p>
        </w:tc>
        <w:tc>
          <w:tcPr>
            <w:tcW w:w="1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Whittemore (Whit) Tingley, M.D., Ph.D. (3)</w:t>
            </w: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820,864</w:t>
            </w:r>
          </w:p>
        </w:tc>
        <w:tc>
          <w:tcPr>
            <w:tcW w:w="19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Amy Burroughs, M.B.A. (4)</w:t>
            </w: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196,166</w:t>
            </w:r>
          </w:p>
        </w:tc>
        <w:tc>
          <w:tcPr>
            <w:tcW w:w="1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June Lee, M.D.(5)</w:t>
            </w: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229,596</w:t>
            </w:r>
          </w:p>
        </w:tc>
        <w:tc>
          <w:tcPr>
            <w:tcW w:w="19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Karah Parschauer, J.D.(6)</w:t>
            </w: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210,427</w:t>
            </w:r>
          </w:p>
        </w:tc>
        <w:tc>
          <w:tcPr>
            <w:tcW w:w="1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Deepak Srivastava, M.D.(7)</w:t>
            </w: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812,260</w:t>
            </w:r>
          </w:p>
        </w:tc>
        <w:tc>
          <w:tcPr>
            <w:tcW w:w="19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Catherine Stehman-Breen, M.D.(8)</w:t>
            </w: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240,659</w:t>
            </w:r>
          </w:p>
        </w:tc>
        <w:tc>
          <w:tcPr>
            <w:tcW w:w="1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Jeffrey T. Walsh, M.B.A.(9)</w:t>
            </w: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250,659</w:t>
            </w:r>
          </w:p>
        </w:tc>
        <w:tc>
          <w:tcPr>
            <w:tcW w:w="19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 Sanders Williams, M.D.(10)</w:t>
            </w:r>
          </w:p>
        </w:tc>
        <w:tc>
          <w:tcPr>
            <w:tcW w:w="1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240,658</w:t>
            </w:r>
          </w:p>
        </w:tc>
        <w:tc>
          <w:tcPr>
            <w:tcW w:w="1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All executive officers and directors as a group (9 persons) (11)</w:t>
            </w: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5,610,124</w:t>
            </w:r>
          </w:p>
        </w:tc>
        <w:tc>
          <w:tcPr>
            <w:tcW w:w="19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600" w:hanging="284"/>
        <w:spacing w:after="0"/>
        <w:tabs>
          <w:tab w:leader="none" w:pos="6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less than 1%.</w:t>
      </w:r>
    </w:p>
    <w:p>
      <w:pPr>
        <w:spacing w:after="0" w:line="14" w:lineRule="exact"/>
        <w:rPr>
          <w:sz w:val="20"/>
          <w:szCs w:val="20"/>
          <w:color w:val="auto"/>
        </w:rPr>
      </w:pPr>
    </w:p>
    <w:p>
      <w:pPr>
        <w:ind w:left="600" w:hanging="292"/>
        <w:spacing w:after="0" w:line="262" w:lineRule="auto"/>
        <w:tabs>
          <w:tab w:leader="none" w:pos="6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information taken from the Form 4 filed on February 24, 2026, consists of 49,313,559 shares held directly by The Column Group Opportunity III, LP (TCG Opportunity III LP). TCG Opportunity III LP directly holds Series A Warrants to purchase 35,714,284 shares and Series B Warrants to purchase 17,857,142 shares. The Column Group Opportunity III, GP, LP (TCG Opportunity III GP LP) is the general partner of TCG Opportunity III LP and may be deemed to have voting, investment and dispositive power with respect to the shares held by TCG Opportunity III LP. TCG Opportunity III GP LLC (TCG Opportunity III GP LLC) is the general partner of TCG Opportunity III GP LP and the ultimate general partner of TCG Opportunity III LP and may be deemed to have voting, investment and dispositive power with respect to the shares held by TCG Opportunity III LP.The managing partners of TCG Opportunity III GP LLC are Peter Svennilson and Tim Kutzkey who may be deemed to share voting and investment power with respect to the shares, and each of whom disclaim beneficial ownership of the shares held by TCG Opportunity III LP except to the extent of their pecuniary interests therein, if any. The address of TCG Opportunity III LP, TCG III LP and TCG III-A LP is 1 Letterman Drive, Building D, Suite DM-900, San Francisco, California 94129.</w:t>
      </w:r>
    </w:p>
    <w:p>
      <w:pPr>
        <w:spacing w:after="0" w:line="4" w:lineRule="exact"/>
        <w:rPr>
          <w:rFonts w:ascii="Times New Roman" w:cs="Times New Roman" w:eastAsia="Times New Roman" w:hAnsi="Times New Roman"/>
          <w:sz w:val="16"/>
          <w:szCs w:val="16"/>
          <w:color w:val="auto"/>
        </w:rPr>
      </w:pPr>
    </w:p>
    <w:p>
      <w:pPr>
        <w:ind w:left="600" w:right="500" w:hanging="292"/>
        <w:spacing w:after="0" w:line="264" w:lineRule="auto"/>
        <w:tabs>
          <w:tab w:leader="none" w:pos="6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2,487,012 shares subject to outstanding options exercisable within 60 days of March 31, 2026 and 8,606 shares of common stock issuable upon the vesting of RSUs within 60 days of March 31, 2026.</w:t>
      </w:r>
    </w:p>
    <w:p>
      <w:pPr>
        <w:ind w:left="600" w:right="120" w:hanging="292"/>
        <w:spacing w:after="0" w:line="264" w:lineRule="auto"/>
        <w:tabs>
          <w:tab w:leader="none" w:pos="6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715,165 shares subject to outstanding options exercisable within 60 days of March 31, 2026 and 7,919 shares of common stock issuable upon the vesting of RSUs within 60 days of March 31, 2026.</w:t>
      </w:r>
    </w:p>
    <w:p>
      <w:pPr>
        <w:ind w:left="600" w:hanging="292"/>
        <w:spacing w:after="0"/>
        <w:tabs>
          <w:tab w:leader="none" w:pos="6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196,166 shares subject to outstanding options exercisable within 60 days of March 31, 2026.</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ind w:left="292" w:hanging="292"/>
        <w:spacing w:after="0"/>
        <w:tabs>
          <w:tab w:leader="none" w:pos="29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229,596 shares subject to outstanding options exercisable within 60 days of March 31, 2026.</w:t>
      </w:r>
    </w:p>
    <w:p>
      <w:pPr>
        <w:spacing w:after="0" w:line="26" w:lineRule="exact"/>
        <w:rPr>
          <w:rFonts w:ascii="Times New Roman" w:cs="Times New Roman" w:eastAsia="Times New Roman" w:hAnsi="Times New Roman"/>
          <w:sz w:val="16"/>
          <w:szCs w:val="16"/>
          <w:color w:val="auto"/>
        </w:rPr>
      </w:pPr>
    </w:p>
    <w:p>
      <w:pPr>
        <w:ind w:left="292" w:hanging="292"/>
        <w:spacing w:after="0"/>
        <w:tabs>
          <w:tab w:leader="none" w:pos="29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210,427 shares subject to outstanding options exercisable within 60 days of March 31, 2026.</w:t>
      </w:r>
    </w:p>
    <w:p>
      <w:pPr>
        <w:spacing w:after="0" w:line="18" w:lineRule="exact"/>
        <w:rPr>
          <w:rFonts w:ascii="Times New Roman" w:cs="Times New Roman" w:eastAsia="Times New Roman" w:hAnsi="Times New Roman"/>
          <w:sz w:val="16"/>
          <w:szCs w:val="16"/>
          <w:color w:val="auto"/>
        </w:rPr>
      </w:pPr>
    </w:p>
    <w:p>
      <w:pPr>
        <w:ind w:left="292" w:hanging="292"/>
        <w:spacing w:after="0" w:line="264" w:lineRule="auto"/>
        <w:tabs>
          <w:tab w:leader="none" w:pos="29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564,101 shares of common stock held by The J. David Gladstone Institute for which Dr. Srivastava serves as President and 248,159 shares subject to outstanding options exercisable within 60 days of March 31, 2026.</w:t>
      </w:r>
    </w:p>
    <w:p>
      <w:pPr>
        <w:ind w:left="292" w:hanging="292"/>
        <w:spacing w:after="0"/>
        <w:tabs>
          <w:tab w:leader="none" w:pos="29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232,534 shares subject to outstanding options exercisable within 60 days of March 31, 2026.</w:t>
      </w:r>
    </w:p>
    <w:p>
      <w:pPr>
        <w:spacing w:after="0" w:line="18" w:lineRule="exact"/>
        <w:rPr>
          <w:rFonts w:ascii="Times New Roman" w:cs="Times New Roman" w:eastAsia="Times New Roman" w:hAnsi="Times New Roman"/>
          <w:sz w:val="16"/>
          <w:szCs w:val="16"/>
          <w:color w:val="auto"/>
        </w:rPr>
      </w:pPr>
    </w:p>
    <w:p>
      <w:pPr>
        <w:ind w:left="292" w:hanging="292"/>
        <w:spacing w:after="0"/>
        <w:tabs>
          <w:tab w:leader="none" w:pos="29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250,659 shares subject to outstanding options exercisable within 60 days of March 31, 2026.</w:t>
      </w:r>
    </w:p>
    <w:p>
      <w:pPr>
        <w:spacing w:after="0" w:line="18" w:lineRule="exact"/>
        <w:rPr>
          <w:rFonts w:ascii="Times New Roman" w:cs="Times New Roman" w:eastAsia="Times New Roman" w:hAnsi="Times New Roman"/>
          <w:sz w:val="16"/>
          <w:szCs w:val="16"/>
          <w:color w:val="auto"/>
        </w:rPr>
      </w:pPr>
    </w:p>
    <w:p>
      <w:pPr>
        <w:ind w:left="292" w:hanging="292"/>
        <w:spacing w:after="0"/>
        <w:tabs>
          <w:tab w:leader="none" w:pos="29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210,659 shares subject to outstanding options exercisable within 60 days of March 31, 2026.</w:t>
      </w:r>
    </w:p>
    <w:p>
      <w:pPr>
        <w:spacing w:after="0" w:line="18" w:lineRule="exact"/>
        <w:rPr>
          <w:rFonts w:ascii="Times New Roman" w:cs="Times New Roman" w:eastAsia="Times New Roman" w:hAnsi="Times New Roman"/>
          <w:sz w:val="16"/>
          <w:szCs w:val="16"/>
          <w:color w:val="auto"/>
        </w:rPr>
      </w:pPr>
    </w:p>
    <w:p>
      <w:pPr>
        <w:jc w:val="both"/>
        <w:ind w:left="292" w:right="340" w:hanging="292"/>
        <w:spacing w:after="0" w:line="288" w:lineRule="auto"/>
        <w:tabs>
          <w:tab w:leader="none" w:pos="29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current directors and executive officers serving in such capacity as of March 31, 2026. Includes 4,780,377 shares subject to outstanding options exercisable within 60 days of March 31, 2026 and 16,525 shares of common stock issuable upon the vesting of RSUs within 60 days of March 31, 2026.</w:t>
      </w:r>
    </w:p>
    <w:p>
      <w:pPr>
        <w:spacing w:after="0" w:line="383"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32"/>
          </w:cols>
          <w:pgMar w:left="628" w:top="1422" w:right="739" w:bottom="1440" w:gutter="0" w:footer="0" w:header="0"/>
        </w:sectPr>
      </w:pPr>
    </w:p>
    <w:bookmarkStart w:id="50" w:name="page51"/>
    <w:bookmarkEnd w:id="50"/>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each transaction since January 1, 2024, and each currently proposed transaction, in which:</w:t>
      </w:r>
    </w:p>
    <w:p>
      <w:pPr>
        <w:spacing w:after="0" w:line="225"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 and</w:t>
      </w:r>
    </w:p>
    <w:p>
      <w:pPr>
        <w:spacing w:after="0" w:line="225" w:lineRule="exact"/>
        <w:rPr>
          <w:rFonts w:ascii="Times New Roman" w:cs="Times New Roman" w:eastAsia="Times New Roman" w:hAnsi="Times New Roman"/>
          <w:sz w:val="18"/>
          <w:szCs w:val="18"/>
          <w:color w:val="auto"/>
        </w:rPr>
      </w:pPr>
    </w:p>
    <w:p>
      <w:pPr>
        <w:ind w:left="760" w:right="40" w:hanging="378"/>
        <w:spacing w:after="0" w:line="266"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(including director nominees), executive officers, or beneficial holders of more than 5% of any class of our voting securities, or any immediate family member of, or person sharing the household with, any of these individuals or entities, had or will have a direct or indirect material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are party to an investors’ rights agreement, as amended and restated, with certain holders of our capital stock, including entities affiliated with The Column Group III, LP, The Column Group III-A, Casdin Partners Master Fund, L.P., and Casdin Private Growth Equity fund, L.P.. Under our investors’ rights agreement, among other things, certain holders of our capital stock had the right to demand that we file a registration statement or request that their shares of our capital stock be covered by a registration statement that we were otherwise filing (collectively, the Registration Rights). The Registration Rights terminated automatically on August 3, 2025, four years after the closing of our initial public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Pre-funded Warrant, Warrant Issuances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February 2024, we issued and sold an aggregate of 8,888,890 shares of our common stock at a purchase price of $4.50 per share and, to certain investors in lieu of common stock, pre-funded warrants to purchase 2,222,271 shares of our common stock at a price of $4.499 per pre-funded warrant. We received total net proceeds of $46.5 million after deducting underwriting discounts and commissions of $3.0 million and offering expenses of $0.5 million.</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March 2025, we issued and sold an aggregate of 75,000,000 units, at a public offering price of $0.70 per Unit, consisting of one share of Company common stock, one warrant to purchase one share of Company common stock at an exercise price of $0.80 per share which will expire five years from the date of issuance (a Series A Warrant) and one warrant to purchase one half of a share of Company common stock at an exercise price of $0.70 per share that will expire on June 30, 2026 (a Series B Warrant). We received total net proceeds of $48.8 million after deducting underwriting discounts and commissions of $3.2 million and offering expenses of $0.5 million.</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Purchasers of our stock, pre-funded warrants and warrants include venture capital funds that beneficially owned more than 5% of our outstanding capital stock and/or were represented on our board of directors. The following table presents the number of shares, pre-funded warrants and warrants and total purchase price paid by these entities.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60" w:type="dxa"/>
            <w:vAlign w:val="bottom"/>
          </w:tcPr>
          <w:p>
            <w:pPr>
              <w:spacing w:after="0"/>
              <w:rPr>
                <w:sz w:val="17"/>
                <w:szCs w:val="17"/>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Pre-funded</w:t>
            </w:r>
          </w:p>
        </w:tc>
        <w:tc>
          <w:tcPr>
            <w:tcW w:w="220" w:type="dxa"/>
            <w:vAlign w:val="bottom"/>
          </w:tcPr>
          <w:p>
            <w:pPr>
              <w:spacing w:after="0"/>
              <w:rPr>
                <w:sz w:val="17"/>
                <w:szCs w:val="17"/>
                <w:color w:val="auto"/>
              </w:rPr>
            </w:pPr>
          </w:p>
        </w:tc>
        <w:tc>
          <w:tcPr>
            <w:tcW w:w="12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Series A</w:t>
            </w:r>
          </w:p>
        </w:tc>
        <w:tc>
          <w:tcPr>
            <w:tcW w:w="220" w:type="dxa"/>
            <w:vAlign w:val="bottom"/>
          </w:tcPr>
          <w:p>
            <w:pPr>
              <w:spacing w:after="0"/>
              <w:rPr>
                <w:sz w:val="17"/>
                <w:szCs w:val="17"/>
                <w:color w:val="auto"/>
              </w:rPr>
            </w:pPr>
          </w:p>
        </w:tc>
        <w:tc>
          <w:tcPr>
            <w:tcW w:w="12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Purchase</w:t>
            </w:r>
          </w:p>
        </w:tc>
      </w:tr>
      <w:tr>
        <w:trPr>
          <w:trHeight w:val="215"/>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Investor</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60" w:type="dxa"/>
            <w:vAlign w:val="bottom"/>
          </w:tcPr>
          <w:p>
            <w:pPr>
              <w:spacing w:after="0"/>
              <w:rPr>
                <w:sz w:val="18"/>
                <w:szCs w:val="18"/>
                <w:color w:val="auto"/>
              </w:rPr>
            </w:pPr>
          </w:p>
        </w:tc>
        <w:tc>
          <w:tcPr>
            <w:tcW w:w="12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8"/>
                <w:szCs w:val="18"/>
                <w:color w:val="auto"/>
              </w:rPr>
            </w:pPr>
          </w:p>
        </w:tc>
      </w:tr>
      <w:tr>
        <w:trPr>
          <w:trHeight w:val="19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Funds Affiliated with The Column Group (1)</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35,714,284</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35,714,284</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17,857,142</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24,999,999</w:t>
            </w:r>
          </w:p>
        </w:tc>
        <w:tc>
          <w:tcPr>
            <w:tcW w:w="100" w:type="dxa"/>
            <w:vAlign w:val="bottom"/>
            <w:shd w:val="clear" w:color="auto" w:fill="CFF0FC"/>
          </w:tcPr>
          <w:p>
            <w:pPr>
              <w:spacing w:after="0"/>
              <w:rPr>
                <w:sz w:val="17"/>
                <w:szCs w:val="17"/>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Funds Affiliated with RA Capital Management (2)</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2,222,271</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9,999,997</w:t>
            </w:r>
          </w:p>
        </w:tc>
        <w:tc>
          <w:tcPr>
            <w:tcW w:w="100" w:type="dxa"/>
            <w:vAlign w:val="bottom"/>
          </w:tcPr>
          <w:p>
            <w:pPr>
              <w:spacing w:after="0"/>
              <w:rPr>
                <w:sz w:val="17"/>
                <w:szCs w:val="17"/>
                <w:color w:val="auto"/>
              </w:rPr>
            </w:pPr>
          </w:p>
        </w:tc>
      </w:tr>
      <w:tr>
        <w:trPr>
          <w:trHeight w:val="202"/>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 Rowe Price Associates, Inc.</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222,222</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999,999</w:t>
            </w:r>
          </w:p>
        </w:tc>
        <w:tc>
          <w:tcPr>
            <w:tcW w:w="100" w:type="dxa"/>
            <w:vAlign w:val="bottom"/>
            <w:shd w:val="clear" w:color="auto" w:fill="CFF0FC"/>
          </w:tcPr>
          <w:p>
            <w:pPr>
              <w:spacing w:after="0"/>
              <w:rPr>
                <w:sz w:val="17"/>
                <w:szCs w:val="17"/>
                <w:color w:val="auto"/>
              </w:rPr>
            </w:pPr>
          </w:p>
        </w:tc>
      </w:tr>
    </w:tbl>
    <w:p>
      <w:pPr>
        <w:spacing w:after="0" w:line="229" w:lineRule="exact"/>
        <w:rPr>
          <w:sz w:val="20"/>
          <w:szCs w:val="20"/>
          <w:color w:val="auto"/>
        </w:rPr>
      </w:pPr>
    </w:p>
    <w:p>
      <w:pPr>
        <w:ind w:left="600" w:right="120" w:hanging="292"/>
        <w:spacing w:after="0" w:line="267" w:lineRule="auto"/>
        <w:tabs>
          <w:tab w:leader="none" w:pos="6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Entities affiliated with The Column Group holding our securities are aggregated for reporting ownership information and include The Column Group Opportunity III, LP, The Column Group III, LP and The Column Group III-A, LP. David Goeddel, who served as a member of our board of directors from August 2016 until January 2026, was also a Managing Partner of The Column Group</w:t>
      </w:r>
    </w:p>
    <w:p>
      <w:pPr>
        <w:spacing w:after="0" w:line="1" w:lineRule="exact"/>
        <w:rPr>
          <w:rFonts w:ascii="Times New Roman" w:cs="Times New Roman" w:eastAsia="Times New Roman" w:hAnsi="Times New Roman"/>
          <w:sz w:val="16"/>
          <w:szCs w:val="16"/>
          <w:color w:val="auto"/>
        </w:rPr>
      </w:pPr>
    </w:p>
    <w:p>
      <w:pPr>
        <w:ind w:left="600" w:right="220" w:hanging="292"/>
        <w:spacing w:after="0" w:line="288" w:lineRule="auto"/>
        <w:tabs>
          <w:tab w:leader="none" w:pos="6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Entities affiliated with RA Capital Management holding our securities are aggregated for reporting ownership information and include RA Capital Management, L.P. and RA Capital Nexus Fund II, 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limiting the liability of the members of our board of directors, and our Bylaws provide that we will indemnify each of our officers and the members of our board of directors to the fullest extent permitted under Delaware law, subject to certain exceptions. Our Amended and Restated Certificate of Incorporation and Bylaws also provide our board of directors with discretion to indemnify our employees and other agents when it determines to be appropriate. In addition, we have entered into an indemnification agreement with each of our executive officers and the members of our board of directors requiring us to indemnify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 party transaction.</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board of directors adopted a formal written policy governing our entry into any transaction that exceeds $120,000 and in which any related person has a direct or indirect material interest. The policy provides that management shall present related party transactions to the audit committee for approval. The policy does not prevent management from entering into any related party transaction without prior approval of the audit committee, so long as such related party transaction is thereafter presented to the audit committee for ratification.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that our directors and executive officers, and persons who own more than 10% of our common stock, file reports of ownership and changes in ownership with the SEC. Based on our review of such filings and written representations from certain reporting persons that no Form 5 is required, we believe that during the fiscal year ended December 31, 2025, all directors, executive officers and greater than 10% stockholders complied with all Section 16(a) filing requirements applicable to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Annual Report and SEC Filings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Our financial statements for our fiscal year ended December 31, 2025, are included in our annual report, which we will make available to stockholders at the same time as this proxy statement. Our proxy materials and our annual report are posted on our website at www.tenayatherapeutics.com and are available from the SEC at its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may also obtain a copy of our annual report, free of charge, by sending a written request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w:t>
      </w: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171 Oyster Point Boulevard, Suite 500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regardless of the number of shares that you hold. You are, therefore, urged to vote as promptly as possible to ensure your vote is recorded.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2026</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TENAYA THERAPEUTICS, INC. 2021 EQUITY INCENTIVE PLAN</w:t>
      </w:r>
    </w:p>
    <w:p>
      <w:pPr>
        <w:spacing w:after="0" w:line="200" w:lineRule="exact"/>
        <w:rPr>
          <w:sz w:val="20"/>
          <w:szCs w:val="20"/>
          <w:color w:val="auto"/>
        </w:rPr>
      </w:pPr>
    </w:p>
    <w:p>
      <w:pPr>
        <w:spacing w:after="0" w:line="24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amended and restated)</w:t>
      </w:r>
    </w:p>
    <w:p>
      <w:pPr>
        <w:spacing w:after="0" w:line="225" w:lineRule="exact"/>
        <w:rPr>
          <w:sz w:val="20"/>
          <w:szCs w:val="20"/>
          <w:color w:val="auto"/>
        </w:rPr>
      </w:pPr>
    </w:p>
    <w:p>
      <w:pPr>
        <w:ind w:left="1020" w:hanging="26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w:t>
      </w:r>
    </w:p>
    <w:p>
      <w:pPr>
        <w:spacing w:after="0" w:line="225"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the best available personnel for positions of substantial responsibility,</w:t>
      </w:r>
    </w:p>
    <w:p>
      <w:pPr>
        <w:spacing w:after="0" w:line="225"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additional incentive to Employees, Directors and Consultants, and</w:t>
      </w:r>
    </w:p>
    <w:p>
      <w:pPr>
        <w:spacing w:after="0" w:line="225"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promote the success of the Company’s business.</w:t>
      </w:r>
    </w:p>
    <w:p>
      <w:pPr>
        <w:spacing w:after="0" w:line="225" w:lineRule="exact"/>
        <w:rPr>
          <w:sz w:val="20"/>
          <w:szCs w:val="20"/>
          <w:color w:val="auto"/>
        </w:rPr>
      </w:pPr>
    </w:p>
    <w:p>
      <w:pPr>
        <w:ind w:right="400" w:firstLine="1497"/>
        <w:spacing w:after="0" w:line="282" w:lineRule="auto"/>
        <w:rPr>
          <w:sz w:val="20"/>
          <w:szCs w:val="20"/>
          <w:color w:val="auto"/>
        </w:rPr>
      </w:pPr>
      <w:r>
        <w:rPr>
          <w:rFonts w:ascii="Times New Roman" w:cs="Times New Roman" w:eastAsia="Times New Roman" w:hAnsi="Times New Roman"/>
          <w:sz w:val="18"/>
          <w:szCs w:val="18"/>
          <w:color w:val="auto"/>
        </w:rPr>
        <w:t>The Plan permits the grant of Incentive Stock Options, Nonstatutory Stock Options, Stock Appreciation Rights, Restricted Stock, Restricted Stock Units and Performance Awards.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22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2.1.</w:t>
        <w:tab/>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w:t>
      </w:r>
    </w:p>
    <w:p>
      <w:pPr>
        <w:spacing w:after="0" w:line="207" w:lineRule="exact"/>
        <w:rPr>
          <w:sz w:val="20"/>
          <w:szCs w:val="20"/>
          <w:color w:val="auto"/>
        </w:rPr>
      </w:pPr>
    </w:p>
    <w:p>
      <w:pPr>
        <w:ind w:right="40" w:firstLine="1497"/>
        <w:spacing w:after="0" w:line="261"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80" w:lineRule="exact"/>
        <w:rPr>
          <w:sz w:val="20"/>
          <w:szCs w:val="20"/>
          <w:color w:val="auto"/>
        </w:rPr>
      </w:pPr>
    </w:p>
    <w:p>
      <w:pPr>
        <w:ind w:right="180" w:firstLine="1497"/>
        <w:spacing w:after="0" w:line="282"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or Performance Awards.</w:t>
      </w:r>
    </w:p>
    <w:p>
      <w:pPr>
        <w:spacing w:after="0" w:line="162" w:lineRule="exact"/>
        <w:rPr>
          <w:sz w:val="20"/>
          <w:szCs w:val="20"/>
          <w:color w:val="auto"/>
        </w:rPr>
      </w:pPr>
    </w:p>
    <w:p>
      <w:pPr>
        <w:ind w:firstLine="1497"/>
        <w:spacing w:after="0" w:line="282"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6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2.5.</w:t>
        <w:tab/>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2.6.</w:t>
        <w:tab/>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sz w:val="20"/>
          <w:szCs w:val="20"/>
          <w:color w:val="auto"/>
        </w:rPr>
      </w:pPr>
    </w:p>
    <w:p>
      <w:pPr>
        <w:ind w:firstLine="2246"/>
        <w:spacing w:after="0" w:line="254" w:lineRule="auto"/>
        <w:rPr>
          <w:sz w:val="20"/>
          <w:szCs w:val="20"/>
          <w:color w:val="auto"/>
        </w:rPr>
      </w:pPr>
      <w:r>
        <w:rPr>
          <w:rFonts w:ascii="Times New Roman" w:cs="Times New Roman" w:eastAsia="Times New Roman" w:hAnsi="Times New Roman"/>
          <w:sz w:val="18"/>
          <w:szCs w:val="18"/>
          <w:color w:val="auto"/>
        </w:rPr>
        <w:t>2.6.1.1.</w:t>
      </w:r>
      <w:r>
        <w:rPr>
          <w:rFonts w:ascii="Times New Roman" w:cs="Times New Roman" w:eastAsia="Times New Roman" w:hAnsi="Times New Roman"/>
          <w:sz w:val="18"/>
          <w:szCs w:val="18"/>
          <w:u w:val="single" w:color="auto"/>
          <w:color w:val="auto"/>
        </w:rPr>
        <w:t>Change in Ownership of the Company</w:t>
      </w:r>
      <w:r>
        <w:rPr>
          <w:rFonts w:ascii="Times New Roman" w:cs="Times New Roman" w:eastAsia="Times New Roman" w:hAnsi="Times New Roman"/>
          <w:sz w:val="18"/>
          <w:szCs w:val="18"/>
          <w:color w:val="auto"/>
        </w:rPr>
        <w:t>. A change in the ownership of the Company which occurs on the date that any one person, or more than one person acting as a group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4" w:name="page55"/>
    <w:bookmarkEnd w:id="54"/>
    <w:p>
      <w:pPr>
        <w:spacing w:after="0" w:line="19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6" w:lineRule="exact"/>
        <w:rPr>
          <w:sz w:val="20"/>
          <w:szCs w:val="20"/>
          <w:color w:val="auto"/>
        </w:rPr>
      </w:pPr>
    </w:p>
    <w:p>
      <w:pPr>
        <w:ind w:firstLine="2246"/>
        <w:spacing w:after="0" w:line="258" w:lineRule="auto"/>
        <w:rPr>
          <w:sz w:val="20"/>
          <w:szCs w:val="20"/>
          <w:color w:val="auto"/>
        </w:rPr>
      </w:pPr>
      <w:r>
        <w:rPr>
          <w:rFonts w:ascii="Times New Roman" w:cs="Times New Roman" w:eastAsia="Times New Roman" w:hAnsi="Times New Roman"/>
          <w:sz w:val="18"/>
          <w:szCs w:val="18"/>
          <w:color w:val="auto"/>
        </w:rPr>
        <w:t>2.6.1.2.</w:t>
      </w:r>
      <w:r>
        <w:rPr>
          <w:rFonts w:ascii="Times New Roman" w:cs="Times New Roman" w:eastAsia="Times New Roman" w:hAnsi="Times New Roman"/>
          <w:sz w:val="18"/>
          <w:szCs w:val="18"/>
          <w:u w:val="single" w:color="auto"/>
          <w:color w:val="auto"/>
        </w:rPr>
        <w:t>Change in Effective Control of the Company</w:t>
      </w:r>
      <w:r>
        <w:rPr>
          <w:rFonts w:ascii="Times New Roman" w:cs="Times New Roman" w:eastAsia="Times New Roman" w:hAnsi="Times New Roman"/>
          <w:sz w:val="18"/>
          <w:szCs w:val="18"/>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83" w:lineRule="exact"/>
        <w:rPr>
          <w:sz w:val="20"/>
          <w:szCs w:val="20"/>
          <w:color w:val="auto"/>
        </w:rPr>
      </w:pPr>
    </w:p>
    <w:p>
      <w:pPr>
        <w:ind w:firstLine="2246"/>
        <w:spacing w:after="0" w:line="253" w:lineRule="auto"/>
        <w:rPr>
          <w:sz w:val="20"/>
          <w:szCs w:val="20"/>
          <w:color w:val="auto"/>
        </w:rPr>
      </w:pPr>
      <w:r>
        <w:rPr>
          <w:rFonts w:ascii="Times New Roman" w:cs="Times New Roman" w:eastAsia="Times New Roman" w:hAnsi="Times New Roman"/>
          <w:sz w:val="18"/>
          <w:szCs w:val="18"/>
          <w:color w:val="auto"/>
        </w:rPr>
        <w:t>2.6.1.3.</w:t>
      </w:r>
      <w:r>
        <w:rPr>
          <w:rFonts w:ascii="Times New Roman" w:cs="Times New Roman" w:eastAsia="Times New Roman" w:hAnsi="Times New Roman"/>
          <w:sz w:val="18"/>
          <w:szCs w:val="18"/>
          <w:u w:val="single" w:color="auto"/>
          <w:color w:val="auto"/>
        </w:rPr>
        <w:t>Change in Ownership of a Substantial Portion of the Company’s Assets</w:t>
      </w:r>
      <w:r>
        <w:rPr>
          <w:rFonts w:ascii="Times New Roman" w:cs="Times New Roman" w:eastAsia="Times New Roman" w:hAnsi="Times New Roman"/>
          <w:sz w:val="18"/>
          <w:szCs w:val="18"/>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90" w:lineRule="exact"/>
        <w:rPr>
          <w:sz w:val="20"/>
          <w:szCs w:val="20"/>
          <w:color w:val="auto"/>
        </w:rPr>
      </w:pPr>
    </w:p>
    <w:p>
      <w:pPr>
        <w:ind w:right="140" w:firstLine="2246"/>
        <w:spacing w:after="0" w:line="282" w:lineRule="auto"/>
        <w:rPr>
          <w:sz w:val="20"/>
          <w:szCs w:val="20"/>
          <w:color w:val="auto"/>
        </w:rPr>
      </w:pPr>
      <w:r>
        <w:rPr>
          <w:rFonts w:ascii="Times New Roman" w:cs="Times New Roman" w:eastAsia="Times New Roman" w:hAnsi="Times New Roman"/>
          <w:sz w:val="18"/>
          <w:szCs w:val="18"/>
          <w:color w:val="auto"/>
        </w:rPr>
        <w:t>For purposes of this Section 2.6, persons will be considered to be acting as a group if they are owners of a corporation that enters into a merger, consolidation, purchase or acquisition of stock, or similar business transaction with the Company.</w:t>
      </w:r>
    </w:p>
    <w:p>
      <w:pPr>
        <w:spacing w:after="0" w:line="162" w:lineRule="exact"/>
        <w:rPr>
          <w:sz w:val="20"/>
          <w:szCs w:val="20"/>
          <w:color w:val="auto"/>
        </w:rPr>
      </w:pPr>
    </w:p>
    <w:p>
      <w:pPr>
        <w:ind w:right="240" w:firstLine="2246"/>
        <w:spacing w:after="0" w:line="282"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Code Section 409A.</w:t>
      </w:r>
    </w:p>
    <w:p>
      <w:pPr>
        <w:spacing w:after="0" w:line="162" w:lineRule="exact"/>
        <w:rPr>
          <w:sz w:val="20"/>
          <w:szCs w:val="20"/>
          <w:color w:val="auto"/>
        </w:rPr>
      </w:pPr>
    </w:p>
    <w:p>
      <w:pPr>
        <w:ind w:right="100" w:firstLine="2246"/>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6" w:lineRule="exact"/>
        <w:rPr>
          <w:sz w:val="20"/>
          <w:szCs w:val="20"/>
          <w:color w:val="auto"/>
        </w:rPr>
      </w:pPr>
    </w:p>
    <w:p>
      <w:pPr>
        <w:jc w:val="both"/>
        <w:ind w:right="60" w:firstLine="1497"/>
        <w:spacing w:after="0" w:line="266"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76" w:lineRule="exact"/>
        <w:rPr>
          <w:sz w:val="20"/>
          <w:szCs w:val="20"/>
          <w:color w:val="auto"/>
        </w:rPr>
      </w:pPr>
    </w:p>
    <w:p>
      <w:pPr>
        <w:ind w:firstLine="1497"/>
        <w:spacing w:after="0" w:line="282"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by a duly authorized committee of the Board, in accordance with Section 4 hereof.</w:t>
      </w:r>
    </w:p>
    <w:p>
      <w:pPr>
        <w:spacing w:after="0" w:line="16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the common stock of the Company.</w:t>
      </w:r>
    </w:p>
    <w:p>
      <w:pPr>
        <w:spacing w:after="0" w:line="22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means Tenaya Therapeutics, Inc., a Delaware corporation, or any successor thereto.</w:t>
      </w:r>
    </w:p>
    <w:p>
      <w:pPr>
        <w:spacing w:after="0" w:line="225" w:lineRule="exact"/>
        <w:rPr>
          <w:sz w:val="20"/>
          <w:szCs w:val="20"/>
          <w:color w:val="auto"/>
        </w:rPr>
      </w:pPr>
    </w:p>
    <w:p>
      <w:pPr>
        <w:jc w:val="both"/>
        <w:ind w:right="140" w:firstLine="1497"/>
        <w:spacing w:after="0" w:line="266" w:lineRule="auto"/>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5" w:name="page56"/>
    <w:bookmarkEnd w:id="55"/>
    <w:p>
      <w:pPr>
        <w:spacing w:after="0" w:line="19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6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2.12.</w:t>
        <w:tab/>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jc w:val="both"/>
        <w:ind w:right="280" w:firstLine="1497"/>
        <w:spacing w:after="0" w:line="266"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6" w:lineRule="exact"/>
        <w:rPr>
          <w:sz w:val="20"/>
          <w:szCs w:val="20"/>
          <w:color w:val="auto"/>
        </w:rPr>
      </w:pPr>
    </w:p>
    <w:p>
      <w:pPr>
        <w:ind w:right="40" w:firstLine="1497"/>
        <w:spacing w:after="0" w:line="282" w:lineRule="auto"/>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62" w:lineRule="exact"/>
        <w:rPr>
          <w:sz w:val="20"/>
          <w:szCs w:val="20"/>
          <w:color w:val="auto"/>
        </w:rPr>
      </w:pPr>
    </w:p>
    <w:p>
      <w:pPr>
        <w:jc w:val="right"/>
        <w:spacing w:after="0"/>
        <w:tabs>
          <w:tab w:leader="none" w:pos="9180" w:val="left"/>
        </w:tabs>
        <w:rPr>
          <w:sz w:val="20"/>
          <w:szCs w:val="20"/>
          <w:color w:val="auto"/>
        </w:rPr>
      </w:pPr>
      <w:r>
        <w:rPr>
          <w:rFonts w:ascii="Times New Roman" w:cs="Times New Roman" w:eastAsia="Times New Roman" w:hAnsi="Times New Roman"/>
          <w:sz w:val="18"/>
          <w:szCs w:val="18"/>
          <w:color w:val="auto"/>
        </w:rPr>
        <w:t>2.15.</w:t>
        <w:tab/>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 including the rules and regulations promulgated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ind w:right="160" w:firstLine="1497"/>
        <w:spacing w:after="0" w:line="258"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spacing w:after="0" w:line="183" w:lineRule="exact"/>
        <w:rPr>
          <w:sz w:val="20"/>
          <w:szCs w:val="20"/>
          <w:color w:val="auto"/>
        </w:rPr>
      </w:pPr>
    </w:p>
    <w:p>
      <w:pPr>
        <w:ind w:right="320" w:firstLine="1497"/>
        <w:spacing w:after="0" w:line="282"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and unless the Administrator determines otherwise, the value of Common Stock determined as follows:</w:t>
      </w:r>
    </w:p>
    <w:p>
      <w:pPr>
        <w:spacing w:after="0" w:line="162" w:lineRule="exact"/>
        <w:rPr>
          <w:sz w:val="20"/>
          <w:szCs w:val="20"/>
          <w:color w:val="auto"/>
        </w:rPr>
      </w:pPr>
    </w:p>
    <w:p>
      <w:pPr>
        <w:ind w:right="200" w:firstLine="2246"/>
        <w:spacing w:after="0" w:line="258" w:lineRule="auto"/>
        <w:rPr>
          <w:sz w:val="20"/>
          <w:szCs w:val="20"/>
          <w:color w:val="auto"/>
        </w:rPr>
      </w:pPr>
      <w:r>
        <w:rPr>
          <w:rFonts w:ascii="Times New Roman" w:cs="Times New Roman" w:eastAsia="Times New Roman" w:hAnsi="Times New Roman"/>
          <w:sz w:val="18"/>
          <w:szCs w:val="18"/>
          <w:color w:val="auto"/>
        </w:rPr>
        <w:t xml:space="preserve">2.17.1.1.If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cs="Times New Roman" w:eastAsia="Times New Roman" w:hAnsi="Times New Roman"/>
          <w:sz w:val="18"/>
          <w:szCs w:val="18"/>
          <w:i w:val="1"/>
          <w:iCs w:val="1"/>
          <w:color w:val="auto"/>
        </w:rPr>
        <w:t>The Wall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Street Journal </w:t>
      </w:r>
      <w:r>
        <w:rPr>
          <w:rFonts w:ascii="Times New Roman" w:cs="Times New Roman" w:eastAsia="Times New Roman" w:hAnsi="Times New Roman"/>
          <w:sz w:val="18"/>
          <w:szCs w:val="18"/>
          <w:color w:val="auto"/>
        </w:rPr>
        <w:t>or such other source as the Administrator deems reliable;</w:t>
      </w:r>
    </w:p>
    <w:p>
      <w:pPr>
        <w:spacing w:after="0" w:line="183" w:lineRule="exact"/>
        <w:rPr>
          <w:sz w:val="20"/>
          <w:szCs w:val="20"/>
          <w:color w:val="auto"/>
        </w:rPr>
      </w:pPr>
    </w:p>
    <w:p>
      <w:pPr>
        <w:ind w:right="40" w:firstLine="2246"/>
        <w:spacing w:after="0" w:line="261" w:lineRule="auto"/>
        <w:rPr>
          <w:sz w:val="20"/>
          <w:szCs w:val="20"/>
          <w:color w:val="auto"/>
        </w:rPr>
      </w:pPr>
      <w:r>
        <w:rPr>
          <w:rFonts w:ascii="Times New Roman" w:cs="Times New Roman" w:eastAsia="Times New Roman" w:hAnsi="Times New Roman"/>
          <w:sz w:val="18"/>
          <w:szCs w:val="18"/>
          <w:color w:val="auto"/>
        </w:rPr>
        <w:t xml:space="preserve">2.17.1.2.If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180" w:lineRule="exact"/>
        <w:rPr>
          <w:sz w:val="20"/>
          <w:szCs w:val="20"/>
          <w:color w:val="auto"/>
        </w:rPr>
      </w:pPr>
    </w:p>
    <w:p>
      <w:pPr>
        <w:ind w:right="20" w:firstLine="2246"/>
        <w:spacing w:after="0" w:line="266" w:lineRule="auto"/>
        <w:rPr>
          <w:sz w:val="20"/>
          <w:szCs w:val="20"/>
          <w:color w:val="auto"/>
        </w:rPr>
      </w:pPr>
      <w:r>
        <w:rPr>
          <w:rFonts w:ascii="Times New Roman" w:cs="Times New Roman" w:eastAsia="Times New Roman" w:hAnsi="Times New Roman"/>
          <w:sz w:val="18"/>
          <w:szCs w:val="18"/>
          <w:color w:val="auto"/>
        </w:rPr>
        <w:t>2.17.1.3.For purposes of any Awards granted on the Registration Date, the Fair Market Value will be the initial price to the public as set forth in the final prospectus included within the registration statement on Form S-1 filed with the Securities and Exchange Commission for the initial public offering of the Common Stock; or</w:t>
      </w:r>
    </w:p>
    <w:p>
      <w:pPr>
        <w:spacing w:after="0" w:line="17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2.17.1.4.In the absence of an established market for the Common Stock, the Fair Market Value will be determined in good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faith by the Administrator.</w:t>
      </w:r>
    </w:p>
    <w:p>
      <w:pPr>
        <w:spacing w:after="0" w:line="20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2.18.</w:t>
        <w:tab/>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Company.</w:t>
      </w:r>
    </w:p>
    <w:p>
      <w:pPr>
        <w:spacing w:after="0" w:line="225" w:lineRule="exact"/>
        <w:rPr>
          <w:sz w:val="20"/>
          <w:szCs w:val="20"/>
          <w:color w:val="auto"/>
        </w:rPr>
      </w:pPr>
    </w:p>
    <w:p>
      <w:pPr>
        <w:ind w:right="80" w:firstLine="1497"/>
        <w:spacing w:after="0" w:line="282"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that by its terms qualifies and is otherwise intended to qualify as an incentive stock option within the meaning of Code Section 422 and the regulations promulgated thereunder.</w:t>
      </w:r>
    </w:p>
    <w:p>
      <w:pPr>
        <w:spacing w:after="0" w:line="16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2.20.</w:t>
        <w:tab/>
        <w:t>“</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 Option that by its terms does not qualify or is not intended to qualify as an Incentive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4" w:lineRule="exact"/>
        <w:rPr>
          <w:sz w:val="20"/>
          <w:szCs w:val="20"/>
          <w:color w:val="auto"/>
        </w:rPr>
      </w:pPr>
    </w:p>
    <w:p>
      <w:pPr>
        <w:ind w:right="240" w:firstLine="1497"/>
        <w:spacing w:after="0" w:line="282"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6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2.22.</w:t>
        <w:tab/>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stock option granted pursuant to the Plan.</w:t>
      </w:r>
    </w:p>
    <w:p>
      <w:pPr>
        <w:spacing w:after="0" w:line="22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2.23.</w:t>
        <w:tab/>
        <w:t>“</w:t>
      </w:r>
      <w:r>
        <w:rPr>
          <w:rFonts w:ascii="Times New Roman" w:cs="Times New Roman" w:eastAsia="Times New Roman" w:hAnsi="Times New Roman"/>
          <w:sz w:val="18"/>
          <w:szCs w:val="18"/>
          <w:u w:val="single" w:color="auto"/>
          <w:color w:val="auto"/>
        </w:rPr>
        <w:t>Outside Director</w:t>
      </w:r>
      <w:r>
        <w:rPr>
          <w:rFonts w:ascii="Times New Roman" w:cs="Times New Roman" w:eastAsia="Times New Roman" w:hAnsi="Times New Roman"/>
          <w:sz w:val="18"/>
          <w:szCs w:val="18"/>
          <w:color w:val="auto"/>
        </w:rPr>
        <w:t>” means a Director who is not an Employee.</w:t>
      </w:r>
    </w:p>
    <w:p>
      <w:pPr>
        <w:spacing w:after="0" w:line="22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2.24.</w:t>
        <w:tab/>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Code Section 424(e).</w:t>
      </w:r>
    </w:p>
    <w:p>
      <w:pPr>
        <w:spacing w:after="0" w:line="22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2.25.</w:t>
        <w:tab/>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the holder of an outstanding Award.</w:t>
      </w:r>
    </w:p>
    <w:p>
      <w:pPr>
        <w:spacing w:after="0" w:line="225" w:lineRule="exact"/>
        <w:rPr>
          <w:sz w:val="20"/>
          <w:szCs w:val="20"/>
          <w:color w:val="auto"/>
        </w:rPr>
      </w:pPr>
    </w:p>
    <w:p>
      <w:pPr>
        <w:ind w:right="180" w:firstLine="1497"/>
        <w:spacing w:after="0" w:line="266" w:lineRule="auto"/>
        <w:rPr>
          <w:sz w:val="20"/>
          <w:szCs w:val="20"/>
          <w:color w:val="auto"/>
        </w:rPr>
      </w:pPr>
      <w:r>
        <w:rPr>
          <w:rFonts w:ascii="Times New Roman" w:cs="Times New Roman" w:eastAsia="Times New Roman" w:hAnsi="Times New Roman"/>
          <w:sz w:val="18"/>
          <w:szCs w:val="18"/>
          <w:color w:val="auto"/>
        </w:rPr>
        <w:t xml:space="preserve">2.26. </w:t>
      </w: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spacing w:after="0" w:line="17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2.27.</w:t>
        <w:tab/>
        <w:t>“</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Performance Period as defined in Section 10.1.</w:t>
      </w:r>
    </w:p>
    <w:p>
      <w:pPr>
        <w:spacing w:after="0" w:line="225" w:lineRule="exact"/>
        <w:rPr>
          <w:sz w:val="20"/>
          <w:szCs w:val="20"/>
          <w:color w:val="auto"/>
        </w:rPr>
      </w:pPr>
    </w:p>
    <w:p>
      <w:pPr>
        <w:ind w:firstLine="1497"/>
        <w:spacing w:after="0" w:line="266" w:lineRule="auto"/>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u w:val="single" w:color="auto"/>
          <w:color w:val="auto"/>
        </w:rPr>
        <w:t>Period of Restriction</w:t>
      </w:r>
      <w:r>
        <w:rPr>
          <w:rFonts w:ascii="Times New Roman" w:cs="Times New Roman" w:eastAsia="Times New Roman" w:hAnsi="Times New Roman"/>
          <w:sz w:val="18"/>
          <w:szCs w:val="18"/>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2.29.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means this 2021 Equity Incentive Plan.</w:t>
      </w:r>
    </w:p>
    <w:p>
      <w:pPr>
        <w:spacing w:after="0" w:line="225" w:lineRule="exact"/>
        <w:rPr>
          <w:sz w:val="20"/>
          <w:szCs w:val="20"/>
          <w:color w:val="auto"/>
        </w:rPr>
      </w:pPr>
    </w:p>
    <w:p>
      <w:pPr>
        <w:ind w:right="400" w:firstLine="1497"/>
        <w:spacing w:after="0" w:line="282" w:lineRule="auto"/>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u w:val="single" w:color="auto"/>
          <w:color w:val="auto"/>
        </w:rPr>
        <w:t>Registration Date</w:t>
      </w:r>
      <w:r>
        <w:rPr>
          <w:rFonts w:ascii="Times New Roman" w:cs="Times New Roman" w:eastAsia="Times New Roman" w:hAnsi="Times New Roman"/>
          <w:sz w:val="18"/>
          <w:szCs w:val="18"/>
          <w:color w:val="auto"/>
        </w:rPr>
        <w:t>” means the effective date of the first registration statement that is filed by the Company and declared effective pursuant to Section 12(b) of the Exchange Act, with respect to any class of the Company’s securities.</w:t>
      </w:r>
    </w:p>
    <w:p>
      <w:pPr>
        <w:spacing w:after="0" w:line="162" w:lineRule="exact"/>
        <w:rPr>
          <w:sz w:val="20"/>
          <w:szCs w:val="20"/>
          <w:color w:val="auto"/>
        </w:rPr>
      </w:pPr>
    </w:p>
    <w:p>
      <w:pPr>
        <w:ind w:right="440" w:firstLine="1497"/>
        <w:spacing w:after="0" w:line="282"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issued pursuant to an Award of Restricted Stock under Section 8 of the Plan, or issued pursuant to the early exercise of an Option.</w:t>
      </w:r>
    </w:p>
    <w:p>
      <w:pPr>
        <w:spacing w:after="0" w:line="162" w:lineRule="exact"/>
        <w:rPr>
          <w:sz w:val="20"/>
          <w:szCs w:val="20"/>
          <w:color w:val="auto"/>
        </w:rPr>
      </w:pPr>
    </w:p>
    <w:p>
      <w:pPr>
        <w:ind w:right="340" w:firstLine="1497"/>
        <w:spacing w:after="0" w:line="282"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9. Each Restricted Stock Unit represents an unfunded and unsecured obligation of the Company.</w:t>
      </w:r>
    </w:p>
    <w:p>
      <w:pPr>
        <w:spacing w:after="0" w:line="121" w:lineRule="exact"/>
        <w:rPr>
          <w:sz w:val="20"/>
          <w:szCs w:val="20"/>
          <w:color w:val="auto"/>
        </w:rPr>
      </w:pPr>
    </w:p>
    <w:p>
      <w:pPr>
        <w:ind w:right="240" w:firstLine="1497"/>
        <w:spacing w:after="0" w:line="245" w:lineRule="exact"/>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u w:val="single" w:color="auto"/>
          <w:color w:val="auto"/>
        </w:rPr>
        <w:t>Rule 16b</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means Rule 16b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of the Exchange Act or any successor to Rule 16b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as in effect when discretion is being exercised with respect to the Plan.</w:t>
      </w:r>
    </w:p>
    <w:p>
      <w:pPr>
        <w:spacing w:after="0" w:line="199"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Section 16b</w:t>
      </w:r>
      <w:r>
        <w:rPr>
          <w:rFonts w:ascii="Times New Roman" w:cs="Times New Roman" w:eastAsia="Times New Roman" w:hAnsi="Times New Roman"/>
          <w:sz w:val="17"/>
          <w:szCs w:val="17"/>
          <w:color w:val="auto"/>
        </w:rPr>
        <w:t>” means Section 16(b) of the Exchange Act.</w:t>
      </w:r>
    </w:p>
    <w:p>
      <w:pPr>
        <w:spacing w:after="0" w:line="225" w:lineRule="exact"/>
        <w:rPr>
          <w:sz w:val="20"/>
          <w:szCs w:val="20"/>
          <w:color w:val="auto"/>
        </w:rPr>
      </w:pPr>
    </w:p>
    <w:p>
      <w:pPr>
        <w:ind w:right="180" w:firstLine="1497"/>
        <w:spacing w:after="0" w:line="282" w:lineRule="auto"/>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means Code Section 409A and the U.S. Treasury Regulations and guidance thereunder, and any applicable state law equivalent, as each may be promulgated, amended or modified from time to time.</w:t>
      </w:r>
    </w:p>
    <w:p>
      <w:pPr>
        <w:spacing w:after="0" w:line="16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2.36.</w:t>
        <w:tab/>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 including the rules and regulations promulgated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2.37.</w:t>
        <w:tab/>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 Employee, Director or Consultant.</w:t>
      </w:r>
    </w:p>
    <w:p>
      <w:pPr>
        <w:spacing w:after="0" w:line="22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2.38.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w:t>
      </w:r>
      <w:r>
        <w:rPr>
          <w:rFonts w:ascii="Times New Roman" w:cs="Times New Roman" w:eastAsia="Times New Roman" w:hAnsi="Times New Roman"/>
          <w:sz w:val="17"/>
          <w:szCs w:val="17"/>
          <w:color w:val="auto"/>
        </w:rPr>
        <w:t>” means a share of the Common Stock, as adjusted in accordance with Section 14 of the Plan.</w:t>
      </w:r>
    </w:p>
    <w:p>
      <w:pPr>
        <w:spacing w:after="0" w:line="225" w:lineRule="exact"/>
        <w:rPr>
          <w:sz w:val="20"/>
          <w:szCs w:val="20"/>
          <w:color w:val="auto"/>
        </w:rPr>
      </w:pPr>
    </w:p>
    <w:p>
      <w:pPr>
        <w:ind w:right="300" w:firstLine="1497"/>
        <w:spacing w:after="0" w:line="282" w:lineRule="auto"/>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means an Award, granted alone or in connection with an Option, that pursuant to Section 7 is designated as a Stock Appreciation Right.</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57" w:name="page58"/>
    <w:bookmarkEnd w:id="57"/>
    <w:p>
      <w:pPr>
        <w:spacing w:after="0" w:line="194"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2.40.</w:t>
        <w:tab/>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Code Section 424(f).</w:t>
      </w:r>
    </w:p>
    <w:p>
      <w:pPr>
        <w:spacing w:after="0" w:line="225" w:lineRule="exact"/>
        <w:rPr>
          <w:sz w:val="20"/>
          <w:szCs w:val="20"/>
          <w:color w:val="auto"/>
        </w:rPr>
      </w:pPr>
    </w:p>
    <w:p>
      <w:pPr>
        <w:ind w:right="140" w:firstLine="1497"/>
        <w:spacing w:after="0" w:line="282" w:lineRule="auto"/>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62" w:lineRule="exact"/>
        <w:rPr>
          <w:sz w:val="20"/>
          <w:szCs w:val="20"/>
          <w:color w:val="auto"/>
        </w:rPr>
      </w:pPr>
    </w:p>
    <w:p>
      <w:pPr>
        <w:ind w:right="80" w:firstLine="1497"/>
        <w:spacing w:after="0" w:line="266"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u w:val="single" w:color="auto"/>
          <w:color w:val="auto"/>
        </w:rPr>
        <w:t>U.S. Treasury Regulations</w:t>
      </w:r>
      <w:r>
        <w:rPr>
          <w:rFonts w:ascii="Times New Roman" w:cs="Times New Roman" w:eastAsia="Times New Roman" w:hAnsi="Times New Roman"/>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76" w:lineRule="exact"/>
        <w:rPr>
          <w:sz w:val="20"/>
          <w:szCs w:val="20"/>
          <w:color w:val="auto"/>
        </w:rPr>
      </w:pPr>
    </w:p>
    <w:p>
      <w:pPr>
        <w:ind w:left="1020" w:hanging="26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497"/>
        <w:spacing w:after="0" w:line="25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 Subject to adjustment upon changes in capitalization of the Company as provided in Section 14 and the automatic increase set forth in Section 3.2, the maximum aggregate number of Shares that may be subject to Awards and sold under the Plan will be equal to (a) 10,509,966, plus (b) any Shares subject to stock options, restricted stock units, or similar awards granted under the Company’s 2016 Equity Incentive Plan (the “</w:t>
      </w:r>
      <w:r>
        <w:rPr>
          <w:rFonts w:ascii="Times New Roman" w:cs="Times New Roman" w:eastAsia="Times New Roman" w:hAnsi="Times New Roman"/>
          <w:sz w:val="18"/>
          <w:szCs w:val="18"/>
          <w:u w:val="single" w:color="auto"/>
          <w:color w:val="auto"/>
        </w:rPr>
        <w:t>2016 Plan</w:t>
      </w:r>
      <w:r>
        <w:rPr>
          <w:rFonts w:ascii="Times New Roman" w:cs="Times New Roman" w:eastAsia="Times New Roman" w:hAnsi="Times New Roman"/>
          <w:sz w:val="18"/>
          <w:szCs w:val="18"/>
          <w:color w:val="auto"/>
        </w:rPr>
        <w:t>”) that, on or after the Registration Date,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Plan pursuant to clause (b) equal to 2,430,000 Shares. In addition, for purposes of clarity, a total of 14,520,845 Shares became available for issuance under the Plan during the period from the first day of the 2022 Fiscal Year through and including the first day of the 2026 Fiscal Year pursuant to the automatic share reserve increase provisions as in effect prior to the amendment and restatement of the Plan in 2026, and such Shares also will be subject to adjustment upon changes in capitalization of the Company as provided in Section</w:t>
      </w:r>
    </w:p>
    <w:p>
      <w:pPr>
        <w:spacing w:after="0" w:line="6" w:lineRule="exact"/>
        <w:rPr>
          <w:sz w:val="20"/>
          <w:szCs w:val="20"/>
          <w:color w:val="auto"/>
        </w:rPr>
      </w:pPr>
    </w:p>
    <w:p>
      <w:pPr>
        <w:ind w:right="60" w:firstLine="8"/>
        <w:spacing w:after="0" w:line="260" w:lineRule="auto"/>
        <w:tabs>
          <w:tab w:leader="none" w:pos="27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Shares may become available for issuance under Sections 3.2 and 3.3. The Shares may be authorized but unissued, or reacquired Common Stock.</w:t>
      </w:r>
    </w:p>
    <w:p>
      <w:pPr>
        <w:spacing w:after="0" w:line="181" w:lineRule="exact"/>
        <w:rPr>
          <w:sz w:val="20"/>
          <w:szCs w:val="20"/>
          <w:color w:val="auto"/>
        </w:rPr>
      </w:pPr>
    </w:p>
    <w:p>
      <w:pPr>
        <w:ind w:right="40" w:firstLine="1497"/>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Automatic Share Reserve Increase</w:t>
      </w:r>
      <w:r>
        <w:rPr>
          <w:rFonts w:ascii="Times New Roman" w:cs="Times New Roman" w:eastAsia="Times New Roman" w:hAnsi="Times New Roman"/>
          <w:sz w:val="18"/>
          <w:szCs w:val="18"/>
          <w:color w:val="auto"/>
        </w:rPr>
        <w:t>. Subject to adjustment upon changes in capitalization of the Company as provided in Section 14, the number of Shares available for issuance under the Plan will be increased on the first day of each Fiscal Year beginning with the 2027 Fiscal Year, in an amount equal to the least of (a) four percent (4%) of the outstanding Shares on the last day of the immediately preceding Fiscal Year, or (b) such number of Shares determined by the Administrator no later than the last day of the immediately preceding Fiscal Year.</w:t>
      </w:r>
    </w:p>
    <w:p>
      <w:pPr>
        <w:spacing w:after="0" w:line="180" w:lineRule="exact"/>
        <w:rPr>
          <w:sz w:val="20"/>
          <w:szCs w:val="20"/>
          <w:color w:val="auto"/>
        </w:rPr>
      </w:pPr>
    </w:p>
    <w:p>
      <w:pPr>
        <w:ind w:firstLine="1497"/>
        <w:spacing w:after="0" w:line="25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Lapsed Awards</w:t>
      </w:r>
      <w:r>
        <w:rPr>
          <w:rFonts w:ascii="Times New Roman" w:cs="Times New Roman" w:eastAsia="Times New Roman" w:hAnsi="Times New Roman"/>
          <w:sz w:val="18"/>
          <w:szCs w:val="18"/>
          <w:color w:val="auto"/>
        </w:rPr>
        <w:t>. 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w:t>
      </w:r>
    </w:p>
    <w:p>
      <w:pPr>
        <w:spacing w:after="0" w:line="190" w:lineRule="exact"/>
        <w:rPr>
          <w:sz w:val="20"/>
          <w:szCs w:val="20"/>
          <w:color w:val="auto"/>
        </w:rPr>
      </w:pPr>
    </w:p>
    <w:p>
      <w:pPr>
        <w:ind w:right="680" w:firstLine="1497"/>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Incentive Stock Option Limits</w:t>
      </w:r>
      <w:r>
        <w:rPr>
          <w:rFonts w:ascii="Times New Roman" w:cs="Times New Roman" w:eastAsia="Times New Roman" w:hAnsi="Times New Roman"/>
          <w:sz w:val="18"/>
          <w:szCs w:val="18"/>
          <w:color w:val="auto"/>
        </w:rPr>
        <w:t>. Subject to the foregoing limits and subject to adjustment as provided in Section 14, the maximum number of Shares that may be issued upon the exercise of Incentive Stock Options will equal 15,000,000 Shares.</w:t>
      </w:r>
    </w:p>
    <w:p>
      <w:pPr>
        <w:spacing w:after="0" w:line="162" w:lineRule="exact"/>
        <w:rPr>
          <w:sz w:val="20"/>
          <w:szCs w:val="20"/>
          <w:color w:val="auto"/>
        </w:rPr>
      </w:pPr>
    </w:p>
    <w:p>
      <w:pPr>
        <w:ind w:right="100" w:firstLine="1497"/>
        <w:spacing w:after="0" w:line="28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The Company, during the term of this Plan, will at all times reserve and keep available such number of Shares as will be sufficient to satisfy the requirements of the Plan.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4" w:lineRule="exact"/>
        <w:rPr>
          <w:sz w:val="20"/>
          <w:szCs w:val="20"/>
          <w:color w:val="auto"/>
        </w:rPr>
      </w:pPr>
    </w:p>
    <w:p>
      <w:pPr>
        <w:ind w:left="1500" w:right="8240" w:hanging="743"/>
        <w:spacing w:after="0" w:line="530" w:lineRule="auto"/>
        <w:tabs>
          <w:tab w:leader="none" w:pos="1021"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 of the Plan</w:t>
      </w:r>
      <w:r>
        <w:rPr>
          <w:rFonts w:ascii="Times New Roman" w:cs="Times New Roman" w:eastAsia="Times New Roman" w:hAnsi="Times New Roman"/>
          <w:sz w:val="17"/>
          <w:szCs w:val="17"/>
          <w:color w:val="auto"/>
        </w:rPr>
        <w:t xml:space="preserve">. 4.1. </w:t>
      </w:r>
      <w:r>
        <w:rPr>
          <w:rFonts w:ascii="Times New Roman" w:cs="Times New Roman" w:eastAsia="Times New Roman" w:hAnsi="Times New Roman"/>
          <w:sz w:val="17"/>
          <w:szCs w:val="17"/>
          <w:u w:val="single" w:color="auto"/>
          <w:color w:val="auto"/>
        </w:rPr>
        <w:t>Procedure</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4.1.1.</w:t>
      </w: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Different Committees with respect to different groups of Service Providers may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administer the Plan.</w:t>
      </w:r>
    </w:p>
    <w:p>
      <w:pPr>
        <w:spacing w:after="0" w:line="207" w:lineRule="exact"/>
        <w:rPr>
          <w:sz w:val="20"/>
          <w:szCs w:val="20"/>
          <w:color w:val="auto"/>
        </w:rPr>
      </w:pPr>
    </w:p>
    <w:p>
      <w:pPr>
        <w:ind w:right="280" w:firstLine="2246"/>
        <w:spacing w:after="0" w:line="282" w:lineRule="auto"/>
        <w:rPr>
          <w:sz w:val="20"/>
          <w:szCs w:val="20"/>
          <w:color w:val="auto"/>
        </w:rPr>
      </w:pPr>
      <w:r>
        <w:rPr>
          <w:rFonts w:ascii="Times New Roman" w:cs="Times New Roman" w:eastAsia="Times New Roman" w:hAnsi="Times New Roman"/>
          <w:sz w:val="18"/>
          <w:szCs w:val="18"/>
          <w:color w:val="auto"/>
        </w:rPr>
        <w:t>4.1.2.</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62" w:lineRule="exact"/>
        <w:rPr>
          <w:sz w:val="20"/>
          <w:szCs w:val="20"/>
          <w:color w:val="auto"/>
        </w:rPr>
      </w:pPr>
    </w:p>
    <w:p>
      <w:pPr>
        <w:ind w:right="700" w:firstLine="2246"/>
        <w:spacing w:after="0" w:line="282" w:lineRule="auto"/>
        <w:rPr>
          <w:sz w:val="20"/>
          <w:szCs w:val="20"/>
          <w:color w:val="auto"/>
        </w:rPr>
      </w:pPr>
      <w:r>
        <w:rPr>
          <w:rFonts w:ascii="Times New Roman" w:cs="Times New Roman" w:eastAsia="Times New Roman" w:hAnsi="Times New Roman"/>
          <w:sz w:val="18"/>
          <w:szCs w:val="18"/>
          <w:color w:val="auto"/>
        </w:rPr>
        <w:t>4.1.3.</w:t>
      </w:r>
      <w:r>
        <w:rPr>
          <w:rFonts w:ascii="Times New Roman" w:cs="Times New Roman" w:eastAsia="Times New Roman" w:hAnsi="Times New Roman"/>
          <w:sz w:val="18"/>
          <w:szCs w:val="18"/>
          <w:u w:val="single" w:color="auto"/>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comply with Applicable Laws.</w:t>
      </w:r>
    </w:p>
    <w:p>
      <w:pPr>
        <w:spacing w:after="0" w:line="162" w:lineRule="exact"/>
        <w:rPr>
          <w:sz w:val="20"/>
          <w:szCs w:val="20"/>
          <w:color w:val="auto"/>
        </w:rPr>
      </w:pPr>
    </w:p>
    <w:p>
      <w:pPr>
        <w:ind w:right="420" w:firstLine="1497"/>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6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4.2.1.1.to determine the Fair Market Value;</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4.2.1.2.to select the Service Providers to whom Awards may be granted hereunder;</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4.2.1.3.to determine the number of Shares to be covered by each Award granted hereunder;</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4.2.1.4.to approve forms of Award Agreements for use under the Plan;</w:t>
      </w:r>
    </w:p>
    <w:p>
      <w:pPr>
        <w:spacing w:after="0" w:line="225" w:lineRule="exact"/>
        <w:rPr>
          <w:sz w:val="20"/>
          <w:szCs w:val="20"/>
          <w:color w:val="auto"/>
        </w:rPr>
      </w:pPr>
    </w:p>
    <w:p>
      <w:pPr>
        <w:ind w:right="120" w:firstLine="2246"/>
        <w:spacing w:after="0" w:line="255" w:lineRule="auto"/>
        <w:rPr>
          <w:sz w:val="20"/>
          <w:szCs w:val="20"/>
          <w:color w:val="auto"/>
        </w:rPr>
      </w:pPr>
      <w:r>
        <w:rPr>
          <w:rFonts w:ascii="Times New Roman" w:cs="Times New Roman" w:eastAsia="Times New Roman" w:hAnsi="Times New Roman"/>
          <w:sz w:val="18"/>
          <w:szCs w:val="18"/>
          <w:color w:val="auto"/>
        </w:rPr>
        <w:t>4.2.1.5.to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spacing w:after="0" w:line="189" w:lineRule="exact"/>
        <w:rPr>
          <w:sz w:val="20"/>
          <w:szCs w:val="20"/>
          <w:color w:val="auto"/>
        </w:rPr>
      </w:pPr>
    </w:p>
    <w:p>
      <w:pPr>
        <w:ind w:right="220" w:firstLine="2246"/>
        <w:spacing w:after="0" w:line="282" w:lineRule="auto"/>
        <w:rPr>
          <w:sz w:val="20"/>
          <w:szCs w:val="20"/>
          <w:color w:val="auto"/>
        </w:rPr>
      </w:pPr>
      <w:r>
        <w:rPr>
          <w:rFonts w:ascii="Times New Roman" w:cs="Times New Roman" w:eastAsia="Times New Roman" w:hAnsi="Times New Roman"/>
          <w:sz w:val="18"/>
          <w:szCs w:val="18"/>
          <w:color w:val="auto"/>
        </w:rPr>
        <w:t>4.2.1.6.to institute and determine the terms and conditions of an Exchange Program, including, subject to Section 19.3, to unilaterally implement an Exchange Program without the consent of the applicable Award holder;</w:t>
      </w:r>
    </w:p>
    <w:p>
      <w:pPr>
        <w:spacing w:after="0" w:line="16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4.2.1.7.to construe and interpret the terms of the Plan and Awards granted pursuant to the Plan;</w:t>
      </w:r>
    </w:p>
    <w:p>
      <w:pPr>
        <w:spacing w:after="0" w:line="225" w:lineRule="exact"/>
        <w:rPr>
          <w:sz w:val="20"/>
          <w:szCs w:val="20"/>
          <w:color w:val="auto"/>
        </w:rPr>
      </w:pPr>
    </w:p>
    <w:p>
      <w:pPr>
        <w:ind w:right="100" w:firstLine="2246"/>
        <w:spacing w:after="0" w:line="239" w:lineRule="exact"/>
        <w:rPr>
          <w:sz w:val="20"/>
          <w:szCs w:val="20"/>
          <w:color w:val="auto"/>
        </w:rPr>
      </w:pPr>
      <w:r>
        <w:rPr>
          <w:rFonts w:ascii="Times New Roman" w:cs="Times New Roman" w:eastAsia="Times New Roman" w:hAnsi="Times New Roman"/>
          <w:sz w:val="17"/>
          <w:szCs w:val="17"/>
          <w:color w:val="auto"/>
        </w:rPr>
        <w:t>4.2.1.8.to prescribe, amend and rescind rules and regulations relating to the Plan, including rules and regulations relating to sub-plans established for the purpose of satisfying applicable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 laws or for qualifying for favorable tax treatment under applicable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 laws;</w:t>
      </w:r>
    </w:p>
    <w:p>
      <w:pPr>
        <w:spacing w:after="0" w:line="171" w:lineRule="exact"/>
        <w:rPr>
          <w:sz w:val="20"/>
          <w:szCs w:val="20"/>
          <w:color w:val="auto"/>
        </w:rPr>
      </w:pPr>
    </w:p>
    <w:p>
      <w:pPr>
        <w:ind w:firstLine="2246"/>
        <w:spacing w:after="0" w:line="266" w:lineRule="auto"/>
        <w:rPr>
          <w:sz w:val="20"/>
          <w:szCs w:val="20"/>
          <w:color w:val="auto"/>
        </w:rPr>
      </w:pPr>
      <w:r>
        <w:rPr>
          <w:rFonts w:ascii="Times New Roman" w:cs="Times New Roman" w:eastAsia="Times New Roman" w:hAnsi="Times New Roman"/>
          <w:sz w:val="18"/>
          <w:szCs w:val="18"/>
          <w:color w:val="auto"/>
        </w:rPr>
        <w:t>4.2.1.9.to modify or amend each Award (subject to Section 19.3), including but not limited to the discretionary authority to extend the post-termination exercisability period of Awards and to extend the maximum term of an Option or Stock Appreciation Right (subject to Sections 6.4 and 7.5);</w:t>
      </w:r>
    </w:p>
    <w:p>
      <w:pPr>
        <w:spacing w:after="0" w:line="17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4.2.1.10.to allow Participants to satisfy withholding tax obligations in a manner prescribed in Section 16;</w:t>
      </w:r>
    </w:p>
    <w:p>
      <w:pPr>
        <w:spacing w:after="0" w:line="225" w:lineRule="exact"/>
        <w:rPr>
          <w:sz w:val="20"/>
          <w:szCs w:val="20"/>
          <w:color w:val="auto"/>
        </w:rPr>
      </w:pPr>
    </w:p>
    <w:p>
      <w:pPr>
        <w:ind w:right="460" w:firstLine="2246"/>
        <w:spacing w:after="0" w:line="282" w:lineRule="auto"/>
        <w:rPr>
          <w:sz w:val="20"/>
          <w:szCs w:val="20"/>
          <w:color w:val="auto"/>
        </w:rPr>
      </w:pPr>
      <w:r>
        <w:rPr>
          <w:rFonts w:ascii="Times New Roman" w:cs="Times New Roman" w:eastAsia="Times New Roman" w:hAnsi="Times New Roman"/>
          <w:sz w:val="18"/>
          <w:szCs w:val="18"/>
          <w:color w:val="auto"/>
        </w:rPr>
        <w:t>4.2.1.11.to authorize any person to execute on behalf of the Company any instrument required to effect the grant of an Award previously granted by the Administrator;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194" w:lineRule="exact"/>
        <w:rPr>
          <w:sz w:val="20"/>
          <w:szCs w:val="20"/>
          <w:color w:val="auto"/>
        </w:rPr>
      </w:pPr>
    </w:p>
    <w:p>
      <w:pPr>
        <w:ind w:right="160" w:firstLine="2246"/>
        <w:spacing w:after="0" w:line="282" w:lineRule="auto"/>
        <w:rPr>
          <w:sz w:val="20"/>
          <w:szCs w:val="20"/>
          <w:color w:val="auto"/>
        </w:rPr>
      </w:pPr>
      <w:r>
        <w:rPr>
          <w:rFonts w:ascii="Times New Roman" w:cs="Times New Roman" w:eastAsia="Times New Roman" w:hAnsi="Times New Roman"/>
          <w:sz w:val="18"/>
          <w:szCs w:val="18"/>
          <w:color w:val="auto"/>
        </w:rPr>
        <w:t>4.2.1.12.to allow a Participant to defer the receipt of the payment of cash or the delivery of Shares that otherwise would be due to such Participant under an Award; and</w:t>
      </w:r>
    </w:p>
    <w:p>
      <w:pPr>
        <w:spacing w:after="0" w:line="16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4.2.1.13.to make all other determinations deemed necessary or advisable for administering the Plan.</w:t>
      </w:r>
    </w:p>
    <w:p>
      <w:pPr>
        <w:spacing w:after="0" w:line="225" w:lineRule="exact"/>
        <w:rPr>
          <w:sz w:val="20"/>
          <w:szCs w:val="20"/>
          <w:color w:val="auto"/>
        </w:rPr>
      </w:pPr>
    </w:p>
    <w:p>
      <w:pPr>
        <w:ind w:right="20" w:firstLine="1497"/>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 and will be given the maximum deference permitted by Applicable Laws.</w:t>
      </w:r>
    </w:p>
    <w:p>
      <w:pPr>
        <w:spacing w:after="0" w:line="162" w:lineRule="exact"/>
        <w:rPr>
          <w:sz w:val="20"/>
          <w:szCs w:val="20"/>
          <w:color w:val="auto"/>
        </w:rPr>
      </w:pPr>
    </w:p>
    <w:p>
      <w:pPr>
        <w:ind w:right="120" w:firstLine="757"/>
        <w:spacing w:after="0" w:line="282" w:lineRule="auto"/>
        <w:tabs>
          <w:tab w:leader="none" w:pos="10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Nonstatutory Stock Options, Stock Appreciation Rights, Restricted Stock, Restricted Stock Units and Performance Awards may be granted to Service Providers. Incentive Stock Options may be granted only to Employees.</w:t>
      </w:r>
    </w:p>
    <w:p>
      <w:pPr>
        <w:spacing w:after="0" w:line="16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1497"/>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Subject to the terms and provisions of the Plan, the Administrator, at any time and from time to time, may grant Options to Service Providers in such amounts as the Administrator, in its sole discretion, will determine.</w:t>
      </w:r>
    </w:p>
    <w:p>
      <w:pPr>
        <w:spacing w:after="0" w:line="162" w:lineRule="exact"/>
        <w:rPr>
          <w:sz w:val="20"/>
          <w:szCs w:val="20"/>
          <w:color w:val="auto"/>
        </w:rPr>
      </w:pPr>
    </w:p>
    <w:p>
      <w:pPr>
        <w:ind w:right="180" w:firstLine="1497"/>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76" w:lineRule="exact"/>
        <w:rPr>
          <w:sz w:val="20"/>
          <w:szCs w:val="20"/>
          <w:color w:val="auto"/>
        </w:rPr>
      </w:pPr>
    </w:p>
    <w:p>
      <w:pPr>
        <w:ind w:right="20" w:firstLine="1497"/>
        <w:spacing w:after="0" w:line="255"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spacing w:after="0" w:line="189" w:lineRule="exact"/>
        <w:rPr>
          <w:sz w:val="20"/>
          <w:szCs w:val="20"/>
          <w:color w:val="auto"/>
        </w:rPr>
      </w:pPr>
    </w:p>
    <w:p>
      <w:pPr>
        <w:ind w:right="40" w:firstLine="1497"/>
        <w:spacing w:after="0" w:line="258"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83"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u w:val="single" w:color="auto"/>
          <w:color w:val="auto"/>
        </w:rPr>
        <w:t>Option Exercise Price and Consideration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2246"/>
        <w:spacing w:after="0" w:line="255" w:lineRule="auto"/>
        <w:rPr>
          <w:sz w:val="20"/>
          <w:szCs w:val="20"/>
          <w:color w:val="auto"/>
        </w:rPr>
      </w:pPr>
      <w:r>
        <w:rPr>
          <w:rFonts w:ascii="Times New Roman" w:cs="Times New Roman" w:eastAsia="Times New Roman" w:hAnsi="Times New Roman"/>
          <w:sz w:val="18"/>
          <w:szCs w:val="18"/>
          <w:color w:val="auto"/>
        </w:rPr>
        <w:t>6.5.1.</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w:t>
      </w:r>
    </w:p>
    <w:p>
      <w:pPr>
        <w:spacing w:after="0" w:line="189" w:lineRule="exact"/>
        <w:rPr>
          <w:sz w:val="20"/>
          <w:szCs w:val="20"/>
          <w:color w:val="auto"/>
        </w:rPr>
      </w:pPr>
    </w:p>
    <w:p>
      <w:pPr>
        <w:ind w:right="400" w:firstLine="2246"/>
        <w:spacing w:after="0" w:line="282" w:lineRule="auto"/>
        <w:rPr>
          <w:sz w:val="20"/>
          <w:szCs w:val="20"/>
          <w:color w:val="auto"/>
        </w:rPr>
      </w:pPr>
      <w:r>
        <w:rPr>
          <w:rFonts w:ascii="Times New Roman" w:cs="Times New Roman" w:eastAsia="Times New Roman" w:hAnsi="Times New Roman"/>
          <w:sz w:val="18"/>
          <w:szCs w:val="18"/>
          <w:color w:val="auto"/>
        </w:rPr>
        <w:t>6.5.2.</w:t>
      </w:r>
      <w:r>
        <w:rPr>
          <w:rFonts w:ascii="Times New Roman" w:cs="Times New Roman" w:eastAsia="Times New Roman" w:hAnsi="Times New Roman"/>
          <w:sz w:val="18"/>
          <w:szCs w:val="18"/>
          <w:u w:val="single" w:color="auto"/>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4" w:lineRule="exact"/>
        <w:rPr>
          <w:sz w:val="20"/>
          <w:szCs w:val="20"/>
          <w:color w:val="auto"/>
        </w:rPr>
      </w:pPr>
    </w:p>
    <w:p>
      <w:pPr>
        <w:ind w:right="100" w:firstLine="2246"/>
        <w:spacing w:after="0" w:line="253" w:lineRule="auto"/>
        <w:rPr>
          <w:sz w:val="20"/>
          <w:szCs w:val="20"/>
          <w:color w:val="auto"/>
        </w:rPr>
      </w:pPr>
      <w:r>
        <w:rPr>
          <w:rFonts w:ascii="Times New Roman" w:cs="Times New Roman" w:eastAsia="Times New Roman" w:hAnsi="Times New Roman"/>
          <w:sz w:val="18"/>
          <w:szCs w:val="18"/>
          <w:color w:val="auto"/>
        </w:rPr>
        <w:t>6.5.3.</w:t>
      </w:r>
      <w:r>
        <w:rPr>
          <w:rFonts w:ascii="Times New Roman" w:cs="Times New Roman" w:eastAsia="Times New Roman" w:hAnsi="Times New Roman"/>
          <w:sz w:val="18"/>
          <w:szCs w:val="18"/>
          <w:u w:val="single" w:color="auto"/>
          <w:color w:val="auto"/>
        </w:rPr>
        <w:t>Form of Consideration</w:t>
      </w:r>
      <w:r>
        <w:rPr>
          <w:rFonts w:ascii="Times New Roman" w:cs="Times New Roman" w:eastAsia="Times New Roman" w:hAnsi="Times New Roman"/>
          <w:sz w:val="18"/>
          <w:szCs w:val="18"/>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94"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u w:val="single" w:color="auto"/>
          <w:color w:val="auto"/>
        </w:rPr>
        <w:t>Exercise of Option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160" w:firstLine="2246"/>
        <w:spacing w:after="0" w:line="266" w:lineRule="auto"/>
        <w:rPr>
          <w:sz w:val="20"/>
          <w:szCs w:val="20"/>
          <w:color w:val="auto"/>
        </w:rPr>
      </w:pPr>
      <w:r>
        <w:rPr>
          <w:rFonts w:ascii="Times New Roman" w:cs="Times New Roman" w:eastAsia="Times New Roman" w:hAnsi="Times New Roman"/>
          <w:sz w:val="18"/>
          <w:szCs w:val="18"/>
          <w:color w:val="auto"/>
        </w:rPr>
        <w:t>6.6.1.</w:t>
      </w: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6" w:lineRule="exact"/>
        <w:rPr>
          <w:sz w:val="20"/>
          <w:szCs w:val="20"/>
          <w:color w:val="auto"/>
        </w:rPr>
      </w:pPr>
    </w:p>
    <w:p>
      <w:pPr>
        <w:ind w:right="80" w:firstLine="2246"/>
        <w:spacing w:after="0" w:line="254" w:lineRule="auto"/>
        <w:rPr>
          <w:sz w:val="20"/>
          <w:szCs w:val="20"/>
          <w:color w:val="auto"/>
        </w:rPr>
      </w:pPr>
      <w:r>
        <w:rPr>
          <w:rFonts w:ascii="Times New Roman" w:cs="Times New Roman" w:eastAsia="Times New Roman" w:hAnsi="Times New Roman"/>
          <w:sz w:val="18"/>
          <w:szCs w:val="18"/>
          <w:color w:val="auto"/>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spacing w:after="0" w:line="188" w:lineRule="exact"/>
        <w:rPr>
          <w:sz w:val="20"/>
          <w:szCs w:val="20"/>
          <w:color w:val="auto"/>
        </w:rPr>
      </w:pPr>
    </w:p>
    <w:p>
      <w:pPr>
        <w:ind w:right="220" w:firstLine="2246"/>
        <w:spacing w:after="0" w:line="282" w:lineRule="auto"/>
        <w:rPr>
          <w:sz w:val="20"/>
          <w:szCs w:val="20"/>
          <w:color w:val="auto"/>
        </w:rPr>
      </w:pPr>
      <w:r>
        <w:rPr>
          <w:rFonts w:ascii="Times New Roman" w:cs="Times New Roman" w:eastAsia="Times New Roman" w:hAnsi="Times New Roman"/>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62" w:lineRule="exact"/>
        <w:rPr>
          <w:sz w:val="20"/>
          <w:szCs w:val="20"/>
          <w:color w:val="auto"/>
        </w:rPr>
      </w:pPr>
    </w:p>
    <w:p>
      <w:pPr>
        <w:ind w:firstLine="2246"/>
        <w:spacing w:after="0" w:line="255" w:lineRule="auto"/>
        <w:rPr>
          <w:sz w:val="20"/>
          <w:szCs w:val="20"/>
          <w:color w:val="auto"/>
        </w:rPr>
      </w:pPr>
      <w:r>
        <w:rPr>
          <w:rFonts w:ascii="Times New Roman" w:cs="Times New Roman" w:eastAsia="Times New Roman" w:hAnsi="Times New Roman"/>
          <w:sz w:val="18"/>
          <w:szCs w:val="18"/>
          <w:color w:val="auto"/>
        </w:rPr>
        <w:t>6.6.2.</w:t>
      </w:r>
      <w:r>
        <w:rPr>
          <w:rFonts w:ascii="Times New Roman" w:cs="Times New Roman" w:eastAsia="Times New Roman" w:hAnsi="Times New Roman"/>
          <w:sz w:val="18"/>
          <w:szCs w:val="18"/>
          <w:u w:val="single" w:color="auto"/>
          <w:color w:val="auto"/>
        </w:rPr>
        <w:t>Termination of Relationship as a Service Provider</w:t>
      </w:r>
      <w:r>
        <w:rPr>
          <w:rFonts w:ascii="Times New Roman" w:cs="Times New Roman" w:eastAsia="Times New Roman" w:hAnsi="Times New Roman"/>
          <w:sz w:val="18"/>
          <w:szCs w:val="18"/>
          <w:color w:val="auto"/>
        </w:rPr>
        <w:t>. If a Participant ceases to be a Service Provider, other than upon the Participant’s termination as the result of the Participant’s death or Disability, the Participant may exercise his or her Option, to the extent that the Option is vested on the date of termination, within three (3) months of termination, or such shorter or longer period of time, as is specified in the Award Agreement or in writing by the Administrator, in each case, in no event later than the expiration of the term of such Option as set forth in the Award Agreement.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89" w:lineRule="exact"/>
        <w:rPr>
          <w:sz w:val="20"/>
          <w:szCs w:val="20"/>
          <w:color w:val="auto"/>
        </w:rPr>
      </w:pPr>
    </w:p>
    <w:p>
      <w:pPr>
        <w:ind w:firstLine="2246"/>
        <w:spacing w:after="0" w:line="255" w:lineRule="auto"/>
        <w:rPr>
          <w:sz w:val="20"/>
          <w:szCs w:val="20"/>
          <w:color w:val="auto"/>
        </w:rPr>
      </w:pPr>
      <w:r>
        <w:rPr>
          <w:rFonts w:ascii="Times New Roman" w:cs="Times New Roman" w:eastAsia="Times New Roman" w:hAnsi="Times New Roman"/>
          <w:sz w:val="18"/>
          <w:szCs w:val="18"/>
          <w:color w:val="auto"/>
        </w:rPr>
        <w:t>6.6.3.</w:t>
      </w:r>
      <w:r>
        <w:rPr>
          <w:rFonts w:ascii="Times New Roman" w:cs="Times New Roman" w:eastAsia="Times New Roman" w:hAnsi="Times New Roman"/>
          <w:sz w:val="18"/>
          <w:szCs w:val="18"/>
          <w:u w:val="single" w:color="auto"/>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twelve (12) months of termination, or such longer or shorter period of time as is specified in the Award Agreement or in writing by the Administrator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89" w:lineRule="exact"/>
        <w:rPr>
          <w:sz w:val="20"/>
          <w:szCs w:val="20"/>
          <w:color w:val="auto"/>
        </w:rPr>
      </w:pPr>
    </w:p>
    <w:p>
      <w:pPr>
        <w:ind w:right="260" w:firstLine="2246"/>
        <w:spacing w:after="0" w:line="266" w:lineRule="auto"/>
        <w:rPr>
          <w:sz w:val="20"/>
          <w:szCs w:val="20"/>
          <w:color w:val="auto"/>
        </w:rPr>
      </w:pPr>
      <w:r>
        <w:rPr>
          <w:rFonts w:ascii="Times New Roman" w:cs="Times New Roman" w:eastAsia="Times New Roman" w:hAnsi="Times New Roman"/>
          <w:sz w:val="18"/>
          <w:szCs w:val="18"/>
          <w:color w:val="auto"/>
        </w:rPr>
        <w:t>6.6.4.</w:t>
      </w: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If a Participant dies while a Service Provider, the Option may be exercised within twelve (12) months following the Participant’s death, or within such longer or shorter period of time as is specified in the Award Agreement or in writing by the Administrator (but in no event later than the expiration of the term 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such Option as set forth in the Award Agreement) to the extent that the Option is vested on the date of death, by the Participant’s designated beneficiary, provided such beneficiary has been designated prior to the Participant’s death in a form (if any)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Times New Roman" w:cs="Times New Roman" w:eastAsia="Times New Roman" w:hAnsi="Times New Roman"/>
          <w:sz w:val="18"/>
          <w:szCs w:val="18"/>
          <w:u w:val="single" w:color="auto"/>
          <w:color w:val="auto"/>
        </w:rPr>
        <w:t>Legal Representative</w:t>
      </w:r>
      <w:r>
        <w:rPr>
          <w:rFonts w:ascii="Times New Roman" w:cs="Times New Roman" w:eastAsia="Times New Roman" w:hAnsi="Times New Roman"/>
          <w:sz w:val="18"/>
          <w:szCs w:val="18"/>
          <w:color w:val="auto"/>
        </w:rPr>
        <w:t>”).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8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6.6.5.</w:t>
      </w:r>
      <w:r>
        <w:rPr>
          <w:rFonts w:ascii="Times New Roman" w:cs="Times New Roman" w:eastAsia="Times New Roman" w:hAnsi="Times New Roman"/>
          <w:sz w:val="18"/>
          <w:szCs w:val="18"/>
          <w:u w:val="single" w:color="auto"/>
          <w:color w:val="auto"/>
        </w:rPr>
        <w:t>Tolling Expiration</w:t>
      </w:r>
      <w:r>
        <w:rPr>
          <w:rFonts w:ascii="Times New Roman" w:cs="Times New Roman" w:eastAsia="Times New Roman" w:hAnsi="Times New Roman"/>
          <w:sz w:val="18"/>
          <w:szCs w:val="18"/>
          <w:color w:val="auto"/>
        </w:rPr>
        <w:t>. A Participant’s Award Agreement may also provide that:</w:t>
      </w:r>
    </w:p>
    <w:p>
      <w:pPr>
        <w:spacing w:after="0" w:line="225" w:lineRule="exact"/>
        <w:rPr>
          <w:sz w:val="20"/>
          <w:szCs w:val="20"/>
          <w:color w:val="auto"/>
        </w:rPr>
      </w:pPr>
    </w:p>
    <w:p>
      <w:pPr>
        <w:ind w:right="160" w:firstLine="2995"/>
        <w:spacing w:after="0" w:line="261" w:lineRule="auto"/>
        <w:rPr>
          <w:sz w:val="20"/>
          <w:szCs w:val="20"/>
          <w:color w:val="auto"/>
        </w:rPr>
      </w:pPr>
      <w:r>
        <w:rPr>
          <w:rFonts w:ascii="Times New Roman" w:cs="Times New Roman" w:eastAsia="Times New Roman" w:hAnsi="Times New Roman"/>
          <w:sz w:val="18"/>
          <w:szCs w:val="18"/>
          <w:color w:val="auto"/>
        </w:rPr>
        <w:t>6.6.5.1. 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Times New Roman" w:cs="Times New Roman" w:eastAsia="Times New Roman" w:hAnsi="Times New Roman"/>
          <w:sz w:val="12"/>
          <w:szCs w:val="12"/>
          <w:color w:val="auto"/>
        </w:rPr>
        <w:t>th</w:t>
      </w:r>
      <w:r>
        <w:rPr>
          <w:rFonts w:ascii="Times New Roman" w:cs="Times New Roman" w:eastAsia="Times New Roman" w:hAnsi="Times New Roman"/>
          <w:sz w:val="18"/>
          <w:szCs w:val="18"/>
          <w:color w:val="auto"/>
        </w:rPr>
        <w:t>) day after the last date on which such exercise would result in liability under Section 16(b); or</w:t>
      </w:r>
    </w:p>
    <w:p>
      <w:pPr>
        <w:spacing w:after="0" w:line="180" w:lineRule="exact"/>
        <w:rPr>
          <w:sz w:val="20"/>
          <w:szCs w:val="20"/>
          <w:color w:val="auto"/>
        </w:rPr>
      </w:pPr>
    </w:p>
    <w:p>
      <w:pPr>
        <w:ind w:right="20" w:firstLine="2995"/>
        <w:spacing w:after="0" w:line="258" w:lineRule="auto"/>
        <w:rPr>
          <w:sz w:val="20"/>
          <w:szCs w:val="20"/>
          <w:color w:val="auto"/>
        </w:rPr>
      </w:pPr>
      <w:r>
        <w:rPr>
          <w:rFonts w:ascii="Times New Roman" w:cs="Times New Roman" w:eastAsia="Times New Roman" w:hAnsi="Times New Roman"/>
          <w:sz w:val="18"/>
          <w:szCs w:val="18"/>
          <w:color w:val="auto"/>
        </w:rPr>
        <w:t>6.6.5.2. 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w:t>
      </w:r>
    </w:p>
    <w:p>
      <w:pPr>
        <w:spacing w:after="0" w:line="183" w:lineRule="exact"/>
        <w:rPr>
          <w:sz w:val="20"/>
          <w:szCs w:val="20"/>
          <w:color w:val="auto"/>
        </w:rPr>
      </w:pPr>
    </w:p>
    <w:p>
      <w:pPr>
        <w:ind w:left="1020" w:hanging="26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20" w:firstLine="1497"/>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Grant of Stock Appreciation Rights</w:t>
      </w:r>
      <w:r>
        <w:rPr>
          <w:rFonts w:ascii="Times New Roman" w:cs="Times New Roman" w:eastAsia="Times New Roman" w:hAnsi="Times New Roman"/>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62" w:lineRule="exact"/>
        <w:rPr>
          <w:sz w:val="20"/>
          <w:szCs w:val="20"/>
          <w:color w:val="auto"/>
        </w:rPr>
      </w:pPr>
    </w:p>
    <w:p>
      <w:pPr>
        <w:ind w:right="140" w:firstLine="1497"/>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Administrator will have complete discretion to determine the number of Shares subject to any Award of Stock Appreciation Rights.</w:t>
      </w:r>
    </w:p>
    <w:p>
      <w:pPr>
        <w:spacing w:after="0" w:line="162" w:lineRule="exact"/>
        <w:rPr>
          <w:sz w:val="20"/>
          <w:szCs w:val="20"/>
          <w:color w:val="auto"/>
        </w:rPr>
      </w:pPr>
    </w:p>
    <w:p>
      <w:pPr>
        <w:ind w:right="100" w:firstLine="1497"/>
        <w:spacing w:after="0" w:line="261"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Exercise Price and Other Terms</w:t>
      </w:r>
      <w:r>
        <w:rPr>
          <w:rFonts w:ascii="Times New Roman" w:cs="Times New Roman" w:eastAsia="Times New Roman" w:hAnsi="Times New Roman"/>
          <w:sz w:val="18"/>
          <w:szCs w:val="18"/>
          <w:color w:val="auto"/>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80" w:lineRule="exact"/>
        <w:rPr>
          <w:sz w:val="20"/>
          <w:szCs w:val="20"/>
          <w:color w:val="auto"/>
        </w:rPr>
      </w:pPr>
    </w:p>
    <w:p>
      <w:pPr>
        <w:ind w:right="280" w:firstLine="1497"/>
        <w:spacing w:after="0" w:line="26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Stock Appreciation Right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6" w:lineRule="exact"/>
        <w:rPr>
          <w:sz w:val="20"/>
          <w:szCs w:val="20"/>
          <w:color w:val="auto"/>
        </w:rPr>
      </w:pPr>
    </w:p>
    <w:p>
      <w:pPr>
        <w:ind w:right="420" w:firstLine="1497"/>
        <w:spacing w:after="0" w:line="26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upon the date determined by the Administrator, in its sole discretion, and set forth in the Award Agreement. Notwithstanding the foregoing, the rules of Section 6.4 relating to the maximum term and Section 6.5 relating to exercise also will apply to Stock Appreciation Rights.</w:t>
      </w:r>
    </w:p>
    <w:p>
      <w:pPr>
        <w:spacing w:after="0" w:line="176" w:lineRule="exact"/>
        <w:rPr>
          <w:sz w:val="20"/>
          <w:szCs w:val="20"/>
          <w:color w:val="auto"/>
        </w:rPr>
      </w:pPr>
    </w:p>
    <w:p>
      <w:pPr>
        <w:ind w:right="180" w:firstLine="1497"/>
        <w:spacing w:after="0" w:line="28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by multiplying:</w:t>
      </w:r>
    </w:p>
    <w:p>
      <w:pPr>
        <w:spacing w:after="0" w:line="16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7.6.1.1.The difference between the Fair Market Value of a Share on the date of exercise over the exercise price; times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9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7.6.1.2.The number of Shares with respect to which the Stock Appreciation Right is exercised.</w:t>
      </w:r>
    </w:p>
    <w:p>
      <w:pPr>
        <w:spacing w:after="0" w:line="225" w:lineRule="exact"/>
        <w:rPr>
          <w:sz w:val="20"/>
          <w:szCs w:val="20"/>
          <w:color w:val="auto"/>
        </w:rPr>
      </w:pPr>
    </w:p>
    <w:p>
      <w:pPr>
        <w:ind w:right="280" w:firstLine="2246"/>
        <w:spacing w:after="0" w:line="282" w:lineRule="auto"/>
        <w:rPr>
          <w:sz w:val="20"/>
          <w:szCs w:val="20"/>
          <w:color w:val="auto"/>
        </w:rPr>
      </w:pPr>
      <w:r>
        <w:rPr>
          <w:rFonts w:ascii="Times New Roman" w:cs="Times New Roman" w:eastAsia="Times New Roman" w:hAnsi="Times New Roman"/>
          <w:sz w:val="18"/>
          <w:szCs w:val="18"/>
          <w:color w:val="auto"/>
        </w:rPr>
        <w:t>At the discretion of the Administrator, the payment upon Stock Appreciation Right exercise may be in cash, in Shares of equivalent value, or in some combination thereof.</w:t>
      </w:r>
    </w:p>
    <w:p>
      <w:pPr>
        <w:spacing w:after="0" w:line="162" w:lineRule="exact"/>
        <w:rPr>
          <w:sz w:val="20"/>
          <w:szCs w:val="20"/>
          <w:color w:val="auto"/>
        </w:rPr>
      </w:pPr>
    </w:p>
    <w:p>
      <w:pPr>
        <w:ind w:left="1020" w:hanging="26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1497"/>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62" w:lineRule="exact"/>
        <w:rPr>
          <w:sz w:val="20"/>
          <w:szCs w:val="20"/>
          <w:color w:val="auto"/>
        </w:rPr>
      </w:pPr>
    </w:p>
    <w:p>
      <w:pPr>
        <w:ind w:right="20" w:firstLine="1497"/>
        <w:spacing w:after="0" w:line="261"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Restricted Stock Agreement</w:t>
      </w:r>
      <w:r>
        <w:rPr>
          <w:rFonts w:ascii="Times New Roman" w:cs="Times New Roman" w:eastAsia="Times New Roman" w:hAnsi="Times New Roman"/>
          <w:sz w:val="18"/>
          <w:szCs w:val="18"/>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80" w:lineRule="exact"/>
        <w:rPr>
          <w:sz w:val="20"/>
          <w:szCs w:val="20"/>
          <w:color w:val="auto"/>
        </w:rPr>
      </w:pPr>
    </w:p>
    <w:p>
      <w:pPr>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62" w:lineRule="exact"/>
        <w:rPr>
          <w:sz w:val="20"/>
          <w:szCs w:val="20"/>
          <w:color w:val="auto"/>
        </w:rPr>
      </w:pPr>
    </w:p>
    <w:p>
      <w:pPr>
        <w:ind w:right="80" w:firstLine="1497"/>
        <w:spacing w:after="0" w:line="282"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162" w:lineRule="exact"/>
        <w:rPr>
          <w:sz w:val="20"/>
          <w:szCs w:val="20"/>
          <w:color w:val="auto"/>
        </w:rPr>
      </w:pPr>
    </w:p>
    <w:p>
      <w:pPr>
        <w:ind w:right="380" w:firstLine="1497"/>
        <w:spacing w:after="0" w:line="261"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Removal of Restrictions</w:t>
      </w:r>
      <w:r>
        <w:rPr>
          <w:rFonts w:ascii="Times New Roman" w:cs="Times New Roman" w:eastAsia="Times New Roman" w:hAnsi="Times New Roman"/>
          <w:sz w:val="18"/>
          <w:szCs w:val="18"/>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80" w:lineRule="exact"/>
        <w:rPr>
          <w:sz w:val="20"/>
          <w:szCs w:val="20"/>
          <w:color w:val="auto"/>
        </w:rPr>
      </w:pPr>
    </w:p>
    <w:p>
      <w:pPr>
        <w:ind w:right="100" w:firstLine="1497"/>
        <w:spacing w:after="0" w:line="282"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62" w:lineRule="exact"/>
        <w:rPr>
          <w:sz w:val="20"/>
          <w:szCs w:val="20"/>
          <w:color w:val="auto"/>
        </w:rPr>
      </w:pPr>
    </w:p>
    <w:p>
      <w:pPr>
        <w:ind w:firstLine="1497"/>
        <w:spacing w:after="0" w:line="261"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80" w:lineRule="exact"/>
        <w:rPr>
          <w:sz w:val="20"/>
          <w:szCs w:val="20"/>
          <w:color w:val="auto"/>
        </w:rPr>
      </w:pPr>
    </w:p>
    <w:p>
      <w:pPr>
        <w:ind w:right="620" w:firstLine="1497"/>
        <w:spacing w:after="0" w:line="282"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the Plan.</w:t>
      </w:r>
    </w:p>
    <w:p>
      <w:pPr>
        <w:spacing w:after="0" w:line="162" w:lineRule="exact"/>
        <w:rPr>
          <w:sz w:val="20"/>
          <w:szCs w:val="20"/>
          <w:color w:val="auto"/>
        </w:rPr>
      </w:pPr>
    </w:p>
    <w:p>
      <w:pPr>
        <w:ind w:left="1020" w:hanging="26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97"/>
        <w:spacing w:after="0" w:line="26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76" w:lineRule="exact"/>
        <w:rPr>
          <w:sz w:val="20"/>
          <w:szCs w:val="20"/>
          <w:color w:val="auto"/>
        </w:rPr>
      </w:pPr>
    </w:p>
    <w:p>
      <w:pPr>
        <w:ind w:right="100" w:firstLine="1497"/>
        <w:spacing w:after="0" w:line="261"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194" w:lineRule="exact"/>
        <w:rPr>
          <w:sz w:val="20"/>
          <w:szCs w:val="20"/>
          <w:color w:val="auto"/>
        </w:rPr>
      </w:pPr>
    </w:p>
    <w:p>
      <w:pPr>
        <w:ind w:right="180" w:firstLine="1497"/>
        <w:spacing w:after="0" w:line="26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6" w:lineRule="exact"/>
        <w:rPr>
          <w:sz w:val="20"/>
          <w:szCs w:val="20"/>
          <w:color w:val="auto"/>
        </w:rPr>
      </w:pPr>
    </w:p>
    <w:p>
      <w:pPr>
        <w:ind w:right="60" w:firstLine="1497"/>
        <w:spacing w:after="0" w:line="26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spacing w:after="0" w:line="17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On the date set forth in the Award Agreement, all unearned Restricted Stock Units will be forfeited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1020" w:hanging="26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497"/>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xml:space="preserve"> Each Performance Award will be evidenced by an Award Agreement that will specify any time period during which any performance objectives or other vesting provisions will be measured (“Performance Period”), and such other terms and conditions as the Administrator determines. Each Performance Award will have an initial value that is determined by the Administrator on or before its date of grant.</w:t>
      </w:r>
    </w:p>
    <w:p>
      <w:pPr>
        <w:spacing w:after="0" w:line="176" w:lineRule="exact"/>
        <w:rPr>
          <w:sz w:val="20"/>
          <w:szCs w:val="20"/>
          <w:color w:val="auto"/>
        </w:rPr>
      </w:pPr>
    </w:p>
    <w:p>
      <w:pPr>
        <w:ind w:right="80" w:firstLine="1497"/>
        <w:spacing w:after="0" w:line="258"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Objectives or Vesting Provisions and Other Terms.</w:t>
      </w:r>
      <w:r>
        <w:rPr>
          <w:rFonts w:ascii="Times New Roman" w:cs="Times New Roman" w:eastAsia="Times New Roman" w:hAnsi="Times New Roman"/>
          <w:sz w:val="18"/>
          <w:szCs w:val="18"/>
          <w:color w:val="auto"/>
        </w:rPr>
        <w:t xml:space="preserve">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83" w:lineRule="exact"/>
        <w:rPr>
          <w:sz w:val="20"/>
          <w:szCs w:val="20"/>
          <w:color w:val="auto"/>
        </w:rPr>
      </w:pPr>
    </w:p>
    <w:p>
      <w:pPr>
        <w:ind w:right="120" w:firstLine="1497"/>
        <w:spacing w:after="0" w:line="26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Earning Performance Awards</w:t>
      </w:r>
      <w:r>
        <w:rPr>
          <w:rFonts w:ascii="Times New Roman" w:cs="Times New Roman" w:eastAsia="Times New Roman" w:hAnsi="Times New Roman"/>
          <w:sz w:val="18"/>
          <w:szCs w:val="18"/>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176" w:lineRule="exact"/>
        <w:rPr>
          <w:sz w:val="20"/>
          <w:szCs w:val="20"/>
          <w:color w:val="auto"/>
        </w:rPr>
      </w:pPr>
    </w:p>
    <w:p>
      <w:pPr>
        <w:ind w:right="20" w:firstLine="1497"/>
        <w:spacing w:after="0" w:line="26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Payment of earned Performance Awards will be made at the time(s) determined by the Administrator and set forth in the Award Agreement. The Administrator, in its sole discretion, may settle earned Performance Awards in cash, Shares, or a combination of both.</w:t>
      </w:r>
    </w:p>
    <w:p>
      <w:pPr>
        <w:spacing w:after="0" w:line="176" w:lineRule="exact"/>
        <w:rPr>
          <w:sz w:val="20"/>
          <w:szCs w:val="20"/>
          <w:color w:val="auto"/>
        </w:rPr>
      </w:pPr>
    </w:p>
    <w:p>
      <w:pPr>
        <w:ind w:right="260" w:firstLine="1497"/>
        <w:spacing w:after="0" w:line="282"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Cancellation of Performance Awards</w:t>
      </w:r>
      <w:r>
        <w:rPr>
          <w:rFonts w:ascii="Times New Roman" w:cs="Times New Roman" w:eastAsia="Times New Roman" w:hAnsi="Times New Roman"/>
          <w:sz w:val="18"/>
          <w:szCs w:val="18"/>
          <w:color w:val="auto"/>
        </w:rPr>
        <w:t>. On the date set forth in the Award Agreement, all unearned or unvested Performance Awards will be forfeited to the Company, and again will be available for grant under the Plan.</w:t>
      </w:r>
    </w:p>
    <w:p>
      <w:pPr>
        <w:spacing w:after="0" w:line="162" w:lineRule="exact"/>
        <w:rPr>
          <w:sz w:val="20"/>
          <w:szCs w:val="20"/>
          <w:color w:val="auto"/>
        </w:rPr>
      </w:pPr>
    </w:p>
    <w:p>
      <w:pPr>
        <w:ind w:firstLine="757"/>
        <w:spacing w:after="0" w:line="253" w:lineRule="auto"/>
        <w:tabs>
          <w:tab w:leader="none" w:pos="101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w:t>
      </w:r>
      <w:r>
        <w:rPr>
          <w:rFonts w:ascii="Times New Roman" w:cs="Times New Roman" w:eastAsia="Times New Roman" w:hAnsi="Times New Roman"/>
          <w:sz w:val="18"/>
          <w:szCs w:val="18"/>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p>
    <w:p>
      <w:pPr>
        <w:spacing w:after="0" w:line="194" w:lineRule="exact"/>
        <w:rPr>
          <w:rFonts w:ascii="Times New Roman" w:cs="Times New Roman" w:eastAsia="Times New Roman" w:hAnsi="Times New Roman"/>
          <w:sz w:val="18"/>
          <w:szCs w:val="18"/>
          <w:color w:val="auto"/>
        </w:rPr>
      </w:pPr>
    </w:p>
    <w:p>
      <w:pPr>
        <w:jc w:val="both"/>
        <w:ind w:right="60" w:firstLine="757"/>
        <w:spacing w:after="0" w:line="261" w:lineRule="auto"/>
        <w:tabs>
          <w:tab w:leader="none" w:pos="101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Leaves of Absence/Transfer Between Locations</w:t>
      </w:r>
      <w:r>
        <w:rPr>
          <w:rFonts w:ascii="Times New Roman" w:cs="Times New Roman" w:eastAsia="Times New Roman" w:hAnsi="Times New Roman"/>
          <w:sz w:val="18"/>
          <w:szCs w:val="18"/>
          <w:color w:val="auto"/>
        </w:rPr>
        <w:t>. Unless the Administrator provides otherwise or as otherwise required by Applicable Laws, vesting of Awards granted hereunder will be suspended during any unpaid leave of absence. A Participant will not cease to be an Employee in the case of</w:t>
      </w:r>
    </w:p>
    <w:p>
      <w:pPr>
        <w:jc w:val="both"/>
        <w:ind w:right="280" w:firstLine="8"/>
        <w:spacing w:after="0" w:line="260" w:lineRule="auto"/>
        <w:tabs>
          <w:tab w:leader="none" w:pos="2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leave of absence approved by the Company or (b) transfers between locations of the Company or between the Company, its Parent, or any of its Subsidiaries. For purposes of Incentive Stock Options, no such leave may exceed three (3) months, unless reemployment upon expiration of such leave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1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is guaranteed by statute or contract. If reemployment upon expiration of a leave of absence approved by the Company is not so guaranteed, then six (6) months following the first (1</w:t>
      </w:r>
      <w:r>
        <w:rPr>
          <w:rFonts w:ascii="Times New Roman" w:cs="Times New Roman" w:eastAsia="Times New Roman" w:hAnsi="Times New Roman"/>
          <w:sz w:val="12"/>
          <w:szCs w:val="12"/>
          <w:color w:val="auto"/>
        </w:rPr>
        <w:t>st</w:t>
      </w:r>
      <w:r>
        <w:rPr>
          <w:rFonts w:ascii="Times New Roman" w:cs="Times New Roman" w:eastAsia="Times New Roman" w:hAnsi="Times New Roman"/>
          <w:sz w:val="18"/>
          <w:szCs w:val="18"/>
          <w:color w:val="auto"/>
        </w:rPr>
        <w:t>) day of such leave, any Incentive Stock Option held by the Participant will cease to be treated as an Incentive Stock Option and will be treated for tax purposes as a Nonstatutory Stock Option.</w:t>
      </w:r>
    </w:p>
    <w:p>
      <w:pPr>
        <w:spacing w:after="0" w:line="176" w:lineRule="exact"/>
        <w:rPr>
          <w:sz w:val="20"/>
          <w:szCs w:val="20"/>
          <w:color w:val="auto"/>
        </w:rPr>
      </w:pPr>
    </w:p>
    <w:p>
      <w:pPr>
        <w:ind w:firstLine="757"/>
        <w:spacing w:after="0" w:line="258" w:lineRule="auto"/>
        <w:tabs>
          <w:tab w:leader="none" w:pos="101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Transferability of Awards</w:t>
      </w:r>
      <w:r>
        <w:rPr>
          <w:rFonts w:ascii="Times New Roman" w:cs="Times New Roman" w:eastAsia="Times New Roman" w:hAnsi="Times New Roman"/>
          <w:sz w:val="18"/>
          <w:szCs w:val="18"/>
          <w:color w:val="auto"/>
        </w:rPr>
        <w:t>. Unless determined otherwise by the Administrator,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spacing w:after="0" w:line="183"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97"/>
        <w:spacing w:after="0" w:line="256"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spacing w:after="0" w:line="187" w:lineRule="exact"/>
        <w:rPr>
          <w:sz w:val="20"/>
          <w:szCs w:val="20"/>
          <w:color w:val="auto"/>
        </w:rPr>
      </w:pPr>
    </w:p>
    <w:p>
      <w:pPr>
        <w:ind w:right="60" w:firstLine="1497"/>
        <w:spacing w:after="0" w:line="266"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6" w:lineRule="exact"/>
        <w:rPr>
          <w:sz w:val="20"/>
          <w:szCs w:val="20"/>
          <w:color w:val="auto"/>
        </w:rPr>
      </w:pPr>
    </w:p>
    <w:p>
      <w:pPr>
        <w:ind w:right="40" w:firstLine="1497"/>
        <w:spacing w:after="0" w:line="254"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Merger or Change in Control</w:t>
      </w:r>
      <w:r>
        <w:rPr>
          <w:rFonts w:ascii="Times New Roman" w:cs="Times New Roman" w:eastAsia="Times New Roman" w:hAnsi="Times New Roman"/>
          <w:sz w:val="18"/>
          <w:szCs w:val="18"/>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w:t>
      </w:r>
    </w:p>
    <w:p>
      <w:pPr>
        <w:spacing w:after="0" w:line="3" w:lineRule="exact"/>
        <w:rPr>
          <w:sz w:val="20"/>
          <w:szCs w:val="20"/>
          <w:color w:val="auto"/>
        </w:rPr>
      </w:pPr>
    </w:p>
    <w:p>
      <w:pPr>
        <w:ind w:right="40" w:firstLine="8"/>
        <w:spacing w:after="0" w:line="251" w:lineRule="auto"/>
        <w:tabs>
          <w:tab w:leader="none" w:pos="24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 Section 14.3, the Administrator will not be obligated to treat all Awards, all Awards held by a Participant, all Awards of the same type, or all portions of Awards, similarly.</w:t>
      </w:r>
    </w:p>
    <w:p>
      <w:pPr>
        <w:spacing w:after="0" w:line="193" w:lineRule="exact"/>
        <w:rPr>
          <w:sz w:val="20"/>
          <w:szCs w:val="20"/>
          <w:color w:val="auto"/>
        </w:rPr>
      </w:pPr>
    </w:p>
    <w:p>
      <w:pPr>
        <w:ind w:right="140" w:firstLine="1497"/>
        <w:spacing w:after="0" w:line="254" w:lineRule="auto"/>
        <w:rPr>
          <w:sz w:val="20"/>
          <w:szCs w:val="20"/>
          <w:color w:val="auto"/>
        </w:rPr>
      </w:pPr>
      <w:r>
        <w:rPr>
          <w:rFonts w:ascii="Times New Roman" w:cs="Times New Roman" w:eastAsia="Times New Roman" w:hAnsi="Times New Roman"/>
          <w:sz w:val="18"/>
          <w:szCs w:val="18"/>
          <w:color w:val="auto"/>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and Performance Awards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unless specifically provided otherwise under the applicable Award Agreement or other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written agreement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80" w:lineRule="exact"/>
        <w:rPr>
          <w:sz w:val="20"/>
          <w:szCs w:val="20"/>
          <w:color w:val="auto"/>
        </w:rPr>
      </w:pPr>
    </w:p>
    <w:p>
      <w:pPr>
        <w:ind w:right="20" w:firstLine="1497"/>
        <w:spacing w:after="0" w:line="254" w:lineRule="auto"/>
        <w:rPr>
          <w:sz w:val="20"/>
          <w:szCs w:val="20"/>
          <w:color w:val="auto"/>
        </w:rPr>
      </w:pPr>
      <w:r>
        <w:rPr>
          <w:rFonts w:ascii="Times New Roman" w:cs="Times New Roman" w:eastAsia="Times New Roman" w:hAnsi="Times New Roman"/>
          <w:sz w:val="18"/>
          <w:szCs w:val="18"/>
          <w:color w:val="auto"/>
        </w:rPr>
        <w:t>For the purposes of this Section 14.3 and Section 14.4below,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or Performance Award, for each Share subject to such Award, to be solely common stock of the successor corporation or its Parent equal in fair market value to the per share consideration received by holders of Common Stock in the merger or Change in Control.</w:t>
      </w:r>
    </w:p>
    <w:p>
      <w:pPr>
        <w:spacing w:after="0" w:line="188" w:lineRule="exact"/>
        <w:rPr>
          <w:sz w:val="20"/>
          <w:szCs w:val="20"/>
          <w:color w:val="auto"/>
        </w:rPr>
      </w:pPr>
    </w:p>
    <w:p>
      <w:pPr>
        <w:ind w:right="20" w:firstLine="1497"/>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Section 14.3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183" w:lineRule="exact"/>
        <w:rPr>
          <w:sz w:val="20"/>
          <w:szCs w:val="20"/>
          <w:color w:val="auto"/>
        </w:rPr>
      </w:pPr>
    </w:p>
    <w:p>
      <w:pPr>
        <w:ind w:right="20" w:firstLine="1497"/>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Section 14.3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183" w:lineRule="exact"/>
        <w:rPr>
          <w:sz w:val="20"/>
          <w:szCs w:val="20"/>
          <w:color w:val="auto"/>
        </w:rPr>
      </w:pPr>
    </w:p>
    <w:p>
      <w:pPr>
        <w:ind w:right="80" w:firstLine="1497"/>
        <w:spacing w:after="0" w:line="256"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Outside Director Awards</w:t>
      </w:r>
      <w:r>
        <w:rPr>
          <w:rFonts w:ascii="Times New Roman" w:cs="Times New Roman" w:eastAsia="Times New Roman" w:hAnsi="Times New Roman"/>
          <w:sz w:val="18"/>
          <w:szCs w:val="18"/>
          <w:color w:val="auto"/>
        </w:rPr>
        <w:t>. With respect to Awards granted to an Outside Director, the Outside Director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between the Participant and the Company or any of its Parent or Subsidiaries, as applicable.</w:t>
      </w:r>
    </w:p>
    <w:p>
      <w:pPr>
        <w:spacing w:after="0" w:line="187" w:lineRule="exact"/>
        <w:rPr>
          <w:sz w:val="20"/>
          <w:szCs w:val="20"/>
          <w:color w:val="auto"/>
        </w:rPr>
      </w:pPr>
    </w:p>
    <w:p>
      <w:pPr>
        <w:ind w:left="1020" w:hanging="26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1497"/>
        <w:spacing w:after="0" w:line="220" w:lineRule="exact"/>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and other taxes (including the Participant’s FICA obligation) required to be withheld or paid with respect to such Award (or exercise thereof).</w:t>
      </w:r>
    </w:p>
    <w:p>
      <w:pPr>
        <w:spacing w:after="0" w:line="201" w:lineRule="exact"/>
        <w:rPr>
          <w:sz w:val="20"/>
          <w:szCs w:val="20"/>
          <w:color w:val="auto"/>
        </w:rPr>
      </w:pPr>
    </w:p>
    <w:p>
      <w:pPr>
        <w:ind w:right="100" w:firstLine="1497"/>
        <w:spacing w:after="0" w:line="258"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9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delivering to the Company already-owned Shares having a fair market value equal to the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92" w:lineRule="exact"/>
        <w:rPr>
          <w:sz w:val="20"/>
          <w:szCs w:val="20"/>
          <w:color w:val="auto"/>
        </w:rPr>
      </w:pPr>
    </w:p>
    <w:p>
      <w:pPr>
        <w:ind w:right="20" w:firstLine="757"/>
        <w:spacing w:after="0" w:line="261" w:lineRule="auto"/>
        <w:tabs>
          <w:tab w:leader="none" w:pos="101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to the extent permitted by Applicable Laws.</w:t>
      </w:r>
    </w:p>
    <w:p>
      <w:pPr>
        <w:spacing w:after="0" w:line="179" w:lineRule="exact"/>
        <w:rPr>
          <w:rFonts w:ascii="Times New Roman" w:cs="Times New Roman" w:eastAsia="Times New Roman" w:hAnsi="Times New Roman"/>
          <w:sz w:val="18"/>
          <w:szCs w:val="18"/>
          <w:color w:val="auto"/>
        </w:rPr>
      </w:pPr>
    </w:p>
    <w:p>
      <w:pPr>
        <w:ind w:firstLine="757"/>
        <w:spacing w:after="0" w:line="266" w:lineRule="auto"/>
        <w:tabs>
          <w:tab w:leader="none" w:pos="101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5" w:lineRule="exact"/>
        <w:rPr>
          <w:rFonts w:ascii="Times New Roman" w:cs="Times New Roman" w:eastAsia="Times New Roman" w:hAnsi="Times New Roman"/>
          <w:sz w:val="18"/>
          <w:szCs w:val="18"/>
          <w:color w:val="auto"/>
        </w:rPr>
      </w:pPr>
    </w:p>
    <w:p>
      <w:pPr>
        <w:ind w:firstLine="757"/>
        <w:spacing w:after="0" w:line="261" w:lineRule="auto"/>
        <w:tabs>
          <w:tab w:leader="none" w:pos="101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Subject to Section 22 of the Plan, the Plan will become effective as of one business day prior to the Registration Date. The Plan will continue in effect until terminated under Section 19, but (a) no Options that qualify as incentive stock options within the meaning of Code Section 422 may be granted after ten (10) years from the earlier of the Board or stockholder approval of the Plan and (b) Section 3.2 relating to automatic share reserve increases will operate only until the ten (10) year anniversary of the earlier of the Board or stockholder approval of the Plan.</w:t>
      </w:r>
    </w:p>
    <w:p>
      <w:pPr>
        <w:spacing w:after="0" w:line="179"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Administrator may at any time amend, alter, suspend or terminate the Plan.</w:t>
      </w:r>
    </w:p>
    <w:p>
      <w:pPr>
        <w:spacing w:after="0" w:line="225" w:lineRule="exact"/>
        <w:rPr>
          <w:sz w:val="20"/>
          <w:szCs w:val="20"/>
          <w:color w:val="auto"/>
        </w:rPr>
      </w:pPr>
    </w:p>
    <w:p>
      <w:pPr>
        <w:ind w:right="320" w:firstLine="1497"/>
        <w:spacing w:after="0" w:line="282" w:lineRule="auto"/>
        <w:rPr>
          <w:sz w:val="20"/>
          <w:szCs w:val="20"/>
          <w:color w:val="auto"/>
        </w:rPr>
      </w:pPr>
      <w:r>
        <w:rPr>
          <w:rFonts w:ascii="Times New Roman" w:cs="Times New Roman" w:eastAsia="Times New Roman" w:hAnsi="Times New Roman"/>
          <w:sz w:val="18"/>
          <w:szCs w:val="18"/>
          <w:color w:val="auto"/>
        </w:rPr>
        <w:t xml:space="preserve">19.2.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necessary and desirable to comply with Applicable Laws.</w:t>
      </w:r>
    </w:p>
    <w:p>
      <w:pPr>
        <w:spacing w:after="0" w:line="162" w:lineRule="exact"/>
        <w:rPr>
          <w:sz w:val="20"/>
          <w:szCs w:val="20"/>
          <w:color w:val="auto"/>
        </w:rPr>
      </w:pPr>
    </w:p>
    <w:p>
      <w:pPr>
        <w:ind w:right="80" w:firstLine="1497"/>
        <w:spacing w:after="0" w:line="261" w:lineRule="auto"/>
        <w:rPr>
          <w:sz w:val="20"/>
          <w:szCs w:val="20"/>
          <w:color w:val="auto"/>
        </w:rPr>
      </w:pPr>
      <w:r>
        <w:rPr>
          <w:rFonts w:ascii="Times New Roman" w:cs="Times New Roman" w:eastAsia="Times New Roman" w:hAnsi="Times New Roman"/>
          <w:sz w:val="18"/>
          <w:szCs w:val="18"/>
          <w:color w:val="auto"/>
        </w:rPr>
        <w:t xml:space="preserve">19.3. </w:t>
      </w:r>
      <w:r>
        <w:rPr>
          <w:rFonts w:ascii="Times New Roman" w:cs="Times New Roman" w:eastAsia="Times New Roman" w:hAnsi="Times New Roman"/>
          <w:sz w:val="18"/>
          <w:szCs w:val="18"/>
          <w:u w:val="single" w:color="auto"/>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80" w:lineRule="exact"/>
        <w:rPr>
          <w:sz w:val="20"/>
          <w:szCs w:val="20"/>
          <w:color w:val="auto"/>
        </w:rPr>
      </w:pPr>
    </w:p>
    <w:p>
      <w:pPr>
        <w:ind w:left="1020" w:hanging="26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97"/>
        <w:spacing w:after="0" w:line="266" w:lineRule="auto"/>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76" w:lineRule="exact"/>
        <w:rPr>
          <w:sz w:val="20"/>
          <w:szCs w:val="20"/>
          <w:color w:val="auto"/>
        </w:rPr>
      </w:pPr>
    </w:p>
    <w:p>
      <w:pPr>
        <w:jc w:val="both"/>
        <w:ind w:right="60" w:firstLine="1497"/>
        <w:spacing w:after="0" w:line="266"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194" w:lineRule="exact"/>
        <w:rPr>
          <w:sz w:val="20"/>
          <w:szCs w:val="20"/>
          <w:color w:val="auto"/>
        </w:rPr>
      </w:pPr>
    </w:p>
    <w:p>
      <w:pPr>
        <w:ind w:left="-40" w:right="40" w:firstLine="757"/>
        <w:spacing w:after="0" w:line="219" w:lineRule="exact"/>
        <w:tabs>
          <w:tab w:leader="none" w:pos="97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or to complete or comply with the requirements of any registration or other qualification of the Shares under any U.S. state or federal law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202" w:lineRule="exact"/>
        <w:rPr>
          <w:rFonts w:ascii="Times New Roman" w:cs="Times New Roman" w:eastAsia="Times New Roman" w:hAnsi="Times New Roman"/>
          <w:sz w:val="18"/>
          <w:szCs w:val="18"/>
          <w:color w:val="auto"/>
        </w:rPr>
      </w:pPr>
    </w:p>
    <w:p>
      <w:pPr>
        <w:ind w:left="-40" w:right="20" w:firstLine="757"/>
        <w:spacing w:after="0" w:line="282" w:lineRule="auto"/>
        <w:tabs>
          <w:tab w:leader="none" w:pos="97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61" w:lineRule="exact"/>
        <w:rPr>
          <w:rFonts w:ascii="Times New Roman" w:cs="Times New Roman" w:eastAsia="Times New Roman" w:hAnsi="Times New Roman"/>
          <w:sz w:val="18"/>
          <w:szCs w:val="18"/>
          <w:color w:val="auto"/>
        </w:rPr>
      </w:pPr>
    </w:p>
    <w:p>
      <w:pPr>
        <w:ind w:left="-40" w:firstLine="757"/>
        <w:spacing w:after="0" w:line="218" w:lineRule="exact"/>
        <w:tabs>
          <w:tab w:leader="none" w:pos="97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Events</w:t>
      </w:r>
      <w:r>
        <w:rPr>
          <w:rFonts w:ascii="Times New Roman" w:cs="Times New Roman" w:eastAsia="Times New Roman" w:hAnsi="Times New Roman"/>
          <w:sz w:val="18"/>
          <w:szCs w:val="18"/>
          <w:color w:val="auto"/>
        </w:rPr>
        <w:t>.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shall be subject to the Company’s clawback policy as may be established and/or amended from time to time to comply with Applicable Laws (including without limitation pursuant to the listing standards of any national securities exchange or association on which the Company’s securities are listed or as may be required by the Dodd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Frank Wall Street Reform and Consumer Protection Act) (the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 Unless this Section 23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9145905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920750</wp:posOffset>
            </wp:positionV>
            <wp:extent cx="5666105" cy="73291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5666105" cy="7329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9274810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1049020</wp:posOffset>
            </wp:positionV>
            <wp:extent cx="5666740" cy="73291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5666740" cy="7329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1)"/>
      <w:numFmt w:val="lowerRoman"/>
      <w:start w:val="3"/>
    </w:lvl>
    <w:lvl w:ilvl="1">
      <w:lvlJc w:val="left"/>
      <w:lvlText w:val="•"/>
      <w:numFmt w:val="bullet"/>
      <w:start w:val="1"/>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lvl w:ilvl="1">
      <w:lvlJc w:val="left"/>
      <w:lvlText w:val="•"/>
      <w:numFmt w:val="bullet"/>
      <w:start w:val="1"/>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1)"/>
      <w:numFmt w:val="decimal"/>
      <w:start w:val="3"/>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1)"/>
      <w:numFmt w:val="decimal"/>
      <w:start w:val="1"/>
    </w:lvl>
  </w:abstractNum>
  <w:abstractNum w:abstractNumId="43">
    <w:nsid w:val="520EEDD1"/>
    <w:multiLevelType w:val="hybridMultilevel"/>
    <w:lvl w:ilvl="0">
      <w:lvlJc w:val="left"/>
      <w:lvlText w:val="(%1)"/>
      <w:numFmt w:val="decimal"/>
      <w:start w:val="5"/>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1."/>
      <w:numFmt w:val="decimal"/>
      <w:start w:val="1"/>
    </w:lvl>
    <w:lvl w:ilvl="1">
      <w:lvlJc w:val="left"/>
      <w:lvlText w:val="•"/>
      <w:numFmt w:val="bullet"/>
      <w:start w:val="1"/>
    </w:lvl>
  </w:abstractNum>
  <w:abstractNum w:abstractNumId="47">
    <w:nsid w:val="649BB77C"/>
    <w:multiLevelType w:val="hybridMultilevel"/>
    <w:lvl w:ilvl="0">
      <w:lvlJc w:val="left"/>
      <w:lvlText w:val="%1."/>
      <w:numFmt w:val="decimal"/>
      <w:start w:val="3"/>
    </w:lvl>
  </w:abstractNum>
  <w:abstractNum w:abstractNumId="48">
    <w:nsid w:val="275AC794"/>
    <w:multiLevelType w:val="hybridMultilevel"/>
    <w:lvl w:ilvl="0">
      <w:lvlJc w:val="left"/>
      <w:lvlText w:val="%1."/>
      <w:numFmt w:val="decimal"/>
      <w:start w:val="14"/>
    </w:lvl>
  </w:abstractNum>
  <w:abstractNum w:abstractNumId="49">
    <w:nsid w:val="39386575"/>
    <w:multiLevelType w:val="hybridMultilevel"/>
    <w:lvl w:ilvl="0">
      <w:lvlJc w:val="left"/>
      <w:lvlText w:val="%1."/>
      <w:numFmt w:val="decimal"/>
      <w:start w:val="4"/>
    </w:lvl>
  </w:abstractNum>
  <w:abstractNum w:abstractNumId="50">
    <w:nsid w:val="1CF10FD8"/>
    <w:multiLevelType w:val="hybridMultilevel"/>
    <w:lvl w:ilvl="0">
      <w:lvlJc w:val="left"/>
      <w:lvlText w:val="%1."/>
      <w:numFmt w:val="decimal"/>
      <w:start w:val="5"/>
    </w:lvl>
  </w:abstractNum>
  <w:abstractNum w:abstractNumId="51">
    <w:nsid w:val="180115BE"/>
    <w:multiLevelType w:val="hybridMultilevel"/>
    <w:lvl w:ilvl="0">
      <w:lvlJc w:val="left"/>
      <w:lvlText w:val="%1."/>
      <w:numFmt w:val="decimal"/>
      <w:start w:val="7"/>
    </w:lvl>
  </w:abstractNum>
  <w:abstractNum w:abstractNumId="52">
    <w:nsid w:val="235BA861"/>
    <w:multiLevelType w:val="hybridMultilevel"/>
    <w:lvl w:ilvl="0">
      <w:lvlJc w:val="left"/>
      <w:lvlText w:val="%1."/>
      <w:numFmt w:val="decimal"/>
      <w:start w:val="8"/>
    </w:lvl>
  </w:abstractNum>
  <w:abstractNum w:abstractNumId="53">
    <w:nsid w:val="47398C89"/>
    <w:multiLevelType w:val="hybridMultilevel"/>
    <w:lvl w:ilvl="0">
      <w:lvlJc w:val="left"/>
      <w:lvlText w:val="%1."/>
      <w:numFmt w:val="decimal"/>
      <w:start w:val="9"/>
    </w:lvl>
  </w:abstractNum>
  <w:abstractNum w:abstractNumId="54">
    <w:nsid w:val="354FE9F9"/>
    <w:multiLevelType w:val="hybridMultilevel"/>
    <w:lvl w:ilvl="0">
      <w:lvlJc w:val="left"/>
      <w:lvlText w:val="%1."/>
      <w:numFmt w:val="decimal"/>
      <w:start w:val="10"/>
    </w:lvl>
  </w:abstractNum>
  <w:abstractNum w:abstractNumId="55">
    <w:nsid w:val="15B5AF5C"/>
    <w:multiLevelType w:val="hybridMultilevel"/>
    <w:lvl w:ilvl="0">
      <w:lvlJc w:val="left"/>
      <w:lvlText w:val="%1"/>
      <w:numFmt w:val="lowerLetter"/>
      <w:start w:val="1"/>
    </w:lvl>
    <w:lvl w:ilvl="1">
      <w:lvlJc w:val="left"/>
      <w:lvlText w:val="%2."/>
      <w:numFmt w:val="decimal"/>
      <w:start w:val="11"/>
    </w:lvl>
  </w:abstractNum>
  <w:abstractNum w:abstractNumId="56">
    <w:nsid w:val="741226BB"/>
    <w:multiLevelType w:val="hybridMultilevel"/>
    <w:lvl w:ilvl="0">
      <w:lvlJc w:val="left"/>
      <w:lvlText w:val="(%1)"/>
      <w:numFmt w:val="lowerLetter"/>
      <w:start w:val="1"/>
    </w:lvl>
    <w:lvl w:ilvl="1">
      <w:lvlJc w:val="left"/>
      <w:lvlText w:val="%2"/>
      <w:numFmt w:val="decimal"/>
      <w:start w:val="1"/>
    </w:lvl>
  </w:abstractNum>
  <w:abstractNum w:abstractNumId="57">
    <w:nsid w:val="D34B6A8"/>
    <w:multiLevelType w:val="hybridMultilevel"/>
    <w:lvl w:ilvl="0">
      <w:lvlJc w:val="left"/>
      <w:lvlText w:val="%1."/>
      <w:numFmt w:val="decimal"/>
      <w:start w:val="13"/>
    </w:lvl>
  </w:abstractNum>
  <w:abstractNum w:abstractNumId="58">
    <w:nsid w:val="10233C99"/>
    <w:multiLevelType w:val="hybridMultilevel"/>
    <w:lvl w:ilvl="0">
      <w:lvlJc w:val="left"/>
      <w:lvlText w:val="(%1)"/>
      <w:numFmt w:val="lowerLetter"/>
      <w:start w:val="3"/>
    </w:lvl>
  </w:abstractNum>
  <w:abstractNum w:abstractNumId="59">
    <w:nsid w:val="3F6AB60F"/>
    <w:multiLevelType w:val="hybridMultilevel"/>
    <w:lvl w:ilvl="0">
      <w:lvlJc w:val="left"/>
      <w:lvlText w:val="%1."/>
      <w:numFmt w:val="decimal"/>
      <w:start w:val="15"/>
    </w:lvl>
  </w:abstractNum>
  <w:abstractNum w:abstractNumId="60">
    <w:nsid w:val="61574095"/>
    <w:multiLevelType w:val="hybridMultilevel"/>
    <w:lvl w:ilvl="0">
      <w:lvlJc w:val="left"/>
      <w:lvlText w:val="%1."/>
      <w:numFmt w:val="decimal"/>
      <w:start w:val="16"/>
    </w:lvl>
  </w:abstractNum>
  <w:abstractNum w:abstractNumId="61">
    <w:nsid w:val="7E0C57B1"/>
    <w:multiLevelType w:val="hybridMultilevel"/>
    <w:lvl w:ilvl="0">
      <w:lvlJc w:val="left"/>
      <w:lvlText w:val="%1."/>
      <w:numFmt w:val="decimal"/>
      <w:start w:val="20"/>
    </w:lvl>
  </w:abstractNum>
  <w:abstractNum w:abstractNumId="62">
    <w:nsid w:val="77AE35EB"/>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2026-04-16T08:03:42Z</dcterms:created>
  <dcterms:modified xsi:type="dcterms:W3CDTF">2026-04-16T08:03:42Z</dcterms:modified>
</cp:coreProperties>
</file>