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 w:lineRule="exact"/>
        <w:rPr>
          <w:sz w:val="24"/>
          <w:szCs w:val="24"/>
          <w:color w:val="auto"/>
        </w:rPr>
      </w:pPr>
    </w:p>
    <w:p>
      <w:pPr>
        <w:jc w:val="center"/>
        <w:ind w:left="3460" w:right="720" w:hanging="3452"/>
        <w:spacing w:after="0" w:line="328" w:lineRule="auto"/>
        <w:tabs>
          <w:tab w:leader="none" w:pos="468"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 For the quarterly period ended September 30, 2021</w:t>
      </w:r>
    </w:p>
    <w:p>
      <w:pPr>
        <w:spacing w:after="0" w:line="267" w:lineRule="exact"/>
        <w:rPr>
          <w:sz w:val="24"/>
          <w:szCs w:val="24"/>
          <w:color w:val="auto"/>
        </w:rPr>
      </w:pPr>
    </w:p>
    <w:p>
      <w:pPr>
        <w:jc w:val="center"/>
        <w:ind w:left="3340" w:right="700" w:hanging="3332"/>
        <w:spacing w:after="0" w:line="316" w:lineRule="auto"/>
        <w:tabs>
          <w:tab w:leader="none" w:pos="459"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 For the transition period from ________ to _________</w:t>
      </w:r>
    </w:p>
    <w:p>
      <w:pPr>
        <w:spacing w:after="0" w:line="1" w:lineRule="exact"/>
        <w:rPr>
          <w:rFonts w:ascii="MS PGothic" w:cs="MS PGothic" w:eastAsia="MS PGothic" w:hAnsi="MS PGothic"/>
          <w:sz w:val="20"/>
          <w:szCs w:val="20"/>
          <w:color w:val="auto"/>
          <w:highlight w:val="black"/>
        </w:rPr>
      </w:pPr>
    </w:p>
    <w:p>
      <w:pPr>
        <w:ind w:left="4060"/>
        <w:spacing w:after="0"/>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Commission File Number: 001-40656</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-269875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jc w:val="center"/>
              <w:ind w:left="1062"/>
              <w:spacing w:after="0"/>
              <w:rPr>
                <w:sz w:val="20"/>
                <w:szCs w:val="20"/>
                <w:color w:val="auto"/>
              </w:rPr>
            </w:pPr>
            <w:r>
              <w:rPr>
                <w:rFonts w:ascii="Arial" w:cs="Arial" w:eastAsia="Arial" w:hAnsi="Arial"/>
                <w:sz w:val="20"/>
                <w:szCs w:val="20"/>
                <w:b w:val="1"/>
                <w:bCs w:val="1"/>
                <w:color w:val="auto"/>
                <w:w w:val="91"/>
              </w:rPr>
              <w:t>Delaware</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80" w:type="dxa"/>
            <w:vAlign w:val="bottom"/>
          </w:tcPr>
          <w:p>
            <w:pPr>
              <w:jc w:val="right"/>
              <w:ind w:right="2243"/>
              <w:spacing w:after="0"/>
              <w:rPr>
                <w:sz w:val="20"/>
                <w:szCs w:val="20"/>
                <w:color w:val="auto"/>
              </w:rPr>
            </w:pPr>
            <w:r>
              <w:rPr>
                <w:rFonts w:ascii="Arial" w:cs="Arial" w:eastAsia="Arial" w:hAnsi="Arial"/>
                <w:sz w:val="20"/>
                <w:szCs w:val="20"/>
                <w:b w:val="1"/>
                <w:bCs w:val="1"/>
                <w:color w:val="auto"/>
              </w:rPr>
              <w:t>81-3789973</w:t>
            </w:r>
          </w:p>
        </w:tc>
        <w:tc>
          <w:tcPr>
            <w:tcW w:w="0" w:type="dxa"/>
            <w:vAlign w:val="bottom"/>
          </w:tcPr>
          <w:p>
            <w:pPr>
              <w:spacing w:after="0"/>
              <w:rPr>
                <w:sz w:val="1"/>
                <w:szCs w:val="1"/>
                <w:color w:val="auto"/>
              </w:rPr>
            </w:pPr>
          </w:p>
        </w:tc>
      </w:tr>
      <w:tr>
        <w:trPr>
          <w:trHeight w:val="135"/>
        </w:trPr>
        <w:tc>
          <w:tcPr>
            <w:tcW w:w="4500" w:type="dxa"/>
            <w:vAlign w:val="bottom"/>
          </w:tcPr>
          <w:p>
            <w:pPr>
              <w:jc w:val="center"/>
              <w:ind w:left="1042"/>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80" w:type="dxa"/>
            <w:vAlign w:val="bottom"/>
          </w:tcPr>
          <w:p>
            <w:pPr>
              <w:jc w:val="center"/>
              <w:ind w:right="1663"/>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30"/>
        </w:trPr>
        <w:tc>
          <w:tcPr>
            <w:tcW w:w="4500" w:type="dxa"/>
            <w:vAlign w:val="bottom"/>
          </w:tcPr>
          <w:p>
            <w:pPr>
              <w:jc w:val="center"/>
              <w:ind w:left="1062"/>
              <w:spacing w:after="0" w:line="131" w:lineRule="exact"/>
              <w:rPr>
                <w:sz w:val="20"/>
                <w:szCs w:val="20"/>
                <w:color w:val="auto"/>
              </w:rPr>
            </w:pPr>
            <w:r>
              <w:rPr>
                <w:rFonts w:ascii="Arial" w:cs="Arial" w:eastAsia="Arial" w:hAnsi="Arial"/>
                <w:sz w:val="13"/>
                <w:szCs w:val="13"/>
                <w:b w:val="1"/>
                <w:bCs w:val="1"/>
                <w:color w:val="auto"/>
                <w:w w:val="88"/>
              </w:rPr>
              <w:t>incorporation or organization)</w:t>
            </w:r>
          </w:p>
        </w:tc>
        <w:tc>
          <w:tcPr>
            <w:tcW w:w="1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80" w:type="dxa"/>
            <w:vAlign w:val="bottom"/>
          </w:tcPr>
          <w:p>
            <w:pPr>
              <w:jc w:val="center"/>
              <w:ind w:right="1663"/>
              <w:spacing w:after="0" w:line="131" w:lineRule="exact"/>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30"/>
        </w:trPr>
        <w:tc>
          <w:tcPr>
            <w:tcW w:w="4500" w:type="dxa"/>
            <w:vAlign w:val="bottom"/>
          </w:tcPr>
          <w:p>
            <w:pPr>
              <w:jc w:val="center"/>
              <w:ind w:left="1062"/>
              <w:spacing w:after="0"/>
              <w:rPr>
                <w:sz w:val="20"/>
                <w:szCs w:val="20"/>
                <w:color w:val="auto"/>
              </w:rPr>
            </w:pPr>
            <w:r>
              <w:rPr>
                <w:rFonts w:ascii="Arial" w:cs="Arial" w:eastAsia="Arial" w:hAnsi="Arial"/>
                <w:sz w:val="20"/>
                <w:szCs w:val="20"/>
                <w:b w:val="1"/>
                <w:bCs w:val="1"/>
                <w:color w:val="auto"/>
                <w:w w:val="90"/>
              </w:rPr>
              <w:t>171 Oyster Point Boulevard, 5</w:t>
            </w:r>
            <w:r>
              <w:rPr>
                <w:rFonts w:ascii="Arial" w:cs="Arial" w:eastAsia="Arial" w:hAnsi="Arial"/>
                <w:sz w:val="16"/>
                <w:szCs w:val="16"/>
                <w:b w:val="1"/>
                <w:bCs w:val="1"/>
                <w:color w:val="auto"/>
                <w:w w:val="90"/>
              </w:rPr>
              <w:t>th</w:t>
            </w:r>
            <w:r>
              <w:rPr>
                <w:rFonts w:ascii="Arial" w:cs="Arial" w:eastAsia="Arial" w:hAnsi="Arial"/>
                <w:sz w:val="20"/>
                <w:szCs w:val="20"/>
                <w:b w:val="1"/>
                <w:bCs w:val="1"/>
                <w:color w:val="auto"/>
                <w:w w:val="90"/>
              </w:rPr>
              <w:t xml:space="preserve"> Floor</w:t>
            </w: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00" w:type="dxa"/>
            <w:vAlign w:val="bottom"/>
          </w:tcPr>
          <w:p>
            <w:pPr>
              <w:jc w:val="center"/>
              <w:ind w:left="1062"/>
              <w:spacing w:after="0"/>
              <w:rPr>
                <w:sz w:val="20"/>
                <w:szCs w:val="20"/>
                <w:color w:val="auto"/>
              </w:rPr>
            </w:pPr>
            <w:r>
              <w:rPr>
                <w:rFonts w:ascii="Arial" w:cs="Arial" w:eastAsia="Arial" w:hAnsi="Arial"/>
                <w:sz w:val="20"/>
                <w:szCs w:val="20"/>
                <w:b w:val="1"/>
                <w:bCs w:val="1"/>
                <w:color w:val="auto"/>
                <w:w w:val="88"/>
              </w:rPr>
              <w:t>South San Francisco, CA</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80" w:type="dxa"/>
            <w:vAlign w:val="bottom"/>
          </w:tcPr>
          <w:p>
            <w:pPr>
              <w:jc w:val="right"/>
              <w:ind w:right="2483"/>
              <w:spacing w:after="0"/>
              <w:rPr>
                <w:sz w:val="20"/>
                <w:szCs w:val="20"/>
                <w:color w:val="auto"/>
              </w:rPr>
            </w:pPr>
            <w:r>
              <w:rPr>
                <w:rFonts w:ascii="Arial" w:cs="Arial" w:eastAsia="Arial" w:hAnsi="Arial"/>
                <w:sz w:val="20"/>
                <w:szCs w:val="20"/>
                <w:b w:val="1"/>
                <w:bCs w:val="1"/>
                <w:color w:val="auto"/>
              </w:rPr>
              <w:t>94080</w:t>
            </w:r>
          </w:p>
        </w:tc>
        <w:tc>
          <w:tcPr>
            <w:tcW w:w="0" w:type="dxa"/>
            <w:vAlign w:val="bottom"/>
          </w:tcPr>
          <w:p>
            <w:pPr>
              <w:spacing w:after="0"/>
              <w:rPr>
                <w:sz w:val="1"/>
                <w:szCs w:val="1"/>
                <w:color w:val="auto"/>
              </w:rPr>
            </w:pPr>
          </w:p>
        </w:tc>
      </w:tr>
      <w:tr>
        <w:trPr>
          <w:trHeight w:val="164"/>
        </w:trPr>
        <w:tc>
          <w:tcPr>
            <w:tcW w:w="4500" w:type="dxa"/>
            <w:vAlign w:val="bottom"/>
          </w:tcPr>
          <w:p>
            <w:pPr>
              <w:jc w:val="center"/>
              <w:ind w:left="1062"/>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80" w:type="dxa"/>
            <w:vAlign w:val="bottom"/>
          </w:tcPr>
          <w:p>
            <w:pPr>
              <w:jc w:val="center"/>
              <w:ind w:right="1663"/>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81"/>
        </w:trPr>
        <w:tc>
          <w:tcPr>
            <w:tcW w:w="4500" w:type="dxa"/>
            <w:vAlign w:val="bottom"/>
          </w:tcPr>
          <w:p>
            <w:pPr>
              <w:spacing w:after="0"/>
              <w:rPr>
                <w:sz w:val="24"/>
                <w:szCs w:val="24"/>
                <w:color w:val="auto"/>
              </w:rPr>
            </w:pPr>
          </w:p>
        </w:tc>
        <w:tc>
          <w:tcPr>
            <w:tcW w:w="2140" w:type="dxa"/>
            <w:vAlign w:val="bottom"/>
            <w:gridSpan w:val="2"/>
          </w:tcPr>
          <w:p>
            <w:pPr>
              <w:jc w:val="center"/>
              <w:ind w:left="1"/>
              <w:spacing w:after="0"/>
              <w:rPr>
                <w:sz w:val="20"/>
                <w:szCs w:val="20"/>
                <w:color w:val="auto"/>
              </w:rPr>
            </w:pPr>
            <w:r>
              <w:rPr>
                <w:rFonts w:ascii="Arial" w:cs="Arial" w:eastAsia="Arial" w:hAnsi="Arial"/>
                <w:sz w:val="20"/>
                <w:szCs w:val="20"/>
                <w:b w:val="1"/>
                <w:bCs w:val="1"/>
                <w:color w:val="auto"/>
                <w:w w:val="90"/>
              </w:rPr>
              <w:t>(650) 825-6900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7360" w:type="dxa"/>
            <w:vAlign w:val="bottom"/>
            <w:gridSpan w:val="6"/>
          </w:tcPr>
          <w:p>
            <w:pPr>
              <w:jc w:val="center"/>
              <w:ind w:left="3802"/>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4500" w:type="dxa"/>
            <w:vAlign w:val="bottom"/>
            <w:vMerge w:val="restart"/>
          </w:tcPr>
          <w:p>
            <w:pPr>
              <w:ind w:left="600"/>
              <w:spacing w:after="0"/>
              <w:rPr>
                <w:sz w:val="20"/>
                <w:szCs w:val="20"/>
                <w:color w:val="auto"/>
              </w:rPr>
            </w:pPr>
            <w:r>
              <w:rPr>
                <w:rFonts w:ascii="Arial" w:cs="Arial" w:eastAsia="Arial" w:hAnsi="Arial"/>
                <w:sz w:val="16"/>
                <w:szCs w:val="16"/>
                <w:color w:val="auto"/>
                <w:w w:val="95"/>
              </w:rPr>
              <w:t>Securities registered pursuant to Section 12(b) of the Act:</w:t>
            </w:r>
          </w:p>
        </w:tc>
        <w:tc>
          <w:tcPr>
            <w:tcW w:w="12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4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4"/>
            <w:vMerge w:val="restart"/>
          </w:tcPr>
          <w:p>
            <w:pPr>
              <w:jc w:val="center"/>
              <w:ind w:right="700"/>
              <w:spacing w:after="0"/>
              <w:rPr>
                <w:sz w:val="20"/>
                <w:szCs w:val="20"/>
                <w:color w:val="auto"/>
              </w:rPr>
            </w:pPr>
            <w:r>
              <w:rPr>
                <w:rFonts w:ascii="Arial" w:cs="Arial" w:eastAsia="Arial" w:hAnsi="Arial"/>
                <w:sz w:val="14"/>
                <w:szCs w:val="14"/>
                <w:b w:val="1"/>
                <w:bCs w:val="1"/>
                <w:color w:val="auto"/>
                <w:w w:val="93"/>
              </w:rPr>
              <w:t>Trading</w:t>
            </w: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8"/>
                <w:szCs w:val="18"/>
                <w:color w:val="auto"/>
              </w:rPr>
            </w:pPr>
          </w:p>
        </w:tc>
        <w:tc>
          <w:tcPr>
            <w:tcW w:w="2740" w:type="dxa"/>
            <w:vAlign w:val="bottom"/>
            <w:gridSpan w:val="4"/>
            <w:vMerge w:val="continue"/>
          </w:tcPr>
          <w:p>
            <w:pPr>
              <w:spacing w:after="0"/>
              <w:rPr>
                <w:sz w:val="18"/>
                <w:szCs w:val="18"/>
                <w:color w:val="auto"/>
              </w:rPr>
            </w:pPr>
          </w:p>
        </w:tc>
        <w:tc>
          <w:tcPr>
            <w:tcW w:w="3880" w:type="dxa"/>
            <w:vAlign w:val="bottom"/>
            <w:vMerge w:val="restart"/>
          </w:tcPr>
          <w:p>
            <w:pPr>
              <w:jc w:val="center"/>
              <w:ind w:right="523"/>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1"/>
              </w:rPr>
              <w:t>Symbol(s)</w:t>
            </w:r>
          </w:p>
        </w:tc>
        <w:tc>
          <w:tcPr>
            <w:tcW w:w="3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$0.0001 per share</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TNYA</w:t>
            </w:r>
          </w:p>
        </w:tc>
        <w:tc>
          <w:tcPr>
            <w:tcW w:w="120" w:type="dxa"/>
            <w:vAlign w:val="bottom"/>
            <w:gridSpan w:val="2"/>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880" w:type="dxa"/>
            <w:vAlign w:val="bottom"/>
            <w:tcBorders>
              <w:top w:val="single" w:sz="8" w:color="auto"/>
            </w:tcBorders>
          </w:tcPr>
          <w:p>
            <w:pPr>
              <w:jc w:val="center"/>
              <w:ind w:right="523"/>
              <w:spacing w:after="0"/>
              <w:rPr>
                <w:sz w:val="20"/>
                <w:szCs w:val="20"/>
                <w:color w:val="auto"/>
              </w:rPr>
            </w:pPr>
            <w:r>
              <w:rPr>
                <w:rFonts w:ascii="Arial" w:cs="Arial" w:eastAsia="Arial" w:hAnsi="Arial"/>
                <w:sz w:val="16"/>
                <w:szCs w:val="16"/>
                <w:color w:val="auto"/>
                <w:w w:val="92"/>
              </w:rPr>
              <w:t>Nasdaq Global Select Market</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right="30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0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jc w:val="both"/>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520" w:right="2120"/>
        <w:spacing w:after="0" w:line="25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1, 2021, the registrant had 41,281,210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240030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60" w:type="dxa"/>
            <w:vAlign w:val="bottom"/>
            <w:gridSpan w:val="7"/>
          </w:tcPr>
          <w:p>
            <w:pPr>
              <w:ind w:left="74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r>
      <w:tr>
        <w:trPr>
          <w:trHeight w:val="445"/>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w:t>
            </w:r>
          </w:p>
        </w:tc>
      </w:tr>
      <w:tr>
        <w:trPr>
          <w:trHeight w:val="183"/>
        </w:trPr>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60" w:type="dxa"/>
            <w:vAlign w:val="bottom"/>
            <w:tcBorders>
              <w:bottom w:val="single" w:sz="8" w:color="0000EE"/>
            </w:tcBorders>
            <w:gridSpan w:val="4"/>
          </w:tcPr>
          <w:p>
            <w:pPr>
              <w:spacing w:after="0" w:line="18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I—FINANCIAL INFORMATION</w:t>
              </w:r>
            </w:hyperlink>
          </w:p>
        </w:tc>
        <w:tc>
          <w:tcPr>
            <w:tcW w:w="3200" w:type="dxa"/>
            <w:vAlign w:val="bottom"/>
            <w:gridSpan w:val="3"/>
          </w:tcPr>
          <w:p>
            <w:pPr>
              <w:spacing w:after="0"/>
              <w:rPr>
                <w:sz w:val="15"/>
                <w:szCs w:val="15"/>
                <w:color w:val="auto"/>
              </w:rPr>
            </w:pPr>
          </w:p>
        </w:tc>
        <w:tc>
          <w:tcPr>
            <w:tcW w:w="680" w:type="dxa"/>
            <w:vAlign w:val="bottom"/>
          </w:tcPr>
          <w:p>
            <w:pPr>
              <w:spacing w:after="0"/>
              <w:rPr>
                <w:sz w:val="15"/>
                <w:szCs w:val="15"/>
                <w:color w:val="auto"/>
              </w:rPr>
            </w:pPr>
          </w:p>
        </w:tc>
      </w:tr>
      <w:tr>
        <w:trPr>
          <w:trHeight w:val="439"/>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9"/>
        </w:trPr>
        <w:tc>
          <w:tcPr>
            <w:tcW w:w="100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gridSpan w:val="3"/>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Balance Sheets</w:t>
              </w:r>
            </w:hyperlink>
          </w:p>
        </w:tc>
        <w:tc>
          <w:tcPr>
            <w:tcW w:w="7140" w:type="dxa"/>
            <w:vAlign w:val="bottom"/>
            <w:gridSpan w:val="9"/>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Statements of Operations and Comprehensive Loss</w:t>
              </w:r>
            </w:hyperlink>
          </w:p>
        </w:tc>
        <w:tc>
          <w:tcPr>
            <w:tcW w:w="4800" w:type="dxa"/>
            <w:vAlign w:val="bottom"/>
            <w:gridSpan w:val="4"/>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40" w:type="dxa"/>
            <w:vAlign w:val="bottom"/>
            <w:gridSpan w:val="1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Statements of Convertible Preferred Stock and Stockholders’ Equity (Deficit</w:t>
              </w:r>
            </w:hyperlink>
            <w:r>
              <w:rPr>
                <w:rFonts w:ascii="Arial" w:cs="Arial" w:eastAsia="Arial" w:hAnsi="Arial"/>
                <w:sz w:val="18"/>
                <w:szCs w:val="18"/>
                <w:u w:val="single" w:color="auto"/>
                <w:color w:val="000000"/>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Borders>
              <w:top w:val="single" w:sz="8" w:color="0000EE"/>
            </w:tcBorders>
            <w:gridSpan w:val="1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Statements of Cash Flows</w:t>
              </w:r>
            </w:hyperlink>
          </w:p>
        </w:tc>
        <w:tc>
          <w:tcPr>
            <w:tcW w:w="2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40" w:type="dxa"/>
            <w:vAlign w:val="bottom"/>
            <w:gridSpan w:val="1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Unaudited Condensed 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3100" w:type="dxa"/>
            <w:vAlign w:val="bottom"/>
            <w:gridSpan w:val="2"/>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6"/>
          </w:tcPr>
          <w:p>
            <w:pPr>
              <w:spacing w:after="0"/>
              <w:rPr>
                <w:sz w:val="18"/>
                <w:szCs w:val="18"/>
                <w:color w:val="auto"/>
              </w:rPr>
            </w:pPr>
          </w:p>
        </w:tc>
        <w:tc>
          <w:tcPr>
            <w:tcW w:w="5200" w:type="dxa"/>
            <w:vAlign w:val="bottom"/>
            <w:gridSpan w:val="5"/>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780" w:type="dxa"/>
            <w:vAlign w:val="bottom"/>
            <w:gridSpan w:val="4"/>
          </w:tcPr>
          <w:p>
            <w:pPr>
              <w:ind w:left="1020"/>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II—OTHER INFORMATION</w:t>
              </w:r>
            </w:hyperlink>
          </w:p>
        </w:tc>
        <w:tc>
          <w:tcPr>
            <w:tcW w:w="2120" w:type="dxa"/>
            <w:vAlign w:val="bottom"/>
          </w:tcPr>
          <w:p>
            <w:pPr>
              <w:spacing w:after="0"/>
              <w:rPr>
                <w:sz w:val="17"/>
                <w:szCs w:val="17"/>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3360" w:type="dxa"/>
            <w:vAlign w:val="bottom"/>
            <w:gridSpan w:val="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2840" w:type="dxa"/>
            <w:vAlign w:val="bottom"/>
            <w:tcBorders>
              <w:top w:val="single" w:sz="8" w:color="0000EE"/>
            </w:tcBorders>
            <w:gridSpan w:val="2"/>
          </w:tcPr>
          <w:p>
            <w:pPr>
              <w:spacing w:after="0"/>
              <w:rPr>
                <w:sz w:val="18"/>
                <w:szCs w:val="18"/>
                <w:color w:val="auto"/>
              </w:rPr>
            </w:pPr>
          </w:p>
        </w:tc>
        <w:tc>
          <w:tcPr>
            <w:tcW w:w="19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8"/>
                <w:szCs w:val="18"/>
                <w:color w:val="auto"/>
              </w:rPr>
            </w:pPr>
          </w:p>
        </w:tc>
        <w:tc>
          <w:tcPr>
            <w:tcW w:w="6780" w:type="dxa"/>
            <w:vAlign w:val="bottom"/>
            <w:gridSpan w:val="6"/>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Unregistered Sales of Equity Securities and Use of Proceeds</w:t>
              </w:r>
            </w:hyperlink>
          </w:p>
        </w:tc>
        <w:tc>
          <w:tcPr>
            <w:tcW w:w="3760" w:type="dxa"/>
            <w:vAlign w:val="bottom"/>
            <w:gridSpan w:val="2"/>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Defaults Upon Senior Securities</w:t>
              </w:r>
            </w:hyperlink>
          </w:p>
        </w:tc>
        <w:tc>
          <w:tcPr>
            <w:tcW w:w="5780" w:type="dxa"/>
            <w:vAlign w:val="bottom"/>
            <w:gridSpan w:val="4"/>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92">
              <w:r>
                <w:rPr>
                  <w:rFonts w:ascii="Arial" w:cs="Arial" w:eastAsia="Arial" w:hAnsi="Arial"/>
                  <w:sz w:val="18"/>
                  <w:szCs w:val="18"/>
                  <w:color w:val="0000EE"/>
                  <w:w w:val="91"/>
                </w:rPr>
                <w:t>Mine Safety Disclosures</w:t>
              </w:r>
            </w:hyperlink>
          </w:p>
        </w:tc>
        <w:tc>
          <w:tcPr>
            <w:tcW w:w="6340" w:type="dxa"/>
            <w:vAlign w:val="bottom"/>
            <w:gridSpan w:val="5"/>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8120" w:type="dxa"/>
            <w:vAlign w:val="bottom"/>
            <w:gridSpan w:val="11"/>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Other Information</w:t>
              </w:r>
            </w:hyperlink>
          </w:p>
        </w:tc>
        <w:tc>
          <w:tcPr>
            <w:tcW w:w="21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Exhibits</w:t>
              </w:r>
            </w:hyperlink>
          </w:p>
        </w:tc>
        <w:tc>
          <w:tcPr>
            <w:tcW w:w="6800" w:type="dxa"/>
            <w:vAlign w:val="bottom"/>
            <w:gridSpan w:val="7"/>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520" w:type="dxa"/>
            <w:vAlign w:val="bottom"/>
            <w:gridSpan w:val="9"/>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09"/>
        </w:trPr>
        <w:tc>
          <w:tcPr>
            <w:tcW w:w="9120" w:type="dxa"/>
            <w:vAlign w:val="bottom"/>
            <w:gridSpan w:val="12"/>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SIGNATURES</w:t>
              </w:r>
            </w:hyperlink>
          </w:p>
        </w:tc>
        <w:tc>
          <w:tcPr>
            <w:tcW w:w="21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1000"/>
        </w:trPr>
        <w:tc>
          <w:tcPr>
            <w:tcW w:w="100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ind w:left="3080"/>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337" w:lineRule="exact"/>
        <w:rPr>
          <w:sz w:val="20"/>
          <w:szCs w:val="20"/>
          <w:color w:val="auto"/>
        </w:rPr>
      </w:pPr>
    </w:p>
    <w:p>
      <w:pPr>
        <w:ind w:right="200" w:firstLine="510"/>
        <w:spacing w:after="0" w:line="272" w:lineRule="auto"/>
        <w:rPr>
          <w:sz w:val="20"/>
          <w:szCs w:val="20"/>
          <w:color w:val="auto"/>
        </w:rPr>
      </w:pPr>
      <w:r>
        <w:rPr>
          <w:rFonts w:ascii="Arial" w:cs="Arial" w:eastAsia="Arial" w:hAnsi="Arial"/>
          <w:sz w:val="17"/>
          <w:szCs w:val="17"/>
          <w:color w:val="231F20"/>
        </w:rPr>
        <w:t>This Quarterly Report on Form 10-Q, or Quarterly Report, contains forward-looking statements. All statements other than statements of historical facts contained in this Quarterly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These forward-looking statements include, but are not limited to, statements about:</w:t>
      </w:r>
    </w:p>
    <w:p>
      <w:pPr>
        <w:spacing w:after="0" w:line="69" w:lineRule="exact"/>
        <w:rPr>
          <w:sz w:val="20"/>
          <w:szCs w:val="20"/>
          <w:color w:val="auto"/>
        </w:rPr>
      </w:pPr>
    </w:p>
    <w:p>
      <w:pPr>
        <w:ind w:left="880" w:right="120" w:hanging="373"/>
        <w:spacing w:after="0" w:line="277" w:lineRule="auto"/>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ability of our preclinical studies and planned clinical trials to demonstrate safety and efficacy of our product candidates, and other positive results;</w:t>
      </w:r>
    </w:p>
    <w:p>
      <w:pPr>
        <w:spacing w:after="0" w:line="62" w:lineRule="exact"/>
        <w:rPr>
          <w:rFonts w:ascii="Arial" w:cs="Arial" w:eastAsia="Arial" w:hAnsi="Arial"/>
          <w:sz w:val="18"/>
          <w:szCs w:val="18"/>
          <w:color w:val="231F20"/>
        </w:rPr>
      </w:pPr>
    </w:p>
    <w:p>
      <w:pPr>
        <w:ind w:left="880" w:right="40" w:hanging="373"/>
        <w:spacing w:after="0" w:line="277" w:lineRule="auto"/>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timing, progress and results of preclinical studies and planned clinical trials for our current product candidates and other product candidates we may develop;</w:t>
      </w:r>
    </w:p>
    <w:p>
      <w:pPr>
        <w:spacing w:after="0" w:line="62" w:lineRule="exact"/>
        <w:rPr>
          <w:rFonts w:ascii="Arial" w:cs="Arial" w:eastAsia="Arial" w:hAnsi="Arial"/>
          <w:sz w:val="18"/>
          <w:szCs w:val="18"/>
          <w:color w:val="231F20"/>
        </w:rPr>
      </w:pPr>
    </w:p>
    <w:p>
      <w:pPr>
        <w:ind w:left="880" w:right="80" w:hanging="373"/>
        <w:spacing w:after="0" w:line="263" w:lineRule="auto"/>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timing, scope and likelihood of regulatory filings and approvals, including timing of investigational new drugs (“INDs”), clinical trial applications (“CTAs”), Food and Drug Administration (“FDA”) approvals, and final regulatory approval of our current product candidates and any other future product candidates;</w:t>
      </w:r>
    </w:p>
    <w:p>
      <w:pPr>
        <w:spacing w:after="0" w:line="75" w:lineRule="exact"/>
        <w:rPr>
          <w:rFonts w:ascii="Arial" w:cs="Arial" w:eastAsia="Arial" w:hAnsi="Arial"/>
          <w:sz w:val="18"/>
          <w:szCs w:val="18"/>
          <w:color w:val="231F20"/>
        </w:rPr>
      </w:pPr>
    </w:p>
    <w:p>
      <w:pPr>
        <w:ind w:left="880" w:hanging="373"/>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ability to develop and advance our current product candidates and programs into, and successfully complete, clinical studies;</w:t>
      </w:r>
    </w:p>
    <w:p>
      <w:pPr>
        <w:spacing w:after="0" w:line="130" w:lineRule="exact"/>
        <w:rPr>
          <w:rFonts w:ascii="Arial" w:cs="Arial" w:eastAsia="Arial" w:hAnsi="Arial"/>
          <w:sz w:val="18"/>
          <w:szCs w:val="18"/>
          <w:color w:val="231F20"/>
        </w:rPr>
      </w:pPr>
    </w:p>
    <w:p>
      <w:pPr>
        <w:ind w:left="880" w:hanging="373"/>
        <w:spacing w:after="0"/>
        <w:tabs>
          <w:tab w:leader="none" w:pos="880" w:val="left"/>
        </w:tabs>
        <w:numPr>
          <w:ilvl w:val="0"/>
          <w:numId w:val="3"/>
        </w:numPr>
        <w:rPr>
          <w:rFonts w:ascii="Arial" w:cs="Arial" w:eastAsia="Arial" w:hAnsi="Arial"/>
          <w:sz w:val="17"/>
          <w:szCs w:val="17"/>
          <w:color w:val="231F20"/>
        </w:rPr>
      </w:pPr>
      <w:r>
        <w:rPr>
          <w:rFonts w:ascii="Arial" w:cs="Arial" w:eastAsia="Arial" w:hAnsi="Arial"/>
          <w:sz w:val="17"/>
          <w:szCs w:val="17"/>
          <w:color w:val="231F20"/>
        </w:rPr>
        <w:t>our manufacturing, commercialization, and marketing capabilities and strategy and the timing of our facilities becoming operational;</w:t>
      </w:r>
    </w:p>
    <w:p>
      <w:pPr>
        <w:spacing w:after="0" w:line="142" w:lineRule="exact"/>
        <w:rPr>
          <w:rFonts w:ascii="Arial" w:cs="Arial" w:eastAsia="Arial" w:hAnsi="Arial"/>
          <w:sz w:val="17"/>
          <w:szCs w:val="17"/>
          <w:color w:val="231F20"/>
        </w:rPr>
      </w:pPr>
    </w:p>
    <w:p>
      <w:pPr>
        <w:ind w:left="880" w:hanging="373"/>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plans relating to commercializing our product candidates, if approved;</w:t>
      </w:r>
    </w:p>
    <w:p>
      <w:pPr>
        <w:spacing w:after="0" w:line="130" w:lineRule="exact"/>
        <w:rPr>
          <w:rFonts w:ascii="Arial" w:cs="Arial" w:eastAsia="Arial" w:hAnsi="Arial"/>
          <w:sz w:val="18"/>
          <w:szCs w:val="18"/>
          <w:color w:val="231F20"/>
        </w:rPr>
      </w:pPr>
    </w:p>
    <w:p>
      <w:pPr>
        <w:ind w:left="880" w:hanging="373"/>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need to hire additional personnel and our ability to attract and retain such personnel;</w:t>
      </w:r>
    </w:p>
    <w:p>
      <w:pPr>
        <w:spacing w:after="0" w:line="130" w:lineRule="exact"/>
        <w:rPr>
          <w:rFonts w:ascii="Arial" w:cs="Arial" w:eastAsia="Arial" w:hAnsi="Arial"/>
          <w:sz w:val="18"/>
          <w:szCs w:val="18"/>
          <w:color w:val="231F20"/>
        </w:rPr>
      </w:pPr>
    </w:p>
    <w:p>
      <w:pPr>
        <w:ind w:left="880" w:hanging="373"/>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competitive position and the success of competing therapies that are or may become available;</w:t>
      </w:r>
    </w:p>
    <w:p>
      <w:pPr>
        <w:spacing w:after="0" w:line="130" w:lineRule="exact"/>
        <w:rPr>
          <w:rFonts w:ascii="Arial" w:cs="Arial" w:eastAsia="Arial" w:hAnsi="Arial"/>
          <w:sz w:val="18"/>
          <w:szCs w:val="18"/>
          <w:color w:val="231F20"/>
        </w:rPr>
      </w:pPr>
    </w:p>
    <w:p>
      <w:pPr>
        <w:ind w:left="880" w:hanging="373"/>
        <w:spacing w:after="0"/>
        <w:tabs>
          <w:tab w:leader="none" w:pos="880" w:val="left"/>
        </w:tabs>
        <w:numPr>
          <w:ilvl w:val="0"/>
          <w:numId w:val="3"/>
        </w:numPr>
        <w:rPr>
          <w:rFonts w:ascii="Arial" w:cs="Arial" w:eastAsia="Arial" w:hAnsi="Arial"/>
          <w:sz w:val="17"/>
          <w:szCs w:val="17"/>
          <w:color w:val="231F20"/>
        </w:rPr>
      </w:pPr>
      <w:r>
        <w:rPr>
          <w:rFonts w:ascii="Arial" w:cs="Arial" w:eastAsia="Arial" w:hAnsi="Arial"/>
          <w:sz w:val="17"/>
          <w:szCs w:val="17"/>
          <w:color w:val="231F20"/>
        </w:rPr>
        <w:t>our plans relating to the further development of our product candidates, including additional indications and targets we may pursue;</w:t>
      </w:r>
    </w:p>
    <w:p>
      <w:pPr>
        <w:spacing w:after="0" w:line="142" w:lineRule="exact"/>
        <w:rPr>
          <w:rFonts w:ascii="Arial" w:cs="Arial" w:eastAsia="Arial" w:hAnsi="Arial"/>
          <w:sz w:val="17"/>
          <w:szCs w:val="17"/>
          <w:color w:val="231F20"/>
        </w:rPr>
      </w:pPr>
    </w:p>
    <w:p>
      <w:pPr>
        <w:ind w:left="880" w:hanging="373"/>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impact of existing laws and regulations and regulatory developments in the United States, Europe and other jurisdictions;</w:t>
      </w:r>
    </w:p>
    <w:p>
      <w:pPr>
        <w:spacing w:after="0" w:line="130" w:lineRule="exact"/>
        <w:rPr>
          <w:rFonts w:ascii="Arial" w:cs="Arial" w:eastAsia="Arial" w:hAnsi="Arial"/>
          <w:sz w:val="18"/>
          <w:szCs w:val="18"/>
          <w:color w:val="231F20"/>
        </w:rPr>
      </w:pPr>
    </w:p>
    <w:p>
      <w:pPr>
        <w:ind w:left="880" w:hanging="373"/>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231F20"/>
        </w:rPr>
        <w:t>our expectations regarding the effects of the COVID-19 pandemic on our business, including our preclinical studies and clinical trials;</w:t>
      </w:r>
    </w:p>
    <w:p>
      <w:pPr>
        <w:spacing w:after="0" w:line="142" w:lineRule="exact"/>
        <w:rPr>
          <w:rFonts w:ascii="Arial" w:cs="Arial" w:eastAsia="Arial" w:hAnsi="Arial"/>
          <w:sz w:val="17"/>
          <w:szCs w:val="17"/>
          <w:color w:val="auto"/>
        </w:rPr>
      </w:pPr>
    </w:p>
    <w:p>
      <w:pPr>
        <w:ind w:left="880" w:hanging="373"/>
        <w:spacing w:after="0" w:line="259" w:lineRule="auto"/>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intellectual property position, including the scope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78" w:lineRule="exact"/>
        <w:rPr>
          <w:rFonts w:ascii="Arial" w:cs="Arial" w:eastAsia="Arial" w:hAnsi="Arial"/>
          <w:sz w:val="18"/>
          <w:szCs w:val="18"/>
          <w:color w:val="231F20"/>
        </w:rPr>
      </w:pPr>
    </w:p>
    <w:p>
      <w:pPr>
        <w:ind w:left="880" w:right="40" w:hanging="373"/>
        <w:spacing w:after="0" w:line="259"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231F20"/>
        </w:rPr>
        <w:t>our continued reliance on third parties to conduct additional preclinical studies and planned clinical trials of our product candidates, and for the development and manufacture of our product candidates for preclinical studies and clinical trials; our ability to obtain, and negotiate favorable terms of, any collaboration, partnership, licensing or other arrangements that may be necessary or desirable to develop, manufacture or commercialize our product candidates;</w:t>
      </w:r>
    </w:p>
    <w:p>
      <w:pPr>
        <w:spacing w:after="0" w:line="78"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62" w:lineRule="exact"/>
        <w:rPr>
          <w:rFonts w:ascii="Arial" w:cs="Arial" w:eastAsia="Arial" w:hAnsi="Arial"/>
          <w:sz w:val="18"/>
          <w:szCs w:val="18"/>
          <w:color w:val="231F20"/>
        </w:rPr>
      </w:pPr>
    </w:p>
    <w:p>
      <w:pPr>
        <w:ind w:left="880" w:hanging="373"/>
        <w:spacing w:after="0"/>
        <w:tabs>
          <w:tab w:leader="none" w:pos="880" w:val="left"/>
        </w:tabs>
        <w:numPr>
          <w:ilvl w:val="0"/>
          <w:numId w:val="3"/>
        </w:numPr>
        <w:rPr>
          <w:rFonts w:ascii="Arial" w:cs="Arial" w:eastAsia="Arial" w:hAnsi="Arial"/>
          <w:sz w:val="16"/>
          <w:szCs w:val="16"/>
          <w:color w:val="231F20"/>
        </w:rPr>
      </w:pPr>
      <w:r>
        <w:rPr>
          <w:rFonts w:ascii="Arial" w:cs="Arial" w:eastAsia="Arial" w:hAnsi="Arial"/>
          <w:sz w:val="16"/>
          <w:szCs w:val="16"/>
          <w:color w:val="231F20"/>
        </w:rPr>
        <w:t>the rate and degree of market acceptance and clinical utility of our current product candidates and other product candidates we may develop;</w:t>
      </w:r>
    </w:p>
    <w:p>
      <w:pPr>
        <w:spacing w:after="0" w:line="153" w:lineRule="exact"/>
        <w:rPr>
          <w:rFonts w:ascii="Arial" w:cs="Arial" w:eastAsia="Arial" w:hAnsi="Arial"/>
          <w:sz w:val="16"/>
          <w:szCs w:val="16"/>
          <w:color w:val="231F20"/>
        </w:rPr>
      </w:pPr>
    </w:p>
    <w:p>
      <w:pPr>
        <w:ind w:left="880" w:hanging="373"/>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estimates regarding expenses, operating losses, future revenue, capital requirements and needs for additional financing;</w:t>
      </w:r>
    </w:p>
    <w:p>
      <w:pPr>
        <w:spacing w:after="0" w:line="130" w:lineRule="exact"/>
        <w:rPr>
          <w:rFonts w:ascii="Arial" w:cs="Arial" w:eastAsia="Arial" w:hAnsi="Arial"/>
          <w:sz w:val="18"/>
          <w:szCs w:val="18"/>
          <w:color w:val="231F20"/>
        </w:rPr>
      </w:pPr>
    </w:p>
    <w:p>
      <w:pPr>
        <w:ind w:left="880" w:hanging="373"/>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financial performance;</w:t>
      </w:r>
    </w:p>
    <w:p>
      <w:pPr>
        <w:spacing w:after="0" w:line="130" w:lineRule="exact"/>
        <w:rPr>
          <w:rFonts w:ascii="Arial" w:cs="Arial" w:eastAsia="Arial" w:hAnsi="Arial"/>
          <w:sz w:val="18"/>
          <w:szCs w:val="18"/>
          <w:color w:val="231F20"/>
        </w:rPr>
      </w:pPr>
    </w:p>
    <w:p>
      <w:pPr>
        <w:ind w:left="880" w:right="260" w:hanging="373"/>
        <w:spacing w:after="0" w:line="277" w:lineRule="auto"/>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period over which we estimate our existing cash, cash equivalents and investments in marketable securities will be sufficient to fund our future operating expenses and capital expenditure requirements; and</w:t>
      </w:r>
    </w:p>
    <w:p>
      <w:pPr>
        <w:spacing w:after="0" w:line="62" w:lineRule="exact"/>
        <w:rPr>
          <w:rFonts w:ascii="Arial" w:cs="Arial" w:eastAsia="Arial" w:hAnsi="Arial"/>
          <w:sz w:val="18"/>
          <w:szCs w:val="18"/>
          <w:color w:val="231F20"/>
        </w:rPr>
      </w:pPr>
    </w:p>
    <w:p>
      <w:pPr>
        <w:ind w:left="880" w:hanging="373"/>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expectations regarding the period during which we will remain an emerging growth company under the JOBS Act.</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3" w:name="page4"/>
    <w:bookmarkEnd w:id="3"/>
    <w:p>
      <w:pPr>
        <w:ind w:firstLine="510"/>
        <w:spacing w:after="0" w:line="253" w:lineRule="auto"/>
        <w:rPr>
          <w:sz w:val="20"/>
          <w:szCs w:val="20"/>
          <w:color w:val="auto"/>
        </w:rPr>
      </w:pPr>
      <w:r>
        <w:rPr>
          <w:rFonts w:ascii="Arial" w:cs="Arial" w:eastAsia="Arial" w:hAnsi="Arial"/>
          <w:sz w:val="18"/>
          <w:szCs w:val="18"/>
          <w:color w:val="231F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231F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center"/>
              <w:ind w:right="111"/>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117,077</w:t>
            </w:r>
          </w:p>
        </w:tc>
        <w:tc>
          <w:tcPr>
            <w:tcW w:w="18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128,535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 in marketable securities</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30,891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Restricted cash, non-current</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0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10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331,794</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148,161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664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LIABILITIES, CONVERTIBLE PREFERRED STOCK AND</w:t>
            </w:r>
          </w:p>
        </w:tc>
        <w:tc>
          <w:tcPr>
            <w:tcW w:w="10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STOCKHOLDERS’ EQUITY (DEFICIT)</w:t>
            </w:r>
          </w:p>
        </w:tc>
        <w:tc>
          <w:tcPr>
            <w:tcW w:w="10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Accounts payable</w:t>
            </w:r>
          </w:p>
        </w:tc>
        <w:tc>
          <w:tcPr>
            <w:tcW w:w="1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6,171</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Deferred rent and other lease liabilities, current</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140"/>
              <w:spacing w:after="0"/>
              <w:rPr>
                <w:sz w:val="20"/>
                <w:szCs w:val="20"/>
                <w:color w:val="auto"/>
              </w:rPr>
            </w:pPr>
            <w:r>
              <w:rPr>
                <w:rFonts w:ascii="Arial" w:cs="Arial" w:eastAsia="Arial" w:hAnsi="Arial"/>
                <w:sz w:val="18"/>
                <w:szCs w:val="18"/>
                <w:color w:val="auto"/>
              </w:rPr>
              <w:t>Operating lease liabilities, current</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10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Deferred rent and other lease liabilities, non-current</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1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433,112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Notes receivable from stockholders</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664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Accumulated deficit</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(129,382)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(82,812)</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 (deficit)</w:t>
            </w:r>
          </w:p>
        </w:tc>
        <w:tc>
          <w:tcPr>
            <w:tcW w:w="10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303,699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0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331,794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148,161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00" w:type="dxa"/>
            <w:vAlign w:val="bottom"/>
            <w:gridSpan w:val="6"/>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12,944</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8,480</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33,440</w:t>
            </w:r>
          </w:p>
        </w:tc>
        <w:tc>
          <w:tcPr>
            <w:tcW w:w="160" w:type="dxa"/>
            <w:vAlign w:val="bottom"/>
          </w:tcPr>
          <w:p>
            <w:pPr>
              <w:spacing w:after="0"/>
              <w:rPr>
                <w:sz w:val="19"/>
                <w:szCs w:val="19"/>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5,356</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18,300</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46,642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(46,642)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140"/>
              <w:spacing w:after="0"/>
              <w:rPr>
                <w:sz w:val="20"/>
                <w:szCs w:val="20"/>
                <w:color w:val="auto"/>
              </w:rPr>
            </w:pPr>
            <w:r>
              <w:rPr>
                <w:rFonts w:ascii="Arial" w:cs="Arial" w:eastAsia="Arial" w:hAnsi="Arial"/>
                <w:sz w:val="18"/>
                <w:szCs w:val="18"/>
                <w:color w:val="auto"/>
              </w:rPr>
              <w:t>Change in fair value of convertible preferred stock tranche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liability</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income (expense), net</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loss before income tax expense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(46,570)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(18,262)</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(46,570)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Unrealized loss on marketable securities</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(18,285)</w:t>
            </w:r>
          </w:p>
        </w:tc>
        <w:tc>
          <w:tcPr>
            <w:tcW w:w="24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(10,295)</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(46,593)</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(28,077)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 per share,</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26,895,716</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1,000,052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9,808,162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tbl>
      <w:tblPr>
        <w:tblLayout w:type="fixed"/>
        <w:tblInd w:w="0" w:type="dxa"/>
        <w:tblCellMar>
          <w:top w:w="0" w:type="dxa"/>
          <w:left w:w="0" w:type="dxa"/>
          <w:bottom w:w="0" w:type="dxa"/>
          <w:right w:w="0" w:type="dxa"/>
        </w:tblCellMar>
      </w:tblPr>
      <w:tr>
        <w:trPr>
          <w:trHeight w:val="148"/>
        </w:trPr>
        <w:tc>
          <w:tcPr>
            <w:tcW w:w="2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Additional</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Notes</w:t>
            </w: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00" w:type="dxa"/>
            <w:vAlign w:val="bottom"/>
            <w:tcBorders>
              <w:right w:val="single" w:sz="8" w:color="auto"/>
            </w:tcBorders>
            <w:gridSpan w:val="5"/>
            <w:vMerge w:val="restart"/>
          </w:tcPr>
          <w:p>
            <w:pPr>
              <w:jc w:val="right"/>
              <w:ind w:right="240"/>
              <w:spacing w:after="0"/>
              <w:rPr>
                <w:sz w:val="20"/>
                <w:szCs w:val="20"/>
                <w:color w:val="auto"/>
              </w:rPr>
            </w:pPr>
            <w:r>
              <w:rPr>
                <w:rFonts w:ascii="Arial" w:cs="Arial" w:eastAsia="Arial" w:hAnsi="Arial"/>
                <w:sz w:val="14"/>
                <w:szCs w:val="14"/>
                <w:b w:val="1"/>
                <w:bCs w:val="1"/>
                <w:color w:val="auto"/>
                <w:w w:val="93"/>
              </w:rPr>
              <w:t>Convertible Preferred Stock</w:t>
            </w:r>
          </w:p>
        </w:tc>
        <w:tc>
          <w:tcPr>
            <w:tcW w:w="80" w:type="dxa"/>
            <w:vAlign w:val="bottom"/>
          </w:tcPr>
          <w:p>
            <w:pPr>
              <w:spacing w:after="0"/>
              <w:rPr>
                <w:sz w:val="12"/>
                <w:szCs w:val="12"/>
                <w:color w:val="auto"/>
              </w:rPr>
            </w:pPr>
          </w:p>
        </w:tc>
        <w:tc>
          <w:tcPr>
            <w:tcW w:w="1420" w:type="dxa"/>
            <w:vAlign w:val="bottom"/>
            <w:gridSpan w:val="3"/>
            <w:vMerge w:val="restart"/>
          </w:tcPr>
          <w:p>
            <w:pPr>
              <w:jc w:val="right"/>
              <w:ind w:right="25"/>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Receivable</w:t>
            </w:r>
          </w:p>
        </w:tc>
        <w:tc>
          <w:tcPr>
            <w:tcW w:w="1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2000" w:type="dxa"/>
            <w:vAlign w:val="bottom"/>
            <w:tcBorders>
              <w:right w:val="single" w:sz="8" w:color="auto"/>
            </w:tcBorders>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from</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5"/>
        </w:trPr>
        <w:tc>
          <w:tcPr>
            <w:tcW w:w="226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8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Borders>
              <w:bottom w:val="single" w:sz="8" w:color="CFF0FC"/>
              <w:right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0"/>
              <w:spacing w:after="0" w:line="155"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0"/>
              </w:rPr>
              <w:t>Stockholders</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40"/>
              <w:spacing w:after="0" w:line="155" w:lineRule="exact"/>
              <w:rPr>
                <w:sz w:val="20"/>
                <w:szCs w:val="20"/>
                <w:color w:val="auto"/>
              </w:rPr>
            </w:pPr>
            <w:r>
              <w:rPr>
                <w:rFonts w:ascii="Arial" w:cs="Arial" w:eastAsia="Arial" w:hAnsi="Arial"/>
                <w:sz w:val="14"/>
                <w:szCs w:val="14"/>
                <w:b w:val="1"/>
                <w:bCs w:val="1"/>
                <w:color w:val="auto"/>
                <w:w w:val="85"/>
              </w:rPr>
              <w:t>Loss</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0"/>
              <w:spacing w:after="0" w:line="155" w:lineRule="exact"/>
              <w:rPr>
                <w:sz w:val="20"/>
                <w:szCs w:val="20"/>
                <w:color w:val="auto"/>
              </w:rPr>
            </w:pPr>
            <w:r>
              <w:rPr>
                <w:rFonts w:ascii="Arial" w:cs="Arial" w:eastAsia="Arial" w:hAnsi="Arial"/>
                <w:sz w:val="14"/>
                <w:szCs w:val="14"/>
                <w:b w:val="1"/>
                <w:bCs w:val="1"/>
                <w:color w:val="auto"/>
                <w:w w:val="99"/>
              </w:rPr>
              <w:t>(Deficit)</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260" w:type="dxa"/>
            <w:vAlign w:val="bottom"/>
            <w:shd w:val="clear" w:color="auto" w:fill="CFF0FC"/>
          </w:tcPr>
          <w:p>
            <w:pPr>
              <w:spacing w:after="0"/>
              <w:rPr>
                <w:sz w:val="20"/>
                <w:szCs w:val="20"/>
                <w:color w:val="auto"/>
              </w:rPr>
            </w:pPr>
            <w:r>
              <w:rPr>
                <w:rFonts w:ascii="Arial" w:cs="Arial" w:eastAsia="Arial" w:hAnsi="Arial"/>
                <w:sz w:val="16"/>
                <w:szCs w:val="16"/>
                <w:color w:val="auto"/>
              </w:rPr>
              <w:t>Balance as of January 1, 2021</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24,493,528</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220,754</w:t>
            </w: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1,210,306</w:t>
            </w:r>
          </w:p>
        </w:tc>
        <w:tc>
          <w:tcPr>
            <w:tcW w:w="18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1,584</w:t>
            </w:r>
          </w:p>
        </w:tc>
        <w:tc>
          <w:tcPr>
            <w:tcW w:w="3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(87)</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(82,812)</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(81,315)</w:t>
            </w:r>
          </w:p>
        </w:tc>
        <w:tc>
          <w:tcPr>
            <w:tcW w:w="0" w:type="dxa"/>
            <w:vAlign w:val="bottom"/>
          </w:tcPr>
          <w:p>
            <w:pPr>
              <w:spacing w:after="0"/>
              <w:rPr>
                <w:sz w:val="1"/>
                <w:szCs w:val="1"/>
                <w:color w:val="auto"/>
              </w:rPr>
            </w:pPr>
          </w:p>
        </w:tc>
      </w:tr>
      <w:tr>
        <w:trPr>
          <w:trHeight w:val="206"/>
        </w:trPr>
        <w:tc>
          <w:tcPr>
            <w:tcW w:w="2260" w:type="dxa"/>
            <w:vAlign w:val="bottom"/>
          </w:tcPr>
          <w:p>
            <w:pPr>
              <w:ind w:left="260"/>
              <w:spacing w:after="0"/>
              <w:rPr>
                <w:sz w:val="20"/>
                <w:szCs w:val="20"/>
                <w:color w:val="auto"/>
              </w:rPr>
            </w:pPr>
            <w:r>
              <w:rPr>
                <w:rFonts w:ascii="Arial" w:cs="Arial" w:eastAsia="Arial" w:hAnsi="Arial"/>
                <w:sz w:val="16"/>
                <w:szCs w:val="16"/>
                <w:color w:val="auto"/>
              </w:rPr>
              <w:t>Issuance of Series C</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260"/>
              <w:spacing w:after="0"/>
              <w:rPr>
                <w:sz w:val="20"/>
                <w:szCs w:val="20"/>
                <w:color w:val="auto"/>
              </w:rPr>
            </w:pPr>
            <w:r>
              <w:rPr>
                <w:rFonts w:ascii="Arial" w:cs="Arial" w:eastAsia="Arial" w:hAnsi="Arial"/>
                <w:sz w:val="16"/>
                <w:szCs w:val="16"/>
                <w:color w:val="auto"/>
              </w:rPr>
              <w:t>convertible preferred</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380"/>
              <w:spacing w:after="0"/>
              <w:rPr>
                <w:sz w:val="20"/>
                <w:szCs w:val="20"/>
                <w:color w:val="auto"/>
              </w:rPr>
            </w:pPr>
            <w:r>
              <w:rPr>
                <w:rFonts w:ascii="Arial" w:cs="Arial" w:eastAsia="Arial" w:hAnsi="Arial"/>
                <w:sz w:val="16"/>
                <w:szCs w:val="16"/>
                <w:color w:val="auto"/>
                <w:w w:val="95"/>
              </w:rPr>
              <w:t>stock, net of issuance costs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60" w:type="dxa"/>
            <w:vAlign w:val="bottom"/>
          </w:tcPr>
          <w:p>
            <w:pPr>
              <w:ind w:left="260"/>
              <w:spacing w:after="0"/>
              <w:rPr>
                <w:sz w:val="20"/>
                <w:szCs w:val="20"/>
                <w:color w:val="auto"/>
              </w:rPr>
            </w:pPr>
            <w:r>
              <w:rPr>
                <w:rFonts w:ascii="Arial" w:cs="Arial" w:eastAsia="Arial" w:hAnsi="Arial"/>
                <w:sz w:val="16"/>
                <w:szCs w:val="16"/>
                <w:color w:val="auto"/>
              </w:rPr>
              <w:t>of $20</w:t>
            </w:r>
          </w:p>
        </w:tc>
        <w:tc>
          <w:tcPr>
            <w:tcW w:w="900" w:type="dxa"/>
            <w:vAlign w:val="bottom"/>
          </w:tcPr>
          <w:p>
            <w:pPr>
              <w:jc w:val="right"/>
              <w:spacing w:after="0"/>
              <w:rPr>
                <w:sz w:val="20"/>
                <w:szCs w:val="20"/>
                <w:color w:val="auto"/>
              </w:rPr>
            </w:pPr>
            <w:r>
              <w:rPr>
                <w:rFonts w:ascii="Arial" w:cs="Arial" w:eastAsia="Arial" w:hAnsi="Arial"/>
                <w:sz w:val="16"/>
                <w:szCs w:val="16"/>
                <w:color w:val="auto"/>
              </w:rPr>
              <w:t>1,608,750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19,981</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w:t>
            </w:r>
          </w:p>
        </w:tc>
        <w:tc>
          <w:tcPr>
            <w:tcW w:w="9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upon exercise</w:t>
            </w:r>
          </w:p>
        </w:tc>
        <w:tc>
          <w:tcPr>
            <w:tcW w:w="90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of stock options</w:t>
            </w:r>
          </w:p>
        </w:tc>
        <w:tc>
          <w:tcPr>
            <w:tcW w:w="10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12,508</w:t>
            </w:r>
          </w:p>
        </w:tc>
        <w:tc>
          <w:tcPr>
            <w:tcW w:w="18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260" w:type="dxa"/>
            <w:vAlign w:val="bottom"/>
          </w:tcPr>
          <w:p>
            <w:pPr>
              <w:ind w:left="260"/>
              <w:spacing w:after="0"/>
              <w:rPr>
                <w:sz w:val="20"/>
                <w:szCs w:val="20"/>
                <w:color w:val="auto"/>
              </w:rPr>
            </w:pPr>
            <w:r>
              <w:rPr>
                <w:rFonts w:ascii="Arial" w:cs="Arial" w:eastAsia="Arial" w:hAnsi="Arial"/>
                <w:sz w:val="16"/>
                <w:szCs w:val="16"/>
                <w:color w:val="auto"/>
              </w:rPr>
              <w:t>Repurchase of common</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260"/>
              <w:spacing w:after="0"/>
              <w:rPr>
                <w:sz w:val="20"/>
                <w:szCs w:val="20"/>
                <w:color w:val="auto"/>
              </w:rPr>
            </w:pPr>
            <w:r>
              <w:rPr>
                <w:rFonts w:ascii="Arial" w:cs="Arial" w:eastAsia="Arial" w:hAnsi="Arial"/>
                <w:sz w:val="16"/>
                <w:szCs w:val="16"/>
                <w:color w:val="auto"/>
              </w:rPr>
              <w:t>stock related to</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60" w:type="dxa"/>
            <w:vAlign w:val="bottom"/>
          </w:tcPr>
          <w:p>
            <w:pPr>
              <w:ind w:left="380"/>
              <w:spacing w:after="0"/>
              <w:rPr>
                <w:sz w:val="20"/>
                <w:szCs w:val="20"/>
                <w:color w:val="auto"/>
              </w:rPr>
            </w:pPr>
            <w:r>
              <w:rPr>
                <w:rFonts w:ascii="Arial" w:cs="Arial" w:eastAsia="Arial" w:hAnsi="Arial"/>
                <w:sz w:val="16"/>
                <w:szCs w:val="16"/>
                <w:color w:val="auto"/>
              </w:rPr>
              <w:t>early exercise of options</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(365)</w:t>
            </w:r>
          </w:p>
        </w:tc>
        <w:tc>
          <w:tcPr>
            <w:tcW w:w="4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Vesting of early exercised</w:t>
            </w:r>
          </w:p>
        </w:tc>
        <w:tc>
          <w:tcPr>
            <w:tcW w:w="9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options</w:t>
            </w:r>
          </w:p>
        </w:tc>
        <w:tc>
          <w:tcPr>
            <w:tcW w:w="10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60" w:type="dxa"/>
            <w:vAlign w:val="bottom"/>
          </w:tcPr>
          <w:p>
            <w:pPr>
              <w:ind w:left="260"/>
              <w:spacing w:after="0"/>
              <w:rPr>
                <w:sz w:val="20"/>
                <w:szCs w:val="20"/>
                <w:color w:val="auto"/>
              </w:rPr>
            </w:pPr>
            <w:r>
              <w:rPr>
                <w:rFonts w:ascii="Arial" w:cs="Arial" w:eastAsia="Arial" w:hAnsi="Arial"/>
                <w:sz w:val="16"/>
                <w:szCs w:val="16"/>
                <w:color w:val="auto"/>
              </w:rPr>
              <w:t>Stock-based compensation</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FF0FC"/>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(13,098)</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(13,098)</w:t>
            </w: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rPr>
                <w:sz w:val="20"/>
                <w:szCs w:val="20"/>
                <w:color w:val="auto"/>
              </w:rPr>
            </w:pPr>
            <w:r>
              <w:rPr>
                <w:rFonts w:ascii="Arial" w:cs="Arial" w:eastAsia="Arial" w:hAnsi="Arial"/>
                <w:sz w:val="16"/>
                <w:szCs w:val="16"/>
                <w:color w:val="auto"/>
              </w:rPr>
              <w:t>Balance as of March 31, 2021</w:t>
            </w: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260" w:type="dxa"/>
            <w:vAlign w:val="bottom"/>
            <w:vMerge w:val="continue"/>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26,102,278</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240,735</w:t>
            </w: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1,222,449</w:t>
            </w:r>
          </w:p>
        </w:tc>
        <w:tc>
          <w:tcPr>
            <w:tcW w:w="180" w:type="dxa"/>
            <w:vAlign w:val="bottom"/>
          </w:tcPr>
          <w:p>
            <w:pPr>
              <w:spacing w:after="0"/>
              <w:rPr>
                <w:sz w:val="17"/>
                <w:szCs w:val="17"/>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2,054</w:t>
            </w:r>
          </w:p>
        </w:tc>
        <w:tc>
          <w:tcPr>
            <w:tcW w:w="1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(87)</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(95,910)</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(93,943)</w:t>
            </w:r>
          </w:p>
        </w:tc>
        <w:tc>
          <w:tcPr>
            <w:tcW w:w="0" w:type="dxa"/>
            <w:vAlign w:val="bottom"/>
          </w:tcPr>
          <w:p>
            <w:pPr>
              <w:spacing w:after="0"/>
              <w:rPr>
                <w:sz w:val="1"/>
                <w:szCs w:val="1"/>
                <w:color w:val="auto"/>
              </w:rPr>
            </w:pPr>
          </w:p>
        </w:tc>
      </w:tr>
      <w:tr>
        <w:trPr>
          <w:trHeight w:val="209"/>
        </w:trPr>
        <w:tc>
          <w:tcPr>
            <w:tcW w:w="2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w:t>
            </w:r>
          </w:p>
        </w:tc>
        <w:tc>
          <w:tcPr>
            <w:tcW w:w="9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upon exercise</w:t>
            </w:r>
          </w:p>
        </w:tc>
        <w:tc>
          <w:tcPr>
            <w:tcW w:w="90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of stock options</w:t>
            </w:r>
          </w:p>
        </w:tc>
        <w:tc>
          <w:tcPr>
            <w:tcW w:w="10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12,173</w:t>
            </w:r>
          </w:p>
        </w:tc>
        <w:tc>
          <w:tcPr>
            <w:tcW w:w="18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260" w:type="dxa"/>
            <w:vAlign w:val="bottom"/>
          </w:tcPr>
          <w:p>
            <w:pPr>
              <w:ind w:left="260"/>
              <w:spacing w:after="0"/>
              <w:rPr>
                <w:sz w:val="20"/>
                <w:szCs w:val="20"/>
                <w:color w:val="auto"/>
              </w:rPr>
            </w:pPr>
            <w:r>
              <w:rPr>
                <w:rFonts w:ascii="Arial" w:cs="Arial" w:eastAsia="Arial" w:hAnsi="Arial"/>
                <w:sz w:val="16"/>
                <w:szCs w:val="16"/>
                <w:color w:val="auto"/>
              </w:rPr>
              <w:t>Repurchase of common</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60" w:type="dxa"/>
            <w:vAlign w:val="bottom"/>
          </w:tcPr>
          <w:p>
            <w:pPr>
              <w:ind w:left="260"/>
              <w:spacing w:after="0"/>
              <w:rPr>
                <w:sz w:val="20"/>
                <w:szCs w:val="20"/>
                <w:color w:val="auto"/>
              </w:rPr>
            </w:pPr>
            <w:r>
              <w:rPr>
                <w:rFonts w:ascii="Arial" w:cs="Arial" w:eastAsia="Arial" w:hAnsi="Arial"/>
                <w:sz w:val="16"/>
                <w:szCs w:val="16"/>
                <w:color w:val="auto"/>
              </w:rPr>
              <w:t>stock related to</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60" w:type="dxa"/>
            <w:vAlign w:val="bottom"/>
          </w:tcPr>
          <w:p>
            <w:pPr>
              <w:ind w:left="380"/>
              <w:spacing w:after="0"/>
              <w:rPr>
                <w:sz w:val="20"/>
                <w:szCs w:val="20"/>
                <w:color w:val="auto"/>
              </w:rPr>
            </w:pPr>
            <w:r>
              <w:rPr>
                <w:rFonts w:ascii="Arial" w:cs="Arial" w:eastAsia="Arial" w:hAnsi="Arial"/>
                <w:sz w:val="16"/>
                <w:szCs w:val="16"/>
                <w:color w:val="auto"/>
              </w:rPr>
              <w:t>early exercise of options</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(11,980)</w:t>
            </w:r>
          </w:p>
        </w:tc>
        <w:tc>
          <w:tcPr>
            <w:tcW w:w="4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Vesting of early exercised</w:t>
            </w:r>
          </w:p>
        </w:tc>
        <w:tc>
          <w:tcPr>
            <w:tcW w:w="9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options</w:t>
            </w:r>
          </w:p>
        </w:tc>
        <w:tc>
          <w:tcPr>
            <w:tcW w:w="10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260" w:type="dxa"/>
            <w:vAlign w:val="bottom"/>
          </w:tcPr>
          <w:p>
            <w:pPr>
              <w:ind w:left="260"/>
              <w:spacing w:after="0"/>
              <w:rPr>
                <w:sz w:val="20"/>
                <w:szCs w:val="20"/>
                <w:color w:val="auto"/>
              </w:rPr>
            </w:pPr>
            <w:r>
              <w:rPr>
                <w:rFonts w:ascii="Arial" w:cs="Arial" w:eastAsia="Arial" w:hAnsi="Arial"/>
                <w:sz w:val="16"/>
                <w:szCs w:val="16"/>
                <w:color w:val="auto"/>
              </w:rPr>
              <w:t>Notes receivable from</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60" w:type="dxa"/>
            <w:vAlign w:val="bottom"/>
          </w:tcPr>
          <w:p>
            <w:pPr>
              <w:ind w:left="260"/>
              <w:spacing w:after="0"/>
              <w:rPr>
                <w:sz w:val="20"/>
                <w:szCs w:val="20"/>
                <w:color w:val="auto"/>
              </w:rPr>
            </w:pPr>
            <w:r>
              <w:rPr>
                <w:rFonts w:ascii="Arial" w:cs="Arial" w:eastAsia="Arial" w:hAnsi="Arial"/>
                <w:sz w:val="16"/>
                <w:szCs w:val="16"/>
                <w:color w:val="auto"/>
              </w:rPr>
              <w:t>stockholders</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10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60" w:type="dxa"/>
            <w:vAlign w:val="bottom"/>
          </w:tcPr>
          <w:p>
            <w:pPr>
              <w:ind w:left="260"/>
              <w:spacing w:after="0"/>
              <w:rPr>
                <w:sz w:val="20"/>
                <w:szCs w:val="20"/>
                <w:color w:val="auto"/>
              </w:rPr>
            </w:pPr>
            <w:r>
              <w:rPr>
                <w:rFonts w:ascii="Arial" w:cs="Arial" w:eastAsia="Arial" w:hAnsi="Arial"/>
                <w:sz w:val="16"/>
                <w:szCs w:val="16"/>
                <w:color w:val="auto"/>
              </w:rPr>
              <w:t>Net loss</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(15,210)</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(15,210)</w:t>
            </w:r>
          </w:p>
        </w:tc>
        <w:tc>
          <w:tcPr>
            <w:tcW w:w="0" w:type="dxa"/>
            <w:vAlign w:val="bottom"/>
          </w:tcPr>
          <w:p>
            <w:pPr>
              <w:spacing w:after="0"/>
              <w:rPr>
                <w:sz w:val="1"/>
                <w:szCs w:val="1"/>
                <w:color w:val="auto"/>
              </w:rPr>
            </w:pPr>
          </w:p>
        </w:tc>
      </w:tr>
      <w:tr>
        <w:trPr>
          <w:trHeight w:val="20"/>
        </w:trPr>
        <w:tc>
          <w:tcPr>
            <w:tcW w:w="22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as of June 30, 2021</w:t>
            </w: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60" w:type="dxa"/>
            <w:vAlign w:val="bottom"/>
            <w:vMerge w:val="continue"/>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26,102,278</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240,735</w:t>
            </w: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1,222,642</w:t>
            </w:r>
          </w:p>
        </w:tc>
        <w:tc>
          <w:tcPr>
            <w:tcW w:w="18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(111,120)</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(108,536)</w:t>
            </w:r>
          </w:p>
        </w:tc>
        <w:tc>
          <w:tcPr>
            <w:tcW w:w="0" w:type="dxa"/>
            <w:vAlign w:val="bottom"/>
          </w:tcPr>
          <w:p>
            <w:pPr>
              <w:spacing w:after="0"/>
              <w:rPr>
                <w:sz w:val="1"/>
                <w:szCs w:val="1"/>
                <w:color w:val="auto"/>
              </w:rPr>
            </w:pPr>
          </w:p>
        </w:tc>
      </w:tr>
      <w:tr>
        <w:trPr>
          <w:trHeight w:val="206"/>
        </w:trPr>
        <w:tc>
          <w:tcPr>
            <w:tcW w:w="2260" w:type="dxa"/>
            <w:vAlign w:val="bottom"/>
          </w:tcPr>
          <w:p>
            <w:pPr>
              <w:ind w:left="260"/>
              <w:spacing w:after="0"/>
              <w:rPr>
                <w:sz w:val="20"/>
                <w:szCs w:val="20"/>
                <w:color w:val="auto"/>
              </w:rPr>
            </w:pPr>
            <w:r>
              <w:rPr>
                <w:rFonts w:ascii="Arial" w:cs="Arial" w:eastAsia="Arial" w:hAnsi="Arial"/>
                <w:sz w:val="16"/>
                <w:szCs w:val="16"/>
                <w:color w:val="auto"/>
              </w:rPr>
              <w:t>Conversion of convertible</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260"/>
              <w:spacing w:after="0"/>
              <w:rPr>
                <w:sz w:val="20"/>
                <w:szCs w:val="20"/>
                <w:color w:val="auto"/>
              </w:rPr>
            </w:pPr>
            <w:r>
              <w:rPr>
                <w:rFonts w:ascii="Arial" w:cs="Arial" w:eastAsia="Arial" w:hAnsi="Arial"/>
                <w:sz w:val="16"/>
                <w:szCs w:val="16"/>
                <w:color w:val="auto"/>
              </w:rPr>
              <w:t>preferred stock</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380"/>
              <w:spacing w:after="0"/>
              <w:rPr>
                <w:sz w:val="20"/>
                <w:szCs w:val="20"/>
                <w:color w:val="auto"/>
              </w:rPr>
            </w:pPr>
            <w:r>
              <w:rPr>
                <w:rFonts w:ascii="Arial" w:cs="Arial" w:eastAsia="Arial" w:hAnsi="Arial"/>
                <w:sz w:val="16"/>
                <w:szCs w:val="16"/>
                <w:color w:val="auto"/>
              </w:rPr>
              <w:t>to common stock upon</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260"/>
              <w:spacing w:after="0"/>
              <w:rPr>
                <w:sz w:val="20"/>
                <w:szCs w:val="20"/>
                <w:color w:val="auto"/>
              </w:rPr>
            </w:pPr>
            <w:r>
              <w:rPr>
                <w:rFonts w:ascii="Arial" w:cs="Arial" w:eastAsia="Arial" w:hAnsi="Arial"/>
                <w:sz w:val="16"/>
                <w:szCs w:val="16"/>
                <w:color w:val="auto"/>
              </w:rPr>
              <w:t>completion of</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60" w:type="dxa"/>
            <w:vAlign w:val="bottom"/>
          </w:tcPr>
          <w:p>
            <w:pPr>
              <w:ind w:left="380"/>
              <w:spacing w:after="0"/>
              <w:rPr>
                <w:sz w:val="20"/>
                <w:szCs w:val="20"/>
                <w:color w:val="auto"/>
              </w:rPr>
            </w:pPr>
            <w:r>
              <w:rPr>
                <w:rFonts w:ascii="Arial" w:cs="Arial" w:eastAsia="Arial" w:hAnsi="Arial"/>
                <w:sz w:val="16"/>
                <w:szCs w:val="16"/>
                <w:color w:val="auto"/>
              </w:rPr>
              <w:t>initial public offering</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(26,102,278)</w:t>
            </w:r>
          </w:p>
        </w:tc>
        <w:tc>
          <w:tcPr>
            <w:tcW w:w="1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w w:val="96"/>
              </w:rPr>
              <w:t>(240,735)</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26,102,278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240,732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240,735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w:t>
            </w:r>
          </w:p>
        </w:tc>
        <w:tc>
          <w:tcPr>
            <w:tcW w:w="9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upon initial</w:t>
            </w:r>
          </w:p>
        </w:tc>
        <w:tc>
          <w:tcPr>
            <w:tcW w:w="90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public offering, net of</w:t>
            </w:r>
          </w:p>
        </w:tc>
        <w:tc>
          <w:tcPr>
            <w:tcW w:w="90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costs</w:t>
            </w:r>
          </w:p>
        </w:tc>
        <w:tc>
          <w:tcPr>
            <w:tcW w:w="90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of $18,459</w:t>
            </w:r>
          </w:p>
        </w:tc>
        <w:tc>
          <w:tcPr>
            <w:tcW w:w="10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13,800,000</w:t>
            </w:r>
          </w:p>
        </w:tc>
        <w:tc>
          <w:tcPr>
            <w:tcW w:w="18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188,540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188,541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260" w:type="dxa"/>
            <w:vAlign w:val="bottom"/>
          </w:tcPr>
          <w:p>
            <w:pPr>
              <w:ind w:left="260"/>
              <w:spacing w:after="0"/>
              <w:rPr>
                <w:sz w:val="20"/>
                <w:szCs w:val="20"/>
                <w:color w:val="auto"/>
              </w:rPr>
            </w:pPr>
            <w:r>
              <w:rPr>
                <w:rFonts w:ascii="Arial" w:cs="Arial" w:eastAsia="Arial" w:hAnsi="Arial"/>
                <w:sz w:val="16"/>
                <w:szCs w:val="16"/>
                <w:color w:val="auto"/>
              </w:rPr>
              <w:t>Issuance of common stock</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260"/>
              <w:spacing w:after="0"/>
              <w:rPr>
                <w:sz w:val="20"/>
                <w:szCs w:val="20"/>
                <w:color w:val="auto"/>
              </w:rPr>
            </w:pPr>
            <w:r>
              <w:rPr>
                <w:rFonts w:ascii="Arial" w:cs="Arial" w:eastAsia="Arial" w:hAnsi="Arial"/>
                <w:sz w:val="16"/>
                <w:szCs w:val="16"/>
                <w:color w:val="auto"/>
              </w:rPr>
              <w:t>upon exercise</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60" w:type="dxa"/>
            <w:vAlign w:val="bottom"/>
          </w:tcPr>
          <w:p>
            <w:pPr>
              <w:ind w:left="380"/>
              <w:spacing w:after="0"/>
              <w:rPr>
                <w:sz w:val="20"/>
                <w:szCs w:val="20"/>
                <w:color w:val="auto"/>
              </w:rPr>
            </w:pPr>
            <w:r>
              <w:rPr>
                <w:rFonts w:ascii="Arial" w:cs="Arial" w:eastAsia="Arial" w:hAnsi="Arial"/>
                <w:sz w:val="16"/>
                <w:szCs w:val="16"/>
                <w:color w:val="auto"/>
              </w:rPr>
              <w:t>of stock options</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160,096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Repurchase of common</w:t>
            </w:r>
          </w:p>
        </w:tc>
        <w:tc>
          <w:tcPr>
            <w:tcW w:w="9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related to</w:t>
            </w:r>
          </w:p>
        </w:tc>
        <w:tc>
          <w:tcPr>
            <w:tcW w:w="90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early exercise of options</w:t>
            </w:r>
          </w:p>
        </w:tc>
        <w:tc>
          <w:tcPr>
            <w:tcW w:w="10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(4,614)</w:t>
            </w:r>
          </w:p>
        </w:tc>
        <w:tc>
          <w:tcPr>
            <w:tcW w:w="4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260" w:type="dxa"/>
            <w:vAlign w:val="bottom"/>
          </w:tcPr>
          <w:p>
            <w:pPr>
              <w:ind w:left="260"/>
              <w:spacing w:after="0"/>
              <w:rPr>
                <w:sz w:val="20"/>
                <w:szCs w:val="20"/>
                <w:color w:val="auto"/>
              </w:rPr>
            </w:pPr>
            <w:r>
              <w:rPr>
                <w:rFonts w:ascii="Arial" w:cs="Arial" w:eastAsia="Arial" w:hAnsi="Arial"/>
                <w:sz w:val="16"/>
                <w:szCs w:val="16"/>
                <w:color w:val="auto"/>
              </w:rPr>
              <w:t>Vesting of early exercised</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60" w:type="dxa"/>
            <w:vAlign w:val="bottom"/>
          </w:tcPr>
          <w:p>
            <w:pPr>
              <w:ind w:left="260"/>
              <w:spacing w:after="0"/>
              <w:rPr>
                <w:sz w:val="20"/>
                <w:szCs w:val="20"/>
                <w:color w:val="auto"/>
              </w:rPr>
            </w:pPr>
            <w:r>
              <w:rPr>
                <w:rFonts w:ascii="Arial" w:cs="Arial" w:eastAsia="Arial" w:hAnsi="Arial"/>
                <w:sz w:val="16"/>
                <w:szCs w:val="16"/>
                <w:color w:val="auto"/>
              </w:rPr>
              <w:t>stock options</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10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6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2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10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(18,262)</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(18,262)</w:t>
            </w:r>
          </w:p>
        </w:tc>
        <w:tc>
          <w:tcPr>
            <w:tcW w:w="0" w:type="dxa"/>
            <w:vAlign w:val="bottom"/>
          </w:tcPr>
          <w:p>
            <w:pPr>
              <w:spacing w:after="0"/>
              <w:rPr>
                <w:sz w:val="1"/>
                <w:szCs w:val="1"/>
                <w:color w:val="auto"/>
              </w:rPr>
            </w:pPr>
          </w:p>
        </w:tc>
      </w:tr>
      <w:tr>
        <w:trPr>
          <w:trHeight w:val="200"/>
        </w:trPr>
        <w:tc>
          <w:tcPr>
            <w:tcW w:w="2260" w:type="dxa"/>
            <w:vAlign w:val="bottom"/>
          </w:tcPr>
          <w:p>
            <w:pPr>
              <w:spacing w:after="0"/>
              <w:rPr>
                <w:sz w:val="20"/>
                <w:szCs w:val="20"/>
                <w:color w:val="auto"/>
              </w:rPr>
            </w:pPr>
            <w:r>
              <w:rPr>
                <w:rFonts w:ascii="Arial" w:cs="Arial" w:eastAsia="Arial" w:hAnsi="Arial"/>
                <w:sz w:val="16"/>
                <w:szCs w:val="16"/>
                <w:color w:val="auto"/>
              </w:rPr>
              <w:t>Balance as of September 30,</w:t>
            </w: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20"/>
                <w:szCs w:val="20"/>
                <w:color w:val="auto"/>
              </w:rPr>
            </w:pPr>
            <w:r>
              <w:rPr>
                <w:rFonts w:ascii="Arial" w:cs="Arial" w:eastAsia="Arial" w:hAnsi="Arial"/>
                <w:sz w:val="16"/>
                <w:szCs w:val="16"/>
                <w:color w:val="auto"/>
              </w:rPr>
              <w:t>2021</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41,280,402</w:t>
            </w:r>
          </w:p>
        </w:tc>
        <w:tc>
          <w:tcPr>
            <w:tcW w:w="180" w:type="dxa"/>
            <w:vAlign w:val="bottom"/>
          </w:tcPr>
          <w:p>
            <w:pPr>
              <w:spacing w:after="0"/>
              <w:rPr>
                <w:sz w:val="18"/>
                <w:szCs w:val="18"/>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433,112</w:t>
            </w:r>
          </w:p>
        </w:tc>
        <w:tc>
          <w:tcPr>
            <w:tcW w:w="3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(129,382)</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303,699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920" w:type="dxa"/>
            <w:vAlign w:val="bottom"/>
            <w:tcBorders>
              <w:right w:val="single" w:sz="8" w:color="auto"/>
            </w:tcBorders>
            <w:gridSpan w:val="5"/>
            <w:vMerge w:val="restart"/>
          </w:tcPr>
          <w:p>
            <w:pPr>
              <w:ind w:left="160"/>
              <w:spacing w:after="0"/>
              <w:rPr>
                <w:sz w:val="20"/>
                <w:szCs w:val="20"/>
                <w:color w:val="auto"/>
              </w:rPr>
            </w:pPr>
            <w:r>
              <w:rPr>
                <w:rFonts w:ascii="Arial" w:cs="Arial" w:eastAsia="Arial" w:hAnsi="Arial"/>
                <w:sz w:val="14"/>
                <w:szCs w:val="14"/>
                <w:b w:val="1"/>
                <w:bCs w:val="1"/>
                <w:color w:val="auto"/>
              </w:rPr>
              <w:t>Convertible Preferred</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Additional</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Notes</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920" w:type="dxa"/>
            <w:vAlign w:val="bottom"/>
            <w:tcBorders>
              <w:right w:val="single" w:sz="8" w:color="auto"/>
            </w:tcBorders>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restart"/>
          </w:tcPr>
          <w:p>
            <w:pPr>
              <w:jc w:val="right"/>
              <w:ind w:right="5"/>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Receivable</w:t>
            </w:r>
          </w:p>
        </w:tc>
        <w:tc>
          <w:tcPr>
            <w:tcW w:w="180" w:type="dxa"/>
            <w:vAlign w:val="bottom"/>
          </w:tcPr>
          <w:p>
            <w:pPr>
              <w:spacing w:after="0"/>
              <w:rPr>
                <w:sz w:val="12"/>
                <w:szCs w:val="12"/>
                <w:color w:val="auto"/>
              </w:rPr>
            </w:pPr>
          </w:p>
        </w:tc>
        <w:tc>
          <w:tcPr>
            <w:tcW w:w="7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rPr>
              <w:t>Other</w:t>
            </w:r>
          </w:p>
        </w:tc>
        <w:tc>
          <w:tcPr>
            <w:tcW w:w="12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Accumulated</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Stock</w:t>
            </w:r>
          </w:p>
        </w:tc>
        <w:tc>
          <w:tcPr>
            <w:tcW w:w="620" w:type="dxa"/>
            <w:vAlign w:val="bottom"/>
            <w:tcBorders>
              <w:bottom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from</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89"/>
              </w:rPr>
              <w:t>Comprehensive</w:t>
            </w:r>
          </w:p>
        </w:tc>
        <w:tc>
          <w:tcPr>
            <w:tcW w:w="12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5"/>
        </w:trPr>
        <w:tc>
          <w:tcPr>
            <w:tcW w:w="23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FF0FC"/>
              <w:right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0"/>
              <w:spacing w:after="0" w:line="155"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0"/>
              </w:rPr>
              <w:t>Stockholders</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40"/>
              <w:spacing w:after="0" w:line="155"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Deficit</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0"/>
              <w:spacing w:after="0" w:line="155" w:lineRule="exact"/>
              <w:rPr>
                <w:sz w:val="20"/>
                <w:szCs w:val="20"/>
                <w:color w:val="auto"/>
              </w:rPr>
            </w:pPr>
            <w:r>
              <w:rPr>
                <w:rFonts w:ascii="Arial" w:cs="Arial" w:eastAsia="Arial" w:hAnsi="Arial"/>
                <w:sz w:val="14"/>
                <w:szCs w:val="14"/>
                <w:b w:val="1"/>
                <w:bCs w:val="1"/>
                <w:color w:val="auto"/>
                <w:w w:val="99"/>
              </w:rPr>
              <w:t>(Deficit)</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Balance as of January 1, 2020</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11,403,077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73,042</w:t>
            </w:r>
          </w:p>
        </w:tc>
        <w:tc>
          <w:tcPr>
            <w:tcW w:w="2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1,193,488</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w:t>
            </w:r>
          </w:p>
        </w:tc>
        <w:tc>
          <w:tcPr>
            <w:tcW w:w="3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(86)</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32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(44,417)</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(43,739)</w:t>
            </w:r>
          </w:p>
        </w:tc>
        <w:tc>
          <w:tcPr>
            <w:tcW w:w="0" w:type="dxa"/>
            <w:vAlign w:val="bottom"/>
          </w:tcPr>
          <w:p>
            <w:pPr>
              <w:spacing w:after="0"/>
              <w:rPr>
                <w:sz w:val="1"/>
                <w:szCs w:val="1"/>
                <w:color w:val="auto"/>
              </w:rPr>
            </w:pPr>
          </w:p>
        </w:tc>
      </w:tr>
      <w:tr>
        <w:trPr>
          <w:trHeight w:val="206"/>
        </w:trPr>
        <w:tc>
          <w:tcPr>
            <w:tcW w:w="2380" w:type="dxa"/>
            <w:vAlign w:val="bottom"/>
          </w:tcPr>
          <w:p>
            <w:pPr>
              <w:ind w:left="260"/>
              <w:spacing w:after="0"/>
              <w:rPr>
                <w:sz w:val="20"/>
                <w:szCs w:val="20"/>
                <w:color w:val="auto"/>
              </w:rPr>
            </w:pPr>
            <w:r>
              <w:rPr>
                <w:rFonts w:ascii="Arial" w:cs="Arial" w:eastAsia="Arial" w:hAnsi="Arial"/>
                <w:sz w:val="16"/>
                <w:szCs w:val="16"/>
                <w:color w:val="auto"/>
              </w:rPr>
              <w:t>Issuance of Series B</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260"/>
              <w:spacing w:after="0"/>
              <w:rPr>
                <w:sz w:val="20"/>
                <w:szCs w:val="20"/>
                <w:color w:val="auto"/>
              </w:rPr>
            </w:pPr>
            <w:r>
              <w:rPr>
                <w:rFonts w:ascii="Arial" w:cs="Arial" w:eastAsia="Arial" w:hAnsi="Arial"/>
                <w:sz w:val="16"/>
                <w:szCs w:val="16"/>
                <w:color w:val="auto"/>
              </w:rPr>
              <w:t>convertible preferred</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380"/>
              <w:spacing w:after="0"/>
              <w:rPr>
                <w:sz w:val="20"/>
                <w:szCs w:val="20"/>
                <w:color w:val="auto"/>
              </w:rPr>
            </w:pPr>
            <w:r>
              <w:rPr>
                <w:rFonts w:ascii="Arial" w:cs="Arial" w:eastAsia="Arial" w:hAnsi="Arial"/>
                <w:sz w:val="16"/>
                <w:szCs w:val="16"/>
                <w:color w:val="auto"/>
              </w:rPr>
              <w:t>stock, net of issuance costs</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260"/>
              <w:spacing w:after="0"/>
              <w:rPr>
                <w:sz w:val="20"/>
                <w:szCs w:val="20"/>
                <w:color w:val="auto"/>
              </w:rPr>
            </w:pPr>
            <w:r>
              <w:rPr>
                <w:rFonts w:ascii="Arial" w:cs="Arial" w:eastAsia="Arial" w:hAnsi="Arial"/>
                <w:sz w:val="16"/>
                <w:szCs w:val="16"/>
                <w:color w:val="auto"/>
              </w:rPr>
              <w:t>of $23 and</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380"/>
              <w:spacing w:after="0"/>
              <w:rPr>
                <w:sz w:val="20"/>
                <w:szCs w:val="20"/>
                <w:color w:val="auto"/>
              </w:rPr>
            </w:pPr>
            <w:r>
              <w:rPr>
                <w:rFonts w:ascii="Arial" w:cs="Arial" w:eastAsia="Arial" w:hAnsi="Arial"/>
                <w:sz w:val="16"/>
                <w:szCs w:val="16"/>
                <w:color w:val="auto"/>
              </w:rPr>
              <w:t>partial settlement of</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260"/>
              <w:spacing w:after="0"/>
              <w:rPr>
                <w:sz w:val="20"/>
                <w:szCs w:val="20"/>
                <w:color w:val="auto"/>
              </w:rPr>
            </w:pPr>
            <w:r>
              <w:rPr>
                <w:rFonts w:ascii="Arial" w:cs="Arial" w:eastAsia="Arial" w:hAnsi="Arial"/>
                <w:sz w:val="16"/>
                <w:szCs w:val="16"/>
                <w:color w:val="auto"/>
              </w:rPr>
              <w:t>convertible</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380"/>
              <w:spacing w:after="0"/>
              <w:rPr>
                <w:sz w:val="20"/>
                <w:szCs w:val="20"/>
                <w:color w:val="auto"/>
              </w:rPr>
            </w:pPr>
            <w:r>
              <w:rPr>
                <w:rFonts w:ascii="Arial" w:cs="Arial" w:eastAsia="Arial" w:hAnsi="Arial"/>
                <w:sz w:val="16"/>
                <w:szCs w:val="16"/>
                <w:color w:val="auto"/>
              </w:rPr>
              <w:t>preferred stock tranche</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80" w:type="dxa"/>
            <w:vAlign w:val="bottom"/>
          </w:tcPr>
          <w:p>
            <w:pPr>
              <w:ind w:left="260"/>
              <w:spacing w:after="0"/>
              <w:rPr>
                <w:sz w:val="20"/>
                <w:szCs w:val="20"/>
                <w:color w:val="auto"/>
              </w:rPr>
            </w:pPr>
            <w:r>
              <w:rPr>
                <w:rFonts w:ascii="Arial" w:cs="Arial" w:eastAsia="Arial" w:hAnsi="Arial"/>
                <w:sz w:val="16"/>
                <w:szCs w:val="16"/>
                <w:color w:val="auto"/>
              </w:rPr>
              <w:t>liability of $27</w:t>
            </w:r>
          </w:p>
        </w:tc>
        <w:tc>
          <w:tcPr>
            <w:tcW w:w="820" w:type="dxa"/>
            <w:vAlign w:val="bottom"/>
          </w:tcPr>
          <w:p>
            <w:pPr>
              <w:jc w:val="right"/>
              <w:spacing w:after="0"/>
              <w:rPr>
                <w:sz w:val="20"/>
                <w:szCs w:val="20"/>
                <w:color w:val="auto"/>
              </w:rPr>
            </w:pPr>
            <w:r>
              <w:rPr>
                <w:rFonts w:ascii="Arial" w:cs="Arial" w:eastAsia="Arial" w:hAnsi="Arial"/>
                <w:sz w:val="16"/>
                <w:szCs w:val="16"/>
                <w:color w:val="auto"/>
              </w:rPr>
              <w:t>3,086,415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30,671</w:t>
            </w: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upon exercise</w:t>
            </w: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of 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3,333</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80" w:type="dxa"/>
            <w:vAlign w:val="bottom"/>
          </w:tcPr>
          <w:p>
            <w:pPr>
              <w:ind w:left="260"/>
              <w:spacing w:after="0"/>
              <w:rPr>
                <w:sz w:val="20"/>
                <w:szCs w:val="20"/>
                <w:color w:val="auto"/>
              </w:rPr>
            </w:pPr>
            <w:r>
              <w:rPr>
                <w:rFonts w:ascii="Arial" w:cs="Arial" w:eastAsia="Arial" w:hAnsi="Arial"/>
                <w:sz w:val="16"/>
                <w:szCs w:val="16"/>
                <w:color w:val="auto"/>
                <w:w w:val="99"/>
              </w:rPr>
              <w:t>Repurchase of common stock</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260"/>
              <w:spacing w:after="0"/>
              <w:rPr>
                <w:sz w:val="20"/>
                <w:szCs w:val="20"/>
                <w:color w:val="auto"/>
              </w:rPr>
            </w:pPr>
            <w:r>
              <w:rPr>
                <w:rFonts w:ascii="Arial" w:cs="Arial" w:eastAsia="Arial" w:hAnsi="Arial"/>
                <w:sz w:val="16"/>
                <w:szCs w:val="16"/>
                <w:color w:val="auto"/>
              </w:rPr>
              <w:t>related to</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80" w:type="dxa"/>
            <w:vAlign w:val="bottom"/>
          </w:tcPr>
          <w:p>
            <w:pPr>
              <w:ind w:left="380"/>
              <w:spacing w:after="0"/>
              <w:rPr>
                <w:sz w:val="20"/>
                <w:szCs w:val="20"/>
                <w:color w:val="auto"/>
              </w:rPr>
            </w:pPr>
            <w:r>
              <w:rPr>
                <w:rFonts w:ascii="Arial" w:cs="Arial" w:eastAsia="Arial" w:hAnsi="Arial"/>
                <w:sz w:val="16"/>
                <w:szCs w:val="16"/>
                <w:color w:val="auto"/>
              </w:rPr>
              <w:t>early exercise of options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(612)</w:t>
            </w:r>
          </w:p>
        </w:tc>
        <w:tc>
          <w:tcPr>
            <w:tcW w:w="4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Vesting of early exercised</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80" w:type="dxa"/>
            <w:vAlign w:val="bottom"/>
          </w:tcPr>
          <w:p>
            <w:pPr>
              <w:ind w:left="260"/>
              <w:spacing w:after="0"/>
              <w:rPr>
                <w:sz w:val="20"/>
                <w:szCs w:val="20"/>
                <w:color w:val="auto"/>
              </w:rPr>
            </w:pPr>
            <w:r>
              <w:rPr>
                <w:rFonts w:ascii="Arial" w:cs="Arial" w:eastAsia="Arial" w:hAnsi="Arial"/>
                <w:sz w:val="16"/>
                <w:szCs w:val="16"/>
                <w:color w:val="auto"/>
              </w:rPr>
              <w:t>Notes receivable from</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80" w:type="dxa"/>
            <w:vAlign w:val="bottom"/>
          </w:tcPr>
          <w:p>
            <w:pPr>
              <w:ind w:left="260"/>
              <w:spacing w:after="0"/>
              <w:rPr>
                <w:sz w:val="20"/>
                <w:szCs w:val="20"/>
                <w:color w:val="auto"/>
              </w:rPr>
            </w:pPr>
            <w:r>
              <w:rPr>
                <w:rFonts w:ascii="Arial" w:cs="Arial" w:eastAsia="Arial" w:hAnsi="Arial"/>
                <w:sz w:val="16"/>
                <w:szCs w:val="16"/>
                <w:color w:val="auto"/>
              </w:rPr>
              <w:t>stockholders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Net loss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(9,051)</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(9,051)</w:t>
            </w: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as of March 31, 2020</w:t>
            </w: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380" w:type="dxa"/>
            <w:vAlign w:val="bottom"/>
            <w:vMerge w:val="continue"/>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14,489,492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103,713</w:t>
            </w:r>
          </w:p>
        </w:tc>
        <w:tc>
          <w:tcPr>
            <w:tcW w:w="2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1,196,209</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932</w:t>
            </w:r>
          </w:p>
        </w:tc>
        <w:tc>
          <w:tcPr>
            <w:tcW w:w="3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(85)</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32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(53,468)</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(52,621)</w:t>
            </w:r>
          </w:p>
        </w:tc>
        <w:tc>
          <w:tcPr>
            <w:tcW w:w="0" w:type="dxa"/>
            <w:vAlign w:val="bottom"/>
          </w:tcPr>
          <w:p>
            <w:pPr>
              <w:spacing w:after="0"/>
              <w:rPr>
                <w:sz w:val="1"/>
                <w:szCs w:val="1"/>
                <w:color w:val="auto"/>
              </w:rPr>
            </w:pPr>
          </w:p>
        </w:tc>
      </w:tr>
      <w:tr>
        <w:trPr>
          <w:trHeight w:val="206"/>
        </w:trPr>
        <w:tc>
          <w:tcPr>
            <w:tcW w:w="2380" w:type="dxa"/>
            <w:vAlign w:val="bottom"/>
          </w:tcPr>
          <w:p>
            <w:pPr>
              <w:ind w:left="260"/>
              <w:spacing w:after="0"/>
              <w:rPr>
                <w:sz w:val="20"/>
                <w:szCs w:val="20"/>
                <w:color w:val="auto"/>
              </w:rPr>
            </w:pPr>
            <w:r>
              <w:rPr>
                <w:rFonts w:ascii="Arial" w:cs="Arial" w:eastAsia="Arial" w:hAnsi="Arial"/>
                <w:sz w:val="16"/>
                <w:szCs w:val="16"/>
                <w:color w:val="auto"/>
              </w:rPr>
              <w:t>Issuance of common stock</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260"/>
              <w:spacing w:after="0"/>
              <w:rPr>
                <w:sz w:val="20"/>
                <w:szCs w:val="20"/>
                <w:color w:val="auto"/>
              </w:rPr>
            </w:pPr>
            <w:r>
              <w:rPr>
                <w:rFonts w:ascii="Arial" w:cs="Arial" w:eastAsia="Arial" w:hAnsi="Arial"/>
                <w:sz w:val="16"/>
                <w:szCs w:val="16"/>
                <w:color w:val="auto"/>
              </w:rPr>
              <w:t>upon exercise</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80" w:type="dxa"/>
            <w:vAlign w:val="bottom"/>
          </w:tcPr>
          <w:p>
            <w:pPr>
              <w:ind w:left="380"/>
              <w:spacing w:after="0"/>
              <w:rPr>
                <w:sz w:val="20"/>
                <w:szCs w:val="20"/>
                <w:color w:val="auto"/>
              </w:rPr>
            </w:pPr>
            <w:r>
              <w:rPr>
                <w:rFonts w:ascii="Arial" w:cs="Arial" w:eastAsia="Arial" w:hAnsi="Arial"/>
                <w:sz w:val="16"/>
                <w:szCs w:val="16"/>
                <w:color w:val="auto"/>
              </w:rPr>
              <w:t>of stock options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1,793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Vesting of early exercised</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ind w:left="10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(8,731)</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(8,731)</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6"/>
                <w:szCs w:val="16"/>
                <w:color w:val="auto"/>
              </w:rPr>
              <w:t>Balance as of June 30, 2020</w:t>
            </w: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380" w:type="dxa"/>
            <w:vAlign w:val="bottom"/>
            <w:vMerge w:val="continue"/>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14,489,492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103,713</w:t>
            </w: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1,198,002</w:t>
            </w:r>
          </w:p>
        </w:tc>
        <w:tc>
          <w:tcPr>
            <w:tcW w:w="200" w:type="dxa"/>
            <w:vAlign w:val="bottom"/>
          </w:tcPr>
          <w:p>
            <w:pPr>
              <w:spacing w:after="0"/>
              <w:rPr>
                <w:sz w:val="17"/>
                <w:szCs w:val="17"/>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1,130</w:t>
            </w:r>
          </w:p>
        </w:tc>
        <w:tc>
          <w:tcPr>
            <w:tcW w:w="3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(85)</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3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(62,199)</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(61,154)</w:t>
            </w: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Series B</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convertible preferred</w:t>
            </w: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 net of issuance costs</w:t>
            </w: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of $26 and</w:t>
            </w: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settlement of convertible</w:t>
            </w: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preferred stock</w:t>
            </w: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tranche liability of $684</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3,086,415</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31,324</w:t>
            </w:r>
          </w:p>
        </w:tc>
        <w:tc>
          <w:tcPr>
            <w:tcW w:w="2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380" w:type="dxa"/>
            <w:vAlign w:val="bottom"/>
          </w:tcPr>
          <w:p>
            <w:pPr>
              <w:ind w:left="260"/>
              <w:spacing w:after="0"/>
              <w:rPr>
                <w:sz w:val="20"/>
                <w:szCs w:val="20"/>
                <w:color w:val="auto"/>
              </w:rPr>
            </w:pPr>
            <w:r>
              <w:rPr>
                <w:rFonts w:ascii="Arial" w:cs="Arial" w:eastAsia="Arial" w:hAnsi="Arial"/>
                <w:sz w:val="16"/>
                <w:szCs w:val="16"/>
                <w:color w:val="auto"/>
              </w:rPr>
              <w:t>Issuance of common stock</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260"/>
              <w:spacing w:after="0"/>
              <w:rPr>
                <w:sz w:val="20"/>
                <w:szCs w:val="20"/>
                <w:color w:val="auto"/>
              </w:rPr>
            </w:pPr>
            <w:r>
              <w:rPr>
                <w:rFonts w:ascii="Arial" w:cs="Arial" w:eastAsia="Arial" w:hAnsi="Arial"/>
                <w:sz w:val="16"/>
                <w:szCs w:val="16"/>
                <w:color w:val="auto"/>
              </w:rPr>
              <w:t>upon exercise</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80" w:type="dxa"/>
            <w:vAlign w:val="bottom"/>
          </w:tcPr>
          <w:p>
            <w:pPr>
              <w:ind w:left="380"/>
              <w:spacing w:after="0"/>
              <w:rPr>
                <w:sz w:val="20"/>
                <w:szCs w:val="20"/>
                <w:color w:val="auto"/>
              </w:rPr>
            </w:pPr>
            <w:r>
              <w:rPr>
                <w:rFonts w:ascii="Arial" w:cs="Arial" w:eastAsia="Arial" w:hAnsi="Arial"/>
                <w:sz w:val="16"/>
                <w:szCs w:val="16"/>
                <w:color w:val="auto"/>
              </w:rPr>
              <w:t>of stock options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4,583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9"/>
              </w:rPr>
              <w:t>Repurchase of common stock</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related to</w:t>
            </w: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early exercise of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(416)</w:t>
            </w:r>
          </w:p>
        </w:tc>
        <w:tc>
          <w:tcPr>
            <w:tcW w:w="4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380" w:type="dxa"/>
            <w:vAlign w:val="bottom"/>
          </w:tcPr>
          <w:p>
            <w:pPr>
              <w:ind w:left="260"/>
              <w:spacing w:after="0"/>
              <w:rPr>
                <w:sz w:val="20"/>
                <w:szCs w:val="20"/>
                <w:color w:val="auto"/>
              </w:rPr>
            </w:pPr>
            <w:r>
              <w:rPr>
                <w:rFonts w:ascii="Arial" w:cs="Arial" w:eastAsia="Arial" w:hAnsi="Arial"/>
                <w:sz w:val="16"/>
                <w:szCs w:val="16"/>
                <w:color w:val="auto"/>
              </w:rPr>
              <w:t>Vesting of early exercised</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80" w:type="dxa"/>
            <w:vAlign w:val="bottom"/>
          </w:tcPr>
          <w:p>
            <w:pPr>
              <w:ind w:left="260"/>
              <w:spacing w:after="0"/>
              <w:rPr>
                <w:sz w:val="20"/>
                <w:szCs w:val="20"/>
                <w:color w:val="auto"/>
              </w:rPr>
            </w:pPr>
            <w:r>
              <w:rPr>
                <w:rFonts w:ascii="Arial" w:cs="Arial" w:eastAsia="Arial" w:hAnsi="Arial"/>
                <w:sz w:val="16"/>
                <w:szCs w:val="16"/>
                <w:color w:val="auto"/>
              </w:rPr>
              <w:t>stock options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Net loss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(10,295)</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(10,295)</w:t>
            </w: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w w:val="95"/>
              </w:rPr>
              <w:t>Balance as of September 30, 2020</w:t>
            </w: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80" w:type="dxa"/>
            <w:vAlign w:val="bottom"/>
            <w:vMerge w:val="continue"/>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17,575,907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135,037</w:t>
            </w:r>
          </w:p>
        </w:tc>
        <w:tc>
          <w:tcPr>
            <w:tcW w:w="2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1,202,169</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1,351</w:t>
            </w:r>
          </w:p>
        </w:tc>
        <w:tc>
          <w:tcPr>
            <w:tcW w:w="3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(85)</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32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(72,494)</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(71,228)</w:t>
            </w: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6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w w:val="96"/>
              </w:rPr>
              <w:t>Nine Months Ended September 30,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ind w:left="620"/>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gridSpan w:val="2"/>
          </w:tcPr>
          <w:p>
            <w:pPr>
              <w:jc w:val="right"/>
              <w:ind w:right="74"/>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9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76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Net loss</w:t>
            </w:r>
          </w:p>
        </w:tc>
        <w:tc>
          <w:tcPr>
            <w:tcW w:w="172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(46,570)</w:t>
            </w:r>
          </w:p>
        </w:tc>
        <w:tc>
          <w:tcPr>
            <w:tcW w:w="1020" w:type="dxa"/>
            <w:vAlign w:val="bottom"/>
            <w:gridSpan w:val="2"/>
          </w:tcPr>
          <w:p>
            <w:pPr>
              <w:jc w:val="right"/>
              <w:ind w:right="934"/>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(28,077)</w:t>
            </w:r>
          </w:p>
        </w:tc>
        <w:tc>
          <w:tcPr>
            <w:tcW w:w="0" w:type="dxa"/>
            <w:vAlign w:val="bottom"/>
          </w:tcPr>
          <w:p>
            <w:pPr>
              <w:spacing w:after="0"/>
              <w:rPr>
                <w:sz w:val="1"/>
                <w:szCs w:val="1"/>
                <w:color w:val="auto"/>
              </w:rPr>
            </w:pPr>
          </w:p>
        </w:tc>
      </w:tr>
      <w:tr>
        <w:trPr>
          <w:trHeight w:val="162"/>
        </w:trPr>
        <w:tc>
          <w:tcPr>
            <w:tcW w:w="696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7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6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2,170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premium on marketable securities</w:t>
            </w:r>
          </w:p>
        </w:tc>
        <w:tc>
          <w:tcPr>
            <w:tcW w:w="7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96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1,902</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Loss on disposal of property and equipment</w:t>
            </w:r>
          </w:p>
        </w:tc>
        <w:tc>
          <w:tcPr>
            <w:tcW w:w="7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60" w:type="dxa"/>
            <w:vAlign w:val="bottom"/>
          </w:tcPr>
          <w:p>
            <w:pPr>
              <w:ind w:left="260"/>
              <w:spacing w:after="0"/>
              <w:rPr>
                <w:sz w:val="20"/>
                <w:szCs w:val="20"/>
                <w:color w:val="auto"/>
              </w:rPr>
            </w:pPr>
            <w:r>
              <w:rPr>
                <w:rFonts w:ascii="Arial" w:cs="Arial" w:eastAsia="Arial" w:hAnsi="Arial"/>
                <w:sz w:val="14"/>
                <w:szCs w:val="14"/>
                <w:color w:val="auto"/>
              </w:rPr>
              <w:t>Non-cash operating lease expense</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743</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9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 in fair value of convertible preferred stock tranche liability</w:t>
            </w:r>
          </w:p>
        </w:tc>
        <w:tc>
          <w:tcPr>
            <w:tcW w:w="7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2"/>
        </w:trPr>
        <w:tc>
          <w:tcPr>
            <w:tcW w:w="6960" w:type="dxa"/>
            <w:vAlign w:val="bottom"/>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7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(3,029)</w:t>
            </w:r>
          </w:p>
        </w:tc>
        <w:tc>
          <w:tcPr>
            <w:tcW w:w="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60" w:type="dxa"/>
            <w:vAlign w:val="bottom"/>
          </w:tcPr>
          <w:p>
            <w:pPr>
              <w:ind w:left="500"/>
              <w:spacing w:after="0"/>
              <w:rPr>
                <w:sz w:val="20"/>
                <w:szCs w:val="20"/>
                <w:color w:val="auto"/>
              </w:rPr>
            </w:pPr>
            <w:r>
              <w:rPr>
                <w:rFonts w:ascii="Arial" w:cs="Arial" w:eastAsia="Arial" w:hAnsi="Arial"/>
                <w:sz w:val="14"/>
                <w:szCs w:val="14"/>
                <w:color w:val="auto"/>
              </w:rPr>
              <w:t>Other non-current assets</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(3,063)</w:t>
            </w: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62"/>
        </w:trPr>
        <w:tc>
          <w:tcPr>
            <w:tcW w:w="69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7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2,518</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60" w:type="dxa"/>
            <w:vAlign w:val="bottom"/>
          </w:tcPr>
          <w:p>
            <w:pPr>
              <w:ind w:left="500"/>
              <w:spacing w:after="0"/>
              <w:rPr>
                <w:sz w:val="20"/>
                <w:szCs w:val="20"/>
                <w:color w:val="auto"/>
              </w:rPr>
            </w:pPr>
            <w:r>
              <w:rPr>
                <w:rFonts w:ascii="Arial" w:cs="Arial" w:eastAsia="Arial" w:hAnsi="Arial"/>
                <w:sz w:val="14"/>
                <w:szCs w:val="14"/>
                <w:color w:val="auto"/>
              </w:rPr>
              <w:t>Accrued expenses and other current liabilities</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1,729</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Deferred rent and other lease liabilities</w:t>
            </w:r>
          </w:p>
        </w:tc>
        <w:tc>
          <w:tcPr>
            <w:tcW w:w="7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62"/>
        </w:trPr>
        <w:tc>
          <w:tcPr>
            <w:tcW w:w="6960" w:type="dxa"/>
            <w:vAlign w:val="bottom"/>
          </w:tcPr>
          <w:p>
            <w:pPr>
              <w:ind w:left="500"/>
              <w:spacing w:after="0"/>
              <w:rPr>
                <w:sz w:val="20"/>
                <w:szCs w:val="20"/>
                <w:color w:val="auto"/>
              </w:rPr>
            </w:pPr>
            <w:r>
              <w:rPr>
                <w:rFonts w:ascii="Arial" w:cs="Arial" w:eastAsia="Arial" w:hAnsi="Arial"/>
                <w:sz w:val="14"/>
                <w:szCs w:val="14"/>
                <w:color w:val="auto"/>
              </w:rPr>
              <w:t>Operating lease liabilities</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(952)</w:t>
            </w: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9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non-current liabilities</w:t>
            </w:r>
          </w:p>
        </w:tc>
        <w:tc>
          <w:tcPr>
            <w:tcW w:w="7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56"/>
        </w:trPr>
        <w:tc>
          <w:tcPr>
            <w:tcW w:w="6960" w:type="dxa"/>
            <w:vAlign w:val="bottom"/>
            <w:tcBorders>
              <w:bottom w:val="single" w:sz="8" w:color="CFF0FC"/>
            </w:tcBorders>
          </w:tcPr>
          <w:p>
            <w:pPr>
              <w:ind w:left="620"/>
              <w:spacing w:after="0" w:line="155" w:lineRule="exact"/>
              <w:rPr>
                <w:sz w:val="20"/>
                <w:szCs w:val="20"/>
                <w:color w:val="auto"/>
              </w:rPr>
            </w:pPr>
            <w:r>
              <w:rPr>
                <w:rFonts w:ascii="Arial" w:cs="Arial" w:eastAsia="Arial" w:hAnsi="Arial"/>
                <w:sz w:val="14"/>
                <w:szCs w:val="14"/>
                <w:color w:val="auto"/>
              </w:rPr>
              <w:t>Net cash used in operating activities</w:t>
            </w:r>
          </w:p>
        </w:tc>
        <w:tc>
          <w:tcPr>
            <w:tcW w:w="76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(44,465)</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(25,046)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9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7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60" w:type="dxa"/>
            <w:vAlign w:val="bottom"/>
          </w:tcPr>
          <w:p>
            <w:pPr>
              <w:ind w:left="260"/>
              <w:spacing w:after="0"/>
              <w:rPr>
                <w:sz w:val="20"/>
                <w:szCs w:val="20"/>
                <w:color w:val="auto"/>
              </w:rPr>
            </w:pPr>
            <w:r>
              <w:rPr>
                <w:rFonts w:ascii="Arial" w:cs="Arial" w:eastAsia="Arial" w:hAnsi="Arial"/>
                <w:sz w:val="14"/>
                <w:szCs w:val="14"/>
                <w:color w:val="auto"/>
              </w:rPr>
              <w:t>Purchases of property and equipment</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(12,567)</w:t>
            </w: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(1,586)</w:t>
            </w:r>
          </w:p>
        </w:tc>
        <w:tc>
          <w:tcPr>
            <w:tcW w:w="0" w:type="dxa"/>
            <w:vAlign w:val="bottom"/>
          </w:tcPr>
          <w:p>
            <w:pPr>
              <w:spacing w:after="0"/>
              <w:rPr>
                <w:sz w:val="1"/>
                <w:szCs w:val="1"/>
                <w:color w:val="auto"/>
              </w:rPr>
            </w:pPr>
          </w:p>
        </w:tc>
      </w:tr>
      <w:tr>
        <w:trPr>
          <w:trHeight w:val="162"/>
        </w:trPr>
        <w:tc>
          <w:tcPr>
            <w:tcW w:w="69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Purchases of marketable securities</w:t>
            </w:r>
          </w:p>
        </w:tc>
        <w:tc>
          <w:tcPr>
            <w:tcW w:w="7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(163,417)</w:t>
            </w:r>
          </w:p>
        </w:tc>
        <w:tc>
          <w:tcPr>
            <w:tcW w:w="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960" w:type="dxa"/>
            <w:vAlign w:val="bottom"/>
          </w:tcPr>
          <w:p>
            <w:pPr>
              <w:ind w:left="260"/>
              <w:spacing w:after="0"/>
              <w:rPr>
                <w:sz w:val="20"/>
                <w:szCs w:val="20"/>
                <w:color w:val="auto"/>
              </w:rPr>
            </w:pPr>
            <w:r>
              <w:rPr>
                <w:rFonts w:ascii="Arial" w:cs="Arial" w:eastAsia="Arial" w:hAnsi="Arial"/>
                <w:sz w:val="14"/>
                <w:szCs w:val="14"/>
                <w:color w:val="auto"/>
              </w:rPr>
              <w:t>Proceeds from maturities of marketable securities</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960" w:type="dxa"/>
            <w:vAlign w:val="bottom"/>
            <w:tcBorders>
              <w:top w:val="single" w:sz="8" w:color="CFF0FC"/>
            </w:tcBorders>
            <w:shd w:val="clear" w:color="auto" w:fill="CFF0FC"/>
          </w:tcPr>
          <w:p>
            <w:pPr>
              <w:ind w:left="620"/>
              <w:spacing w:after="0" w:line="155" w:lineRule="exact"/>
              <w:rPr>
                <w:sz w:val="20"/>
                <w:szCs w:val="20"/>
                <w:color w:val="auto"/>
              </w:rPr>
            </w:pPr>
            <w:r>
              <w:rPr>
                <w:rFonts w:ascii="Arial" w:cs="Arial" w:eastAsia="Arial" w:hAnsi="Arial"/>
                <w:sz w:val="14"/>
                <w:szCs w:val="14"/>
                <w:color w:val="auto"/>
              </w:rPr>
              <w:t>Net cash (used in) provided by investing activities</w:t>
            </w:r>
          </w:p>
        </w:tc>
        <w:tc>
          <w:tcPr>
            <w:tcW w:w="76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3"/>
              </w:rPr>
              <w:t>(175,984)</w:t>
            </w: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1,167</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96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issuance of Series B convertible preferred stock, net of issuance costs</w:t>
            </w:r>
          </w:p>
        </w:tc>
        <w:tc>
          <w:tcPr>
            <w:tcW w:w="7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61,328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60" w:type="dxa"/>
            <w:vAlign w:val="bottom"/>
          </w:tcPr>
          <w:p>
            <w:pPr>
              <w:ind w:left="260"/>
              <w:spacing w:after="0"/>
              <w:rPr>
                <w:sz w:val="20"/>
                <w:szCs w:val="20"/>
                <w:color w:val="auto"/>
              </w:rPr>
            </w:pPr>
            <w:r>
              <w:rPr>
                <w:rFonts w:ascii="Arial" w:cs="Arial" w:eastAsia="Arial" w:hAnsi="Arial"/>
                <w:sz w:val="14"/>
                <w:szCs w:val="14"/>
                <w:color w:val="auto"/>
              </w:rPr>
              <w:t>Proceeds from issuance of Series C convertible preferred stock, net of issuance costs</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19,981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9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initial public offering, net of issuance costs</w:t>
            </w:r>
          </w:p>
        </w:tc>
        <w:tc>
          <w:tcPr>
            <w:tcW w:w="7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188,605</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960" w:type="dxa"/>
            <w:vAlign w:val="bottom"/>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343</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Repurchases of common stock</w:t>
            </w:r>
          </w:p>
        </w:tc>
        <w:tc>
          <w:tcPr>
            <w:tcW w:w="7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(13)</w:t>
            </w:r>
          </w:p>
        </w:tc>
        <w:tc>
          <w:tcPr>
            <w:tcW w:w="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6960" w:type="dxa"/>
            <w:vAlign w:val="bottom"/>
          </w:tcPr>
          <w:p>
            <w:pPr>
              <w:ind w:left="260"/>
              <w:spacing w:after="0"/>
              <w:rPr>
                <w:sz w:val="20"/>
                <w:szCs w:val="20"/>
                <w:color w:val="auto"/>
              </w:rPr>
            </w:pPr>
            <w:r>
              <w:rPr>
                <w:rFonts w:ascii="Arial" w:cs="Arial" w:eastAsia="Arial" w:hAnsi="Arial"/>
                <w:sz w:val="14"/>
                <w:szCs w:val="14"/>
                <w:color w:val="auto"/>
              </w:rPr>
              <w:t>Proceeds from repayments on notes receivable from stockholders</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75</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960" w:type="dxa"/>
            <w:vAlign w:val="bottom"/>
            <w:tcBorders>
              <w:top w:val="single" w:sz="8" w:color="CFF0FC"/>
            </w:tcBorders>
            <w:shd w:val="clear" w:color="auto" w:fill="CFF0FC"/>
          </w:tcPr>
          <w:p>
            <w:pPr>
              <w:ind w:left="62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76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208,991</w:t>
            </w: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61,344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960" w:type="dxa"/>
            <w:vAlign w:val="bottom"/>
          </w:tcPr>
          <w:p>
            <w:pPr>
              <w:spacing w:after="0" w:line="155" w:lineRule="exact"/>
              <w:rPr>
                <w:sz w:val="20"/>
                <w:szCs w:val="20"/>
                <w:color w:val="auto"/>
              </w:rPr>
            </w:pPr>
            <w:r>
              <w:rPr>
                <w:rFonts w:ascii="Arial" w:cs="Arial" w:eastAsia="Arial" w:hAnsi="Arial"/>
                <w:sz w:val="14"/>
                <w:szCs w:val="14"/>
                <w:color w:val="auto"/>
              </w:rPr>
              <w:t>Net change in cash, cash equivalents and restricted cash</w:t>
            </w: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(11,458)</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37,465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6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and restricted cash at beginning of period</w:t>
            </w:r>
          </w:p>
        </w:tc>
        <w:tc>
          <w:tcPr>
            <w:tcW w:w="760" w:type="dxa"/>
            <w:vAlign w:val="bottom"/>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129,082</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24,271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9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Cash and cash equivalents and restricted cash at end of period</w:t>
            </w:r>
          </w:p>
        </w:tc>
        <w:tc>
          <w:tcPr>
            <w:tcW w:w="76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jc w:val="right"/>
              <w:ind w:right="84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117,624</w:t>
            </w:r>
          </w:p>
        </w:tc>
        <w:tc>
          <w:tcPr>
            <w:tcW w:w="3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jc w:val="right"/>
              <w:ind w:right="934"/>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61,736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96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Components of cash, cash equivalents and restricted cash:</w:t>
            </w:r>
          </w:p>
        </w:tc>
        <w:tc>
          <w:tcPr>
            <w:tcW w:w="7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117,077</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61,337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60" w:type="dxa"/>
            <w:vAlign w:val="bottom"/>
            <w:shd w:val="clear" w:color="auto" w:fill="CFF0FC"/>
          </w:tcPr>
          <w:p>
            <w:pPr>
              <w:spacing w:after="0"/>
              <w:rPr>
                <w:sz w:val="20"/>
                <w:szCs w:val="20"/>
                <w:color w:val="auto"/>
              </w:rPr>
            </w:pPr>
            <w:r>
              <w:rPr>
                <w:rFonts w:ascii="Arial" w:cs="Arial" w:eastAsia="Arial" w:hAnsi="Arial"/>
                <w:sz w:val="14"/>
                <w:szCs w:val="14"/>
                <w:color w:val="auto"/>
              </w:rPr>
              <w:t>Restricted cash, non-current</w:t>
            </w:r>
          </w:p>
        </w:tc>
        <w:tc>
          <w:tcPr>
            <w:tcW w:w="760" w:type="dxa"/>
            <w:vAlign w:val="bottom"/>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547</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9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Cash, cash equivalents and restricted cash</w:t>
            </w:r>
          </w:p>
        </w:tc>
        <w:tc>
          <w:tcPr>
            <w:tcW w:w="76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jc w:val="right"/>
              <w:ind w:right="84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117,624</w:t>
            </w:r>
          </w:p>
        </w:tc>
        <w:tc>
          <w:tcPr>
            <w:tcW w:w="3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jc w:val="right"/>
              <w:ind w:right="934"/>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61,736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96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disclosure of cash operating activities:</w:t>
            </w:r>
          </w:p>
        </w:tc>
        <w:tc>
          <w:tcPr>
            <w:tcW w:w="7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960" w:type="dxa"/>
            <w:vAlign w:val="bottom"/>
          </w:tcPr>
          <w:p>
            <w:pPr>
              <w:ind w:left="260"/>
              <w:spacing w:after="0"/>
              <w:rPr>
                <w:sz w:val="20"/>
                <w:szCs w:val="20"/>
                <w:color w:val="auto"/>
              </w:rPr>
            </w:pPr>
            <w:r>
              <w:rPr>
                <w:rFonts w:ascii="Arial" w:cs="Arial" w:eastAsia="Arial" w:hAnsi="Arial"/>
                <w:sz w:val="14"/>
                <w:szCs w:val="14"/>
                <w:color w:val="auto"/>
              </w:rPr>
              <w:t>Cash paid for leases included in operating cash outflows</w:t>
            </w:r>
          </w:p>
        </w:tc>
        <w:tc>
          <w:tcPr>
            <w:tcW w:w="172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4,423</w:t>
            </w:r>
          </w:p>
        </w:tc>
        <w:tc>
          <w:tcPr>
            <w:tcW w:w="300" w:type="dxa"/>
            <w:vAlign w:val="bottom"/>
          </w:tcPr>
          <w:p>
            <w:pPr>
              <w:spacing w:after="0"/>
              <w:rPr>
                <w:sz w:val="17"/>
                <w:szCs w:val="17"/>
                <w:color w:val="auto"/>
              </w:rPr>
            </w:pPr>
          </w:p>
        </w:tc>
        <w:tc>
          <w:tcPr>
            <w:tcW w:w="1020" w:type="dxa"/>
            <w:vAlign w:val="bottom"/>
            <w:gridSpan w:val="2"/>
          </w:tcPr>
          <w:p>
            <w:pPr>
              <w:jc w:val="right"/>
              <w:ind w:right="934"/>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69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disclosure of non-cash operating activities:</w:t>
            </w:r>
          </w:p>
        </w:tc>
        <w:tc>
          <w:tcPr>
            <w:tcW w:w="760" w:type="dxa"/>
            <w:vAlign w:val="bottom"/>
            <w:tcBorders>
              <w:top w:val="single" w:sz="8" w:color="CFF0FC"/>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960" w:type="dxa"/>
            <w:vAlign w:val="bottom"/>
          </w:tcPr>
          <w:p>
            <w:pPr>
              <w:ind w:left="260"/>
              <w:spacing w:after="0"/>
              <w:rPr>
                <w:sz w:val="20"/>
                <w:szCs w:val="20"/>
                <w:color w:val="auto"/>
              </w:rPr>
            </w:pPr>
            <w:r>
              <w:rPr>
                <w:rFonts w:ascii="Arial" w:cs="Arial" w:eastAsia="Arial" w:hAnsi="Arial"/>
                <w:sz w:val="14"/>
                <w:szCs w:val="14"/>
                <w:color w:val="auto"/>
              </w:rPr>
              <w:t>Lease liability obtained in exchange for right-of-use asset</w:t>
            </w:r>
          </w:p>
        </w:tc>
        <w:tc>
          <w:tcPr>
            <w:tcW w:w="172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8,558</w:t>
            </w:r>
          </w:p>
        </w:tc>
        <w:tc>
          <w:tcPr>
            <w:tcW w:w="300" w:type="dxa"/>
            <w:vAlign w:val="bottom"/>
          </w:tcPr>
          <w:p>
            <w:pPr>
              <w:spacing w:after="0"/>
              <w:rPr>
                <w:sz w:val="17"/>
                <w:szCs w:val="17"/>
                <w:color w:val="auto"/>
              </w:rPr>
            </w:pPr>
          </w:p>
        </w:tc>
        <w:tc>
          <w:tcPr>
            <w:tcW w:w="1020" w:type="dxa"/>
            <w:vAlign w:val="bottom"/>
            <w:gridSpan w:val="2"/>
          </w:tcPr>
          <w:p>
            <w:pPr>
              <w:jc w:val="right"/>
              <w:ind w:right="934"/>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69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760" w:type="dxa"/>
            <w:vAlign w:val="bottom"/>
            <w:tcBorders>
              <w:top w:val="single" w:sz="8" w:color="CFF0FC"/>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960" w:type="dxa"/>
            <w:vAlign w:val="bottom"/>
          </w:tcPr>
          <w:p>
            <w:pPr>
              <w:ind w:left="260"/>
              <w:spacing w:after="0"/>
              <w:rPr>
                <w:sz w:val="20"/>
                <w:szCs w:val="20"/>
                <w:color w:val="auto"/>
              </w:rPr>
            </w:pPr>
            <w:r>
              <w:rPr>
                <w:rFonts w:ascii="Arial" w:cs="Arial" w:eastAsia="Arial" w:hAnsi="Arial"/>
                <w:sz w:val="14"/>
                <w:szCs w:val="14"/>
                <w:color w:val="auto"/>
              </w:rPr>
              <w:t>Conversion of convertible preferred stock to common stock upon completion of initial public offering</w:t>
            </w:r>
          </w:p>
        </w:tc>
        <w:tc>
          <w:tcPr>
            <w:tcW w:w="172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220,754</w:t>
            </w:r>
          </w:p>
        </w:tc>
        <w:tc>
          <w:tcPr>
            <w:tcW w:w="300" w:type="dxa"/>
            <w:vAlign w:val="bottom"/>
          </w:tcPr>
          <w:p>
            <w:pPr>
              <w:spacing w:after="0"/>
              <w:rPr>
                <w:sz w:val="17"/>
                <w:szCs w:val="17"/>
                <w:color w:val="auto"/>
              </w:rPr>
            </w:pPr>
          </w:p>
        </w:tc>
        <w:tc>
          <w:tcPr>
            <w:tcW w:w="1020" w:type="dxa"/>
            <w:vAlign w:val="bottom"/>
            <w:gridSpan w:val="2"/>
          </w:tcPr>
          <w:p>
            <w:pPr>
              <w:jc w:val="right"/>
              <w:ind w:right="934"/>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6960" w:type="dxa"/>
            <w:vAlign w:val="bottom"/>
            <w:tcBorders>
              <w:top w:val="single" w:sz="8" w:color="CFF0FC"/>
            </w:tcBorders>
            <w:shd w:val="clear" w:color="auto" w:fill="CFF0FC"/>
          </w:tcPr>
          <w:p>
            <w:pPr>
              <w:ind w:left="260"/>
              <w:spacing w:after="0" w:line="124" w:lineRule="exact"/>
              <w:rPr>
                <w:sz w:val="20"/>
                <w:szCs w:val="20"/>
                <w:color w:val="auto"/>
              </w:rPr>
            </w:pPr>
            <w:r>
              <w:rPr>
                <w:rFonts w:ascii="Arial" w:cs="Arial" w:eastAsia="Arial" w:hAnsi="Arial"/>
                <w:sz w:val="14"/>
                <w:szCs w:val="14"/>
                <w:color w:val="auto"/>
              </w:rPr>
              <w:t>Offering costs related to initial public offering included in accounts payable and accrued</w:t>
            </w:r>
          </w:p>
        </w:tc>
        <w:tc>
          <w:tcPr>
            <w:tcW w:w="760" w:type="dxa"/>
            <w:vAlign w:val="bottom"/>
            <w:tcBorders>
              <w:top w:val="single" w:sz="8" w:color="CFF0FC"/>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9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expenses and other current liabilities</w:t>
            </w:r>
          </w:p>
        </w:tc>
        <w:tc>
          <w:tcPr>
            <w:tcW w:w="1720" w:type="dxa"/>
            <w:vAlign w:val="bottom"/>
            <w:gridSpan w:val="2"/>
            <w:shd w:val="clear" w:color="auto" w:fill="CFF0FC"/>
          </w:tcPr>
          <w:p>
            <w:pPr>
              <w:jc w:val="right"/>
              <w:ind w:right="8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3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934"/>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Property and equipment included in accounts payable and accrued expenses and other current liabilities</w:t>
            </w:r>
          </w:p>
        </w:tc>
        <w:tc>
          <w:tcPr>
            <w:tcW w:w="7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60" w:type="dxa"/>
            <w:vAlign w:val="bottom"/>
            <w:tcBorders>
              <w:bottom w:val="single" w:sz="8" w:color="CFF0FC"/>
            </w:tcBorders>
            <w:vMerge w:val="continue"/>
          </w:tcPr>
          <w:p>
            <w:pPr>
              <w:spacing w:after="0"/>
              <w:rPr>
                <w:sz w:val="15"/>
                <w:szCs w:val="15"/>
                <w:color w:val="auto"/>
              </w:rPr>
            </w:pPr>
          </w:p>
        </w:tc>
        <w:tc>
          <w:tcPr>
            <w:tcW w:w="76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right"/>
              <w:ind w:right="84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3,677</w:t>
            </w:r>
          </w:p>
        </w:tc>
        <w:tc>
          <w:tcPr>
            <w:tcW w:w="3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934"/>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960" w:type="dxa"/>
            <w:vAlign w:val="bottom"/>
            <w:shd w:val="clear" w:color="auto" w:fill="CFF0FC"/>
          </w:tcPr>
          <w:p>
            <w:pPr>
              <w:ind w:left="260"/>
              <w:spacing w:after="0" w:line="124" w:lineRule="exact"/>
              <w:rPr>
                <w:sz w:val="20"/>
                <w:szCs w:val="20"/>
                <w:color w:val="auto"/>
              </w:rPr>
            </w:pPr>
            <w:r>
              <w:rPr>
                <w:rFonts w:ascii="Arial" w:cs="Arial" w:eastAsia="Arial" w:hAnsi="Arial"/>
                <w:sz w:val="14"/>
                <w:szCs w:val="14"/>
                <w:color w:val="auto"/>
              </w:rPr>
              <w:t>Settlement of convertible preferred stock tranche liability in connection with the issuance of Series B</w:t>
            </w:r>
          </w:p>
        </w:tc>
        <w:tc>
          <w:tcPr>
            <w:tcW w:w="76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9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convertible preferred stock</w:t>
            </w:r>
          </w:p>
        </w:tc>
        <w:tc>
          <w:tcPr>
            <w:tcW w:w="1720" w:type="dxa"/>
            <w:vAlign w:val="bottom"/>
            <w:gridSpan w:val="2"/>
            <w:shd w:val="clear" w:color="auto" w:fill="CFF0FC"/>
          </w:tcPr>
          <w:p>
            <w:pPr>
              <w:jc w:val="right"/>
              <w:ind w:right="8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934"/>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Offering costs related to Series B convertible preferred stock in accrued expenses and other current</w:t>
            </w:r>
          </w:p>
        </w:tc>
        <w:tc>
          <w:tcPr>
            <w:tcW w:w="7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96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960" w:type="dxa"/>
            <w:vAlign w:val="bottom"/>
          </w:tcPr>
          <w:p>
            <w:pPr>
              <w:ind w:left="360"/>
              <w:spacing w:after="0"/>
              <w:rPr>
                <w:sz w:val="20"/>
                <w:szCs w:val="20"/>
                <w:color w:val="auto"/>
              </w:rPr>
            </w:pPr>
            <w:r>
              <w:rPr>
                <w:rFonts w:ascii="Arial" w:cs="Arial" w:eastAsia="Arial" w:hAnsi="Arial"/>
                <w:sz w:val="14"/>
                <w:szCs w:val="14"/>
                <w:color w:val="auto"/>
              </w:rPr>
              <w:t>liabilities</w:t>
            </w:r>
          </w:p>
        </w:tc>
        <w:tc>
          <w:tcPr>
            <w:tcW w:w="172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934"/>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Business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Tenaya Therapeutics, Inc. (the “Company”) was incorporated in the state of Delaware in August 2016 and is headquartered in South San Francisco, California. The Company is a preclinical stage biotechnology company focused on discovering, developing and delivering curative therapies that address the underlying drivers of heart disease. The Company is advancing product candidates from three distinct but interrelated product platforms: gene therapy, cellular regeneration and precision medicine.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In July 2021, the Company’s board of directors approved an amended and restated certificate of incorporation to effect a reverse split of shares of the Company’s common stock, convertible preferred stock, and authorized shares on a 1-for-6 basis (the “Reverse Stock Split”) effective on July 23, 2021. The par value of the common stock and convertible preferred stock was not adjusted as a result of the Reverse Stock Split. All share data, per share data and related information for all periods presented in the accompanying condensed financial statements have been retrospectively adjusted to reflect the effect of the Reverse Stock Split.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 August 3, 2021, the Company completed its initial public offering (“IPO”), at which time the Company issued an aggregate of 13,800,000 shares of its common stock (inclusive of 1,800,000 shares pursuant to the underwriters’ overallotment option) at a price of $15.00 per share. The Company received net proceeds of $188.5 million, after deducting underwriting discounts and commissions of $14.5 million and other offering expenses of $4.0 million. Immediately prior to the completion of the IPO, all of the Company’s outstanding shares of convertible preferred stock automatically converted into 26,102,278 shares of common stock.</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Company has incurred net losses since inception and expects such losses to continue in the future as it conducts research and development activities. As of September 30, 2021, the Company had an accumulated deficit of $129.4 million. The Company incurred a net loss of $46.6 million and $28.1 million during the nine months ended September 30, 2021 and 2020. The Company had $280.5 million of cash, cash equivalents and investments in marketable securities as of September 30, 2021.</w:t>
      </w:r>
    </w:p>
    <w:p>
      <w:pPr>
        <w:spacing w:after="0" w:line="187"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Management recognizes the need to raise additional capital to fully implement its business plan. The Company may seek to raise capital through equity financings, debt financings, license agreements, collaborative agreements or other sources of financing. Management believes that its existing cash, cash equivalents and investments in marketable securities as of September 30, 2021 will be sufficient to fund the Company’s operations for at least the next twelve months following the date these condensed financial statements are filed with the Securities and Exchange Commission (“SEC”).</w:t>
      </w:r>
    </w:p>
    <w:p>
      <w:pPr>
        <w:spacing w:after="0" w:line="261"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The accompanying condensed financial statements have been prepared in accordance with accounting principles generally accepted in the United States of America (“GAAP”) and follow the requirements of the SEC for interim reporting. As permitted under those rules, certain footnotes or other financial information that are normally required by GAAP can be condensed or omitted.</w:t>
      </w:r>
    </w:p>
    <w:p>
      <w:pPr>
        <w:spacing w:after="0" w:line="184"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interim condensed balance sheet as of September 30, 2021, the interim condensed statements of operations and comprehensive loss, convertible preferred stock and stockholders’ equity (deficit) for the three and nine months ended September 30, 2021 and 2020 and the interim condensed statements of cash flows for the nine months ended September 30, 2021 and 2020 are unaudited. These unaudited interim condensed financial statements have been prepared on the same basis as the Company’s annual financial statements and reflect all adjustments (consisting only of normal recurring adjustments) that are necessary for the fair statement of the Company’s financial position, results of operations and cash flows for the interim periods presented. The condensed results of operations for the three and nine months ended September 30, 2021 are not necessarily indicative of the results to be expected for the full year or for any other future annual or interim period. The condensed balance sheet as of December 31, 2020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10" w:name="page11"/>
    <w:bookmarkEnd w:id="10"/>
    <w:p>
      <w:pPr>
        <w:jc w:val="both"/>
        <w:ind w:right="100"/>
        <w:spacing w:after="0" w:line="311" w:lineRule="auto"/>
        <w:rPr>
          <w:sz w:val="20"/>
          <w:szCs w:val="20"/>
          <w:color w:val="auto"/>
        </w:rPr>
      </w:pPr>
      <w:r>
        <w:rPr>
          <w:rFonts w:ascii="Arial" w:cs="Arial" w:eastAsia="Arial" w:hAnsi="Arial"/>
          <w:sz w:val="16"/>
          <w:szCs w:val="16"/>
          <w:color w:val="auto"/>
        </w:rPr>
        <w:t>included herein was derived from the audited financial statements as of that date. These condensed financial statements should be read in conjunction with the Company’s audited financial statements included in the prospectus dated July 29, 2021, that forms a part of the Company's Registration Statements on Form S-1 (File Nos. 333-257820 and 333-258285), as filed with the SEC pursuant to Rule 424 promulgated under the Securities Act of 1933, as amended.</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preparation of condensed financial statements in conformity with GAAP requires management to make estimates and assumptions that affect the reported amounts of assets, liabilities, and the disclosure of contingent assets and liabilities at the date of the condensed financial statements and the reported amounts of expenses during the reporting period. Significant estimates and assumptions made in the accompanying condensed financial statements include, but are not limited to, the fair value of common stock, the valuation of equity-based awards, the useful lives of property and equipment, the fair value of the convertible preferred stock tranche liability, accrued expenses related to research and development activities and the valuation allowance for deferred tax assets. The Company bases its estimates on historical experience, the current economic environment, and on various other assumptions that are believed to be reasonable under the circumstances. Actual results may differ from those estimates or assumptions.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The Company considers all highly liquid investments purchased with an original maturity of three months or less on the date of purchase to be cash equivalents. Cash equivalents primarily consist of money market funds, commercial paper and U.S. government agencies bonds that are stated at fair value.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The Company invests in marketable securities, primarily securities issued by the U.S. government and its agencies, commercial paper and corporate bonds. All marketable securities have been classified as available-for-sale and are carried at estimated fair value as determined based upon quoted market prices or pricing models for similar securities. Management determines the appropriate classification of its marketable debt securities at the time of purchase and reevaluates such designation at each balance sheet date. Unrealized gains and losses are excluded from earnings and are reported as a component of other comprehensive loss. Realized gains and losses and declines in fair value judged to be other than temporary, if any, on available-for-sale securities are included in other income (expense), net. There are no material realized gains or losses on marketable securities for all periods presented. The cost of securities sold is based on the specific-identification method. Interest earned on marketable securities is included in interest income.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color w:val="auto"/>
        </w:rPr>
        <w:t xml:space="preserve">The Company adopted Accounting Standards Codification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on January 1, 2021, as discussed below in the section titled “Recently Adopted Accounting Standards”. Under ASC 842, the Company determines if an arrangement is a lease at inception.</w:t>
      </w:r>
    </w:p>
    <w:p>
      <w:pPr>
        <w:spacing w:after="0" w:line="146"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the rate implicit in the lease in determining the present value of lease payments and, if that rate is not readily determinable, the Company uses its incremental borrowing rate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The Company’s lease terms may include options to extend or terminate the lease when it is reasonably certain that the Company will exercise that option. Lease expense for lease payments is recognized on a straight-line basis over the lease term.</w:t>
      </w:r>
    </w:p>
    <w:p>
      <w:pPr>
        <w:spacing w:after="0" w:line="18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Company’s non-lease components are primarily related to property taxes, insurance, and common area maintenance, which vary based on future outcomes, and are recognized as rent expense when incurred.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Asset Retirement Obligation</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Company records asset retirement obligations (“AROs”) for the estimated cost of removing constructed leasehold improvement assets and restoring the leased premises back to their original condition, at the time when the contractual obligations are incurred. AROs represent the present value of the expected costs for the related restoration activities. The ARO assets and liabilities are recorded in property, plant and equipment and other long-term liabilities, respectively, in the Company’s balance sheets. The Company records accretion expense, which represents the increase in the asset retirement obligations, over the remaining or operational life of the associated leasehold improvements. Accretion expense is recorded as operating expense in the statements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spacing w:after="0" w:line="342" w:lineRule="auto"/>
        <w:rPr>
          <w:sz w:val="20"/>
          <w:szCs w:val="20"/>
          <w:color w:val="auto"/>
        </w:rPr>
      </w:pPr>
      <w:r>
        <w:rPr>
          <w:rFonts w:ascii="Arial" w:cs="Arial" w:eastAsia="Arial" w:hAnsi="Arial"/>
          <w:sz w:val="16"/>
          <w:szCs w:val="16"/>
          <w:color w:val="auto"/>
        </w:rPr>
        <w:t>operations using an accretion rate based on the credit adjusted risk-free interest rate. Changes resulting from revisions to the timing or amount of the original estimate of cash flows are recognized as an increase or a decrease in the asset retirement cost, or income when the asset retirement cost is depleted.</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the Company’s common stock outstanding for the period, without consideration for potential dilutive shares of common stock. As the Company is in a loss position for the periods presented, diluted net loss per share is the same as basic net loss per share, since the effects of potentially dilutive securities are antidilutive. Shares related to early exercised stock options and restricted stock that are subject to repurchase are excluded from the basic and diluted net loss per share calculation until the Company’s repurchase right lapses.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 xml:space="preserve">On January 1, 2021, the Company adopted ASC 842 using the modified retrospective transition method and elected the practical expedients to not reassess whether any expired or existing contracts are or contain leases, carry forward its historical lease classification and not reassess initial direct costs for existing leases. The Company elected to not separate non-lease components from the associated lease components and to not recognize ROU assets and lease liabilities for leases with a term of twelve months or less. Upon adoption of ASC 842, the Company recorded an operating right-of-use asset of $4.6 million, operating lease liabilities of $9.1 million and derecognized deferred rent and other lease liabilities of $4.5 million. Results for the nine months ended September 30, 2021 are presented under ASC 842. Prior period amounts before January 1, 2021 have not been adjusted and continue to be reported in accordance with the Company’s historical accounting under previous lease guidance, </w:t>
      </w:r>
      <w:r>
        <w:rPr>
          <w:rFonts w:ascii="Arial" w:cs="Arial" w:eastAsia="Arial" w:hAnsi="Arial"/>
          <w:sz w:val="16"/>
          <w:szCs w:val="16"/>
          <w:i w:val="1"/>
          <w:iCs w:val="1"/>
          <w:color w:val="auto"/>
        </w:rPr>
        <w:t>ASC 840: Leases (Topic 840)</w:t>
      </w:r>
      <w:r>
        <w:rPr>
          <w:rFonts w:ascii="Arial" w:cs="Arial" w:eastAsia="Arial" w:hAnsi="Arial"/>
          <w:sz w:val="16"/>
          <w:szCs w:val="16"/>
          <w:color w:val="auto"/>
        </w:rPr>
        <w:t>.</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existing incurred loss impairment model with an expected credit loss model. This standard will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to recognize an allowance for credit losses on available-for-sale debt securities rather than the current approach of recording a reduction to the carrying value of the asset. As an emerging growth company, ASU 2016-13 is effective for the Company beginning January 1, 2023. The Company is evaluating the impact of this standard on its financial statements.</w:t>
      </w:r>
    </w:p>
    <w:p>
      <w:pPr>
        <w:spacing w:after="0" w:line="188"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is intended to simplify the accounting for income taxes. This standard eliminates certain exceptions to the approach for intra period tax allocation, the methodology for calculating income taxes in an interim period and the recognition of deferred tax liabilities for outside basis differences. As an emerging growth company, ASU 2019-12 is effective for the Company beginning January 1, 2022. The Company is evaluating the impact of this standard on its financial statements.</w:t>
      </w:r>
    </w:p>
    <w:p>
      <w:pPr>
        <w:spacing w:after="0" w:line="188"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In August 2020, the FASB issued ASU No. 2020-06, Debt—</w:t>
      </w:r>
      <w:r>
        <w:rPr>
          <w:rFonts w:ascii="Arial" w:cs="Arial" w:eastAsia="Arial" w:hAnsi="Arial"/>
          <w:sz w:val="18"/>
          <w:szCs w:val="18"/>
          <w:i w:val="1"/>
          <w:iCs w:val="1"/>
          <w:color w:val="auto"/>
        </w:rPr>
        <w:t>Debt with Conversion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Hedging—Contracts in Entity’s Own Equity (Subtopic 815-40) </w:t>
      </w:r>
      <w:r>
        <w:rPr>
          <w:rFonts w:ascii="Arial" w:cs="Arial" w:eastAsia="Arial" w:hAnsi="Arial"/>
          <w:sz w:val="18"/>
          <w:szCs w:val="18"/>
          <w:color w:val="auto"/>
        </w:rPr>
        <w:t>(“ASU 2020-06”), which is intended to simplify the accounting for convertible debt</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convertible preferred stock. This standard removes the existing guidance in ASC 470-20 that requires companies to account for cash conversion features and beneficial conversion features in equity, separately from the host convertible debt or preferred stock. As an emerging growth company, ASU 2020-06 is effective for the Company beginning January 1, 2024. The Company currently does not expect the adoption of this standard to have a material impact on its financial statements.</w:t>
      </w:r>
    </w:p>
    <w:p>
      <w:pPr>
        <w:spacing w:after="0" w:line="215"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60" w:firstLine="510"/>
        <w:spacing w:after="0" w:line="311" w:lineRule="auto"/>
        <w:rPr>
          <w:sz w:val="20"/>
          <w:szCs w:val="20"/>
          <w:color w:val="auto"/>
        </w:rPr>
      </w:pPr>
      <w:r>
        <w:rPr>
          <w:rFonts w:ascii="Arial" w:cs="Arial" w:eastAsia="Arial" w:hAnsi="Arial"/>
          <w:sz w:val="16"/>
          <w:szCs w:val="16"/>
          <w:color w:val="auto"/>
        </w:rPr>
        <w:t>Financial assets and liabilities are recognized at fair value on a recurring basis.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252"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2" w:name="page13"/>
    <w:bookmarkEnd w:id="12"/>
    <w:p>
      <w:pPr>
        <w:ind w:left="520"/>
        <w:spacing w:after="0"/>
        <w:rPr>
          <w:sz w:val="20"/>
          <w:szCs w:val="20"/>
          <w:color w:val="auto"/>
        </w:rPr>
      </w:pPr>
      <w:r>
        <w:rPr>
          <w:rFonts w:ascii="Arial" w:cs="Arial" w:eastAsia="Arial" w:hAnsi="Arial"/>
          <w:sz w:val="16"/>
          <w:szCs w:val="16"/>
          <w:color w:val="auto"/>
        </w:rPr>
        <w:t>Level 3 - Inputs reflect management’s best estimate of what market participants would use in pricing the asset or liability at the measurement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Consideration is given to the risk inherent in the valuation technique and the risk inherent in the inputs to the model.</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summarize the Company’s financial assets measured at fair value on a recurring basis by level within the fair value hierarchy:</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Valuation</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4"/>
                <w:szCs w:val="14"/>
                <w:b w:val="1"/>
                <w:bCs w:val="1"/>
                <w:color w:val="auto"/>
                <w:w w:val="91"/>
              </w:rPr>
              <w:t>September 30, 2021</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1"/>
                <w:szCs w:val="11"/>
                <w:color w:val="auto"/>
              </w:rPr>
            </w:pPr>
          </w:p>
        </w:tc>
        <w:tc>
          <w:tcPr>
            <w:tcW w:w="132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1"/>
                <w:szCs w:val="11"/>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Hierarchy</w:t>
            </w:r>
          </w:p>
        </w:tc>
        <w:tc>
          <w:tcPr>
            <w:tcW w:w="220" w:type="dxa"/>
            <w:vAlign w:val="bottom"/>
          </w:tcPr>
          <w:p>
            <w:pPr>
              <w:spacing w:after="0"/>
              <w:rPr>
                <w:sz w:val="14"/>
                <w:szCs w:val="14"/>
                <w:color w:val="auto"/>
              </w:rPr>
            </w:pPr>
          </w:p>
        </w:tc>
        <w:tc>
          <w:tcPr>
            <w:tcW w:w="114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Gain</w:t>
            </w:r>
          </w:p>
        </w:tc>
        <w:tc>
          <w:tcPr>
            <w:tcW w:w="30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jc w:val="center"/>
              <w:ind w:left="678"/>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0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140"/>
              <w:spacing w:after="0"/>
              <w:rPr>
                <w:sz w:val="20"/>
                <w:szCs w:val="20"/>
                <w:color w:val="auto"/>
              </w:rPr>
            </w:pPr>
            <w:r>
              <w:rPr>
                <w:rFonts w:ascii="Arial" w:cs="Arial" w:eastAsia="Arial" w:hAnsi="Arial"/>
                <w:sz w:val="18"/>
                <w:szCs w:val="18"/>
                <w:b w:val="1"/>
                <w:bCs w:val="1"/>
                <w:color w:val="auto"/>
              </w:rPr>
              <w:t>Cash equivalents:</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16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6"/>
              </w:rPr>
              <w:t>Level 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68,815</w:t>
            </w:r>
          </w:p>
        </w:tc>
        <w:tc>
          <w:tcPr>
            <w:tcW w:w="4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Level 2</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44,246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Government agencies bonds</w:t>
            </w:r>
          </w:p>
        </w:tc>
        <w:tc>
          <w:tcPr>
            <w:tcW w:w="16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6"/>
              </w:rPr>
              <w:t>Level 2</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140"/>
              <w:spacing w:after="0"/>
              <w:rPr>
                <w:sz w:val="20"/>
                <w:szCs w:val="20"/>
                <w:color w:val="auto"/>
              </w:rPr>
            </w:pPr>
            <w:r>
              <w:rPr>
                <w:rFonts w:ascii="Arial" w:cs="Arial" w:eastAsia="Arial" w:hAnsi="Arial"/>
                <w:sz w:val="18"/>
                <w:szCs w:val="18"/>
                <w:b w:val="1"/>
                <w:bCs w:val="1"/>
                <w:color w:val="auto"/>
              </w:rPr>
              <w:t>Marketable securities:</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U.S. treasuries</w:t>
            </w:r>
          </w:p>
        </w:tc>
        <w:tc>
          <w:tcPr>
            <w:tcW w:w="16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6"/>
              </w:rPr>
              <w:t>Level 1</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40,677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Level 2</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109,095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109,086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Corporate bonds</w:t>
            </w:r>
          </w:p>
        </w:tc>
        <w:tc>
          <w:tcPr>
            <w:tcW w:w="16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6"/>
              </w:rPr>
              <w:t>Level 2</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140"/>
              <w:spacing w:after="0"/>
              <w:rPr>
                <w:sz w:val="20"/>
                <w:szCs w:val="20"/>
                <w:color w:val="auto"/>
              </w:rPr>
            </w:pPr>
            <w:r>
              <w:rPr>
                <w:rFonts w:ascii="Arial" w:cs="Arial" w:eastAsia="Arial" w:hAnsi="Arial"/>
                <w:sz w:val="18"/>
                <w:szCs w:val="18"/>
                <w:color w:val="auto"/>
              </w:rPr>
              <w:t>Government agencies bonds</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Level 2</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4,603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financial assets</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279,487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279,464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400" w:type="dxa"/>
            <w:vAlign w:val="bottom"/>
          </w:tcPr>
          <w:p>
            <w:pPr>
              <w:spacing w:after="0"/>
              <w:rPr>
                <w:sz w:val="24"/>
                <w:szCs w:val="24"/>
                <w:color w:val="auto"/>
              </w:rPr>
            </w:pPr>
          </w:p>
        </w:tc>
        <w:tc>
          <w:tcPr>
            <w:tcW w:w="1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Valuation</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4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1"/>
                <w:szCs w:val="11"/>
                <w:color w:val="auto"/>
              </w:rPr>
            </w:pPr>
          </w:p>
        </w:tc>
        <w:tc>
          <w:tcPr>
            <w:tcW w:w="132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1"/>
                <w:szCs w:val="11"/>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Hierarchy</w:t>
            </w:r>
          </w:p>
        </w:tc>
        <w:tc>
          <w:tcPr>
            <w:tcW w:w="220" w:type="dxa"/>
            <w:vAlign w:val="bottom"/>
          </w:tcPr>
          <w:p>
            <w:pPr>
              <w:spacing w:after="0"/>
              <w:rPr>
                <w:sz w:val="14"/>
                <w:szCs w:val="14"/>
                <w:color w:val="auto"/>
              </w:rPr>
            </w:pPr>
          </w:p>
        </w:tc>
        <w:tc>
          <w:tcPr>
            <w:tcW w:w="114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Gain</w:t>
            </w:r>
          </w:p>
        </w:tc>
        <w:tc>
          <w:tcPr>
            <w:tcW w:w="30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jc w:val="center"/>
              <w:ind w:left="678"/>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0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140"/>
              <w:spacing w:after="0"/>
              <w:rPr>
                <w:sz w:val="20"/>
                <w:szCs w:val="20"/>
                <w:color w:val="auto"/>
              </w:rPr>
            </w:pPr>
            <w:r>
              <w:rPr>
                <w:rFonts w:ascii="Arial" w:cs="Arial" w:eastAsia="Arial" w:hAnsi="Arial"/>
                <w:sz w:val="18"/>
                <w:szCs w:val="18"/>
                <w:b w:val="1"/>
                <w:bCs w:val="1"/>
                <w:color w:val="auto"/>
              </w:rPr>
              <w:t>Cash equivalents:</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16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6"/>
              </w:rPr>
              <w:t>Level 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127,535</w:t>
            </w:r>
          </w:p>
        </w:tc>
        <w:tc>
          <w:tcPr>
            <w:tcW w:w="4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Total financial assets</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127,535</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Money market funds are classified as Level 1 because they are valued using quoted market prices in active markets for identical assets. Financial instruments classified within Level 2 of the fair value hierarchy are valued based on observable inputs or can be derived from non-binding quotes from the Company’s investment managers, which are based on proprietary valuation models of independent pricing services. These models generally use inputs such as observable market data, quoted market prices for similar instruments, or historical pricing trends of a security relative to its peers. To validate the fair value determination provided by its investment managers, the Company reviews the pricing movement in the context of overall market trends and trading information from its investment managers. In addition, the Company considers the inputs and methods used in determining the fair value in order to determine the classification of securities in the fair value hierarchy.</w:t>
      </w:r>
    </w:p>
    <w:p>
      <w:pPr>
        <w:spacing w:after="0" w:line="17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Company believes it is more likely than not that its marketable securities in an unrealized loss position will be held until maturity or the recovery of the cost basis of the investment. To date, the Company has not recorded any impairment charges on marketable securities related to other-than-temporary declines in market value. All available-for-sale marketable securities held as of September 30, 2021 are short-term investments with contractual maturities of less than one year.</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Preferred Stock Tranche Liability</w:t>
      </w:r>
    </w:p>
    <w:p>
      <w:pPr>
        <w:spacing w:after="0" w:line="225"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The Company’s convertible preferred stock tranche liability (see Note 7) was determined based on significant inputs not observable in the market, which represents a Level 3 measurement within the fair value hierarchy. Fair value was calculated using an option pricing model that required significant unobservable inputs supported by little or no market activity. The convertible preferred stock tranche liability is considered a non-contingent forward and the standard forward pricing model was used with the following key assumptions: (a) calculation of an expected term and (b) a risk-free interest rate. On the second and third closings of the Company’s Series B convertible preferred stock financings in March and August 2020, the convertible preferred stock tranche liability was settled and reclassified to Series B convertible preferred stock. Accordingly, there is no convertible preferred stock tranche liability as of September 30, 2021 and December 31, 2020.</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 w:name="page14"/>
    <w:bookmarkEnd w:id="13"/>
    <w:p>
      <w:pPr>
        <w:ind w:right="320" w:firstLine="510"/>
        <w:spacing w:after="0" w:line="277" w:lineRule="auto"/>
        <w:rPr>
          <w:sz w:val="20"/>
          <w:szCs w:val="20"/>
          <w:color w:val="auto"/>
        </w:rPr>
      </w:pPr>
      <w:r>
        <w:rPr>
          <w:rFonts w:ascii="Arial" w:cs="Arial" w:eastAsia="Arial" w:hAnsi="Arial"/>
          <w:sz w:val="18"/>
          <w:szCs w:val="18"/>
          <w:color w:val="auto"/>
        </w:rPr>
        <w:t>The following table summarizes the significant unobservable assumptions used to value the convertible preferred stock tranche liability as of the settlement date of August 24,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24, 2020</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to valuation date (in years)</w:t>
            </w:r>
          </w:p>
        </w:tc>
        <w:tc>
          <w:tcPr>
            <w:tcW w:w="1160" w:type="dxa"/>
            <w:vAlign w:val="bottom"/>
            <w:tcBorders>
              <w:top w:val="single" w:sz="8" w:color="auto"/>
            </w:tcBorders>
            <w:shd w:val="clear" w:color="auto" w:fill="CFF0FC"/>
          </w:tcPr>
          <w:p>
            <w:pPr>
              <w:jc w:val="right"/>
              <w:ind w:right="296"/>
              <w:spacing w:after="0"/>
              <w:rPr>
                <w:sz w:val="20"/>
                <w:szCs w:val="20"/>
                <w:color w:val="auto"/>
              </w:rPr>
            </w:pPr>
            <w:r>
              <w:rPr>
                <w:rFonts w:ascii="Arial" w:cs="Arial" w:eastAsia="Arial" w:hAnsi="Arial"/>
                <w:sz w:val="18"/>
                <w:szCs w:val="18"/>
                <w:color w:val="auto"/>
              </w:rPr>
              <w:t>0.00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Discount rate</w:t>
            </w:r>
          </w:p>
        </w:tc>
        <w:tc>
          <w:tcPr>
            <w:tcW w:w="1160" w:type="dxa"/>
            <w:vAlign w:val="bottom"/>
          </w:tcPr>
          <w:p>
            <w:pPr>
              <w:jc w:val="right"/>
              <w:ind w:right="316"/>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r>
    </w:tbl>
    <w:p>
      <w:pPr>
        <w:spacing w:after="0" w:line="214"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following table summarizes the changes in the estimated fair value of the Company’s convertible preferred stock tranche liability measured on a recurring basis using significant Level 3 inputs: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8"/>
          </w:tcPr>
          <w:p>
            <w:pPr>
              <w:jc w:val="center"/>
              <w:ind w:right="9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8"/>
          </w:tcPr>
          <w:p>
            <w:pPr>
              <w:jc w:val="center"/>
              <w:ind w:right="920"/>
              <w:spacing w:after="0"/>
              <w:rPr>
                <w:sz w:val="20"/>
                <w:szCs w:val="20"/>
                <w:color w:val="auto"/>
              </w:rPr>
            </w:pPr>
            <w:r>
              <w:rPr>
                <w:rFonts w:ascii="Arial" w:cs="Arial" w:eastAsia="Arial" w:hAnsi="Arial"/>
                <w:sz w:val="14"/>
                <w:szCs w:val="14"/>
                <w:b w:val="1"/>
                <w:bCs w:val="1"/>
                <w:color w:val="auto"/>
                <w:w w:val="91"/>
              </w:rPr>
              <w:t>September 30, 2020</w:t>
            </w: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left="218"/>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Change in fair value upon remeasurement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Settlement of convertible preferred stock tranche</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liability on second and third closings of the Series</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 convertible preferred stock</w:t>
            </w:r>
          </w:p>
        </w:tc>
        <w:tc>
          <w:tcPr>
            <w:tcW w:w="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(711)</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820" w:type="dxa"/>
            <w:vAlign w:val="bottom"/>
            <w:gridSpan w:val="2"/>
          </w:tcPr>
          <w:p>
            <w:pPr>
              <w:ind w:left="560"/>
              <w:spacing w:after="0"/>
              <w:rPr>
                <w:sz w:val="20"/>
                <w:szCs w:val="20"/>
                <w:color w:val="auto"/>
              </w:rPr>
            </w:pPr>
            <w:r>
              <w:rPr>
                <w:rFonts w:ascii="Arial" w:cs="Arial" w:eastAsia="Arial" w:hAnsi="Arial"/>
                <w:sz w:val="18"/>
                <w:szCs w:val="18"/>
                <w:color w:val="auto"/>
              </w:rPr>
              <w:t>Ending balance</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2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20" w:type="dxa"/>
            <w:vAlign w:val="bottom"/>
            <w:gridSpan w:val="3"/>
          </w:tcPr>
          <w:p>
            <w:pPr>
              <w:ind w:left="52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20" w:type="dxa"/>
            <w:vAlign w:val="bottom"/>
            <w:gridSpan w:val="3"/>
          </w:tcPr>
          <w:p>
            <w:pPr>
              <w:ind w:left="520"/>
              <w:spacing w:after="0"/>
              <w:rPr>
                <w:sz w:val="20"/>
                <w:szCs w:val="20"/>
                <w:color w:val="auto"/>
              </w:rPr>
            </w:pPr>
            <w:r>
              <w:rPr>
                <w:rFonts w:ascii="Arial" w:cs="Arial" w:eastAsia="Arial" w:hAnsi="Arial"/>
                <w:sz w:val="18"/>
                <w:szCs w:val="18"/>
                <w:color w:val="auto"/>
              </w:rPr>
              <w:t>Property and equipment, net consists of the following:</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September 30,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7"/>
          </w:tcPr>
          <w:p>
            <w:pPr>
              <w:jc w:val="right"/>
              <w:ind w:right="78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21,895</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7,678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Laboratory equipment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9,806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8,182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7,237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820" w:type="dxa"/>
            <w:vAlign w:val="bottom"/>
            <w:gridSpan w:val="2"/>
          </w:tcPr>
          <w:p>
            <w:pPr>
              <w:ind w:left="120"/>
              <w:spacing w:after="0"/>
              <w:rPr>
                <w:sz w:val="20"/>
                <w:szCs w:val="20"/>
                <w:color w:val="auto"/>
              </w:rPr>
            </w:pPr>
            <w:r>
              <w:rPr>
                <w:rFonts w:ascii="Arial" w:cs="Arial" w:eastAsia="Arial" w:hAnsi="Arial"/>
                <w:sz w:val="18"/>
                <w:szCs w:val="18"/>
                <w:color w:val="auto"/>
              </w:rPr>
              <w:t>Total property and equipment</w:t>
            </w:r>
          </w:p>
        </w:tc>
        <w:tc>
          <w:tcPr>
            <w:tcW w:w="54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39,749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23,888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(8,858)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(6,703)</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820" w:type="dxa"/>
            <w:vAlign w:val="bottom"/>
            <w:gridSpan w:val="2"/>
          </w:tcPr>
          <w:p>
            <w:pPr>
              <w:ind w:left="120"/>
              <w:spacing w:after="0"/>
              <w:rPr>
                <w:sz w:val="20"/>
                <w:szCs w:val="20"/>
                <w:color w:val="auto"/>
              </w:rPr>
            </w:pPr>
            <w:r>
              <w:rPr>
                <w:rFonts w:ascii="Arial" w:cs="Arial" w:eastAsia="Arial" w:hAnsi="Arial"/>
                <w:sz w:val="18"/>
                <w:szCs w:val="18"/>
                <w:color w:val="auto"/>
              </w:rPr>
              <w:t>Total property and equipment, net</w:t>
            </w:r>
          </w:p>
        </w:tc>
        <w:tc>
          <w:tcPr>
            <w:tcW w:w="5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30,891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17,185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Depreciation and amortization expense for the three months ended September 30, 2021 and 2020 was $0.7 million and $0.6 million, respectively. Depreciation and amortization expense for the nine months ended September 30, 2021 and 2020 was $2.2 million and $1.8 million, respectively. Construction in progress primarily consists of capitalized machinery and equipment that is expected to be placed in service in the Company’s manufacturing and office space located in Union City, California (see Note 6).</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6"/>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4"/>
          </w:tcPr>
          <w:p>
            <w:pPr>
              <w:jc w:val="right"/>
              <w:ind w:right="695"/>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related expenses</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Accrued property and equipment</w:t>
            </w: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services</w:t>
            </w:r>
          </w:p>
        </w:tc>
        <w:tc>
          <w:tcPr>
            <w:tcW w:w="15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w w:val="90"/>
              </w:rPr>
              <w:t>Total accrued expenses and other current liabilities</w:t>
            </w:r>
          </w:p>
        </w:tc>
        <w:tc>
          <w:tcPr>
            <w:tcW w:w="15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5,607</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vMerge w:val="restart"/>
          </w:tcPr>
          <w:p>
            <w:pPr>
              <w:jc w:val="right"/>
              <w:ind w:right="1250"/>
              <w:spacing w:after="0"/>
              <w:rPr>
                <w:sz w:val="20"/>
                <w:szCs w:val="20"/>
                <w:color w:val="auto"/>
              </w:rPr>
            </w:pPr>
            <w:r>
              <w:rPr>
                <w:rFonts w:ascii="Arial" w:cs="Arial" w:eastAsia="Arial" w:hAnsi="Arial"/>
                <w:sz w:val="18"/>
                <w:szCs w:val="18"/>
                <w:color w:val="auto"/>
                <w:w w:val="99"/>
              </w:rPr>
              <w:t>14</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Gladstone License Agreement</w:t>
      </w:r>
    </w:p>
    <w:p>
      <w:pPr>
        <w:spacing w:after="0" w:line="225"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In October 2016, the Company entered into a license agreement with the J. David Gladstone Institute (Gladstone), pursuant to which Gladstone granted the Company a worldwide, royalty-bearing exclusive patent license and a non-exclusive technology license to develop and commercialize certain products for certain diseases (“Gladstone License Agreement”). Pursuant to the Gladstone License Agreement, the Company is obligated, among other things, to pay Gladstone (i) annual license maintenance fees ranging from $25,000 up to $0.1 million per year, which will be creditable against royalties paid in the following twelve month period, (ii) milestone payments up to $4.1 million for royalty-bearing products directed to a particular target, which are contingent upon achieving specific clinical and commercialization milestone events, and (iii) tiered low-single digit royalties on future net sales of each royalty-bearing product. Under the agreement, the Company is subject to diligence requirements to develop and commercialize at least one royalty-bearing product. The Company may pay $50,000 to $100,000 to extend the deadline for its diligence milestone obligations for up to four additional one-year terms. As of September 30, 2021, the Company has not recognized any milestone and royalty payments under the Gladstone License Agreement.</w:t>
      </w:r>
    </w:p>
    <w:p>
      <w:pPr>
        <w:spacing w:after="0" w:line="166"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During the three and nine months ended September 30, 2020 and 2021, there were no material amounts recorded related to annual license fees payable pursuant to the Gladstone License Agreement.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University of Texas Southwestern License Agreement</w:t>
      </w:r>
    </w:p>
    <w:p>
      <w:pPr>
        <w:spacing w:after="0" w:line="225"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January 2020, the Company entered into a license agreement with the University of Texas Southwestern (“UTSW License”), pursuant to which UTSW granted the Company a royalty-bearing exclusive and sublicensable patent license and a non-exclusive, non-sublicensable license for mutually agreed upon development activities. Under the UTSW License, the Company is obligated to pay UTSW (i) a non-refundable upfront license fee of $0.1 million, (ii) milestone payments up to a total of $14.8 million in aggregate, which are contingent upon achieving specific development and commercialization milestone events, and (iii) royalties on future net sales of each royalty-bearing product ranging in the low-single digits. As of September 30, 2021, the Company has not recognized any milestone and royalty payments under the UTSW License.</w:t>
      </w:r>
    </w:p>
    <w:p>
      <w:pPr>
        <w:spacing w:after="0" w:line="17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During the three and nine months ended September 30, 2020, the Company recorded research and development expenses of $nil and $0.1 million related to the upfront license fee payable pursuant to the UTSW License.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License Agreements</w:t>
      </w:r>
    </w:p>
    <w:p>
      <w:pPr>
        <w:spacing w:after="0" w:line="225"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In addition to the agreements described above, the Company has also entered into other license agreements with various institutions and business entities, none of which are material individually or in the aggregate.</w:t>
      </w:r>
    </w:p>
    <w:p>
      <w:pPr>
        <w:spacing w:after="0" w:line="166" w:lineRule="exact"/>
        <w:rPr>
          <w:sz w:val="20"/>
          <w:szCs w:val="20"/>
          <w:color w:val="auto"/>
        </w:rPr>
      </w:pPr>
    </w:p>
    <w:p>
      <w:pPr>
        <w:ind w:left="520" w:right="8280" w:hanging="512"/>
        <w:spacing w:after="0" w:line="566" w:lineRule="auto"/>
        <w:tabs>
          <w:tab w:leader="none" w:pos="375"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Facility Leases</w:t>
      </w:r>
    </w:p>
    <w:p>
      <w:pPr>
        <w:jc w:val="both"/>
        <w:ind w:right="480" w:firstLine="510"/>
        <w:spacing w:after="0" w:line="286" w:lineRule="auto"/>
        <w:rPr>
          <w:sz w:val="20"/>
          <w:szCs w:val="20"/>
          <w:color w:val="auto"/>
        </w:rPr>
      </w:pPr>
      <w:r>
        <w:rPr>
          <w:rFonts w:ascii="Arial" w:cs="Arial" w:eastAsia="Arial" w:hAnsi="Arial"/>
          <w:sz w:val="17"/>
          <w:szCs w:val="17"/>
          <w:color w:val="auto"/>
        </w:rPr>
        <w:t>In December 2016, the Company entered into a lease agreement for office and laboratory space in South San Francisco, California. The lease expires in May 2025 and the Company may renew the lease term for two additional five-year periods. Pursuant to the lease agreement, the Company received a tenant improvement allowance of $5.8 million in aggregate for leasehold improvements to the facility.</w:t>
      </w:r>
    </w:p>
    <w:p>
      <w:pPr>
        <w:spacing w:after="0" w:line="165"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In December 2020, the Company entered into a short-term sublease agreement for additional office and laboratory space in South San Francisco, California that expires on November 30, 2021.</w:t>
      </w:r>
    </w:p>
    <w:p>
      <w:pPr>
        <w:spacing w:after="0" w:line="170"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In February 2021, the Company entered into a lease agreement for manufacturing and office space located in Union City, California. The lease commenced in May 2021 and has a ten-year term with one five-year renewal option. Upon the execution of the lease agreement, the Company provided the landlord with a refundable security deposit of $3.3 million, which is included in other non-current assets on the condensed balance sheets.</w:t>
      </w:r>
    </w:p>
    <w:p>
      <w:pPr>
        <w:spacing w:after="0" w:line="149"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On January 1, 2021, the Company adopted ASC 842 and the following disclosures as of and for the three and nine months ended September 30, 2021 are presented under ASC 842. As of September 30, 2021, the remaining weighted-average lease term was 6.8 years and the weighted-average incremental borrowing rate used to determine the operating lease liabilities was 9.5%.</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7" w:right="379" w:bottom="1440" w:gutter="0" w:footer="0" w:header="0"/>
        </w:sectPr>
      </w:pPr>
    </w:p>
    <w:bookmarkStart w:id="15" w:name="page16"/>
    <w:bookmarkEnd w:id="15"/>
    <w:p>
      <w:pPr>
        <w:ind w:right="60" w:firstLine="510"/>
        <w:spacing w:after="0" w:line="263" w:lineRule="auto"/>
        <w:rPr>
          <w:sz w:val="20"/>
          <w:szCs w:val="20"/>
          <w:color w:val="auto"/>
        </w:rPr>
      </w:pPr>
      <w:r>
        <w:rPr>
          <w:rFonts w:ascii="Arial" w:cs="Arial" w:eastAsia="Arial" w:hAnsi="Arial"/>
          <w:sz w:val="18"/>
          <w:szCs w:val="18"/>
          <w:color w:val="auto"/>
        </w:rPr>
        <w:t>For the three months ended September 30, 2021, the Company incurred $1.6 million of lease costs, of which $0.6 million is related to the Company’s short-term lease and $0.4 million is related to variable lease payments. For the three months ended September 30, 2020, the Company incurred $0.6 million in rent expense.</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For the nine months ended September 30, 2021, the Company incurred $4.2 million of lease costs, of which $1.8 million is related to the Company’s short-term lease and $1.2 million is related to variable lease payments. For the nine months ended September 30, 2020, the Company incurred $1.9 million in rent expense.</w:t>
      </w:r>
    </w:p>
    <w:p>
      <w:pPr>
        <w:spacing w:after="0" w:line="184"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As of September 30, 2021, the undiscounted future minimum lease payments due under the Company’s non-cancelable operating leases are as follows:</w:t>
      </w:r>
    </w:p>
    <w:p>
      <w:pPr>
        <w:spacing w:after="0" w:line="108"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r>
      <w:tr>
        <w:trPr>
          <w:trHeight w:val="156"/>
        </w:trPr>
        <w:tc>
          <w:tcPr>
            <w:tcW w:w="5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3"/>
                <w:szCs w:val="13"/>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2021 (remaining 3 months)</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3,678</w:t>
            </w: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3,792</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3,910</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8,291</w:t>
            </w:r>
          </w:p>
        </w:tc>
        <w:tc>
          <w:tcPr>
            <w:tcW w:w="8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undiscounted future minimum lease payments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23,018</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Pr>
          <w:p>
            <w:pPr>
              <w:ind w:left="240"/>
              <w:spacing w:after="0"/>
              <w:rPr>
                <w:sz w:val="20"/>
                <w:szCs w:val="20"/>
                <w:color w:val="auto"/>
              </w:rPr>
            </w:pPr>
            <w:r>
              <w:rPr>
                <w:rFonts w:ascii="Arial" w:cs="Arial" w:eastAsia="Arial" w:hAnsi="Arial"/>
                <w:sz w:val="18"/>
                <w:szCs w:val="18"/>
                <w:color w:val="auto"/>
              </w:rPr>
              <w:t>Present value adjustment for minimum lease commitments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(6,515)</w:t>
            </w:r>
          </w:p>
        </w:tc>
      </w:tr>
      <w:tr>
        <w:trPr>
          <w:trHeight w:val="229"/>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Tenant improvement receivable</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(282)</w:t>
            </w:r>
          </w:p>
        </w:tc>
      </w:tr>
      <w:tr>
        <w:trPr>
          <w:trHeight w:val="223"/>
        </w:trPr>
        <w:tc>
          <w:tcPr>
            <w:tcW w:w="5320" w:type="dxa"/>
            <w:vAlign w:val="bottom"/>
          </w:tcPr>
          <w:p>
            <w:pPr>
              <w:ind w:left="120"/>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16,221</w:t>
            </w:r>
          </w:p>
        </w:tc>
        <w:tc>
          <w:tcPr>
            <w:tcW w:w="8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2020, undiscounted future minimum lease payments due under the Company’s non-cancelable operating lease are as follows:</w:t>
      </w:r>
    </w:p>
    <w:p>
      <w:pPr>
        <w:spacing w:after="0" w:line="186"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Amount</w:t>
            </w:r>
          </w:p>
        </w:tc>
      </w:tr>
      <w:tr>
        <w:trPr>
          <w:trHeight w:val="155"/>
        </w:trPr>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60" w:type="dxa"/>
            <w:vAlign w:val="bottom"/>
          </w:tcPr>
          <w:p>
            <w:pPr>
              <w:spacing w:after="0"/>
              <w:rPr>
                <w:sz w:val="13"/>
                <w:szCs w:val="13"/>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3,752</w:t>
            </w:r>
          </w:p>
        </w:tc>
        <w:tc>
          <w:tcPr>
            <w:tcW w:w="6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2,206</w:t>
            </w:r>
          </w:p>
        </w:tc>
        <w:tc>
          <w:tcPr>
            <w:tcW w:w="6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w:t>
            </w:r>
          </w:p>
        </w:tc>
        <w:tc>
          <w:tcPr>
            <w:tcW w:w="60" w:type="dxa"/>
            <w:vAlign w:val="bottom"/>
            <w:shd w:val="clear" w:color="auto" w:fill="CFF0FC"/>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2,363</w:t>
            </w:r>
          </w:p>
        </w:tc>
        <w:tc>
          <w:tcPr>
            <w:tcW w:w="6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60" w:type="dxa"/>
            <w:vAlign w:val="bottom"/>
            <w:shd w:val="clear" w:color="auto" w:fill="CFF0FC"/>
          </w:tcPr>
          <w:p>
            <w:pPr>
              <w:spacing w:after="0"/>
              <w:rPr>
                <w:sz w:val="19"/>
                <w:szCs w:val="19"/>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11,603</w:t>
            </w:r>
          </w:p>
        </w:tc>
        <w:tc>
          <w:tcPr>
            <w:tcW w:w="6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Company has previously entered into agreements to sublease portions of the Company’s facilities in South San Francisco to two different subtenants, both of which expired as of December 31, 2020. Pursuant to the sublease agreements, the Company received sublease income of $nil and $0.2 million during the three and nine months ended September 30, 2020, which is included in other income (expense), net on the condensed statements of operations and comprehensive loss.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Asset Retirement Obligation</w:t>
      </w:r>
    </w:p>
    <w:p>
      <w:pPr>
        <w:spacing w:after="0" w:line="11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Under the lease agreement for the manufacturing and office facility in Union City, the Company is contractually obligated to remove constructed leasehold improvements related to capitalized machinery and equipment (see Note 4) and to restore the leased space to its original condition upon termination of the lease agreement. The Company applies the proportionate method to account for the buildup of the asset retirement obligation while leasehold improvements are in progress. As of September 30, 2021, the balance of the asset retirement obligation liability was not material. The Company elected to defer the commencement of accretion of the asset retirement obligation until the underlying construction is completed, on the basis that the financial statement impact from the deferral is immaterial.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right="440" w:firstLine="510"/>
        <w:spacing w:after="0" w:line="311" w:lineRule="auto"/>
        <w:rPr>
          <w:sz w:val="20"/>
          <w:szCs w:val="20"/>
          <w:color w:val="auto"/>
        </w:rPr>
      </w:pPr>
      <w:r>
        <w:rPr>
          <w:rFonts w:ascii="Arial" w:cs="Arial" w:eastAsia="Arial" w:hAnsi="Arial"/>
          <w:sz w:val="16"/>
          <w:szCs w:val="16"/>
          <w:color w:val="auto"/>
        </w:rPr>
        <w:t>The Company enters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September 30, 2021 and December 31, 2020, the Company does not have any material indemnification claims that were probable or reasonably possible and, consequently, has not recorded any related liabilities.</w:t>
      </w:r>
    </w:p>
    <w:p>
      <w:pPr>
        <w:spacing w:after="0" w:line="173"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22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On August 3, 2021, immediately prior to the completion of the Company’s IPO, all outstanding shares of convertible preferred stock were converted into 26,102,278 shares of the Company’s common stock.</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Prior to the Company’s IPO, convertible preferred stock as of December 31, 2020 consists of the following:</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6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1"/>
                <w:szCs w:val="11"/>
                <w:color w:val="auto"/>
              </w:rPr>
            </w:pPr>
          </w:p>
        </w:tc>
        <w:tc>
          <w:tcPr>
            <w:tcW w:w="1420" w:type="dxa"/>
            <w:vAlign w:val="bottom"/>
            <w:gridSpan w:val="2"/>
          </w:tcPr>
          <w:p>
            <w:pPr>
              <w:jc w:val="center"/>
              <w:ind w:right="520"/>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Issued and</w:t>
            </w:r>
          </w:p>
        </w:tc>
        <w:tc>
          <w:tcPr>
            <w:tcW w:w="26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Authorized</w:t>
            </w: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340" w:type="dxa"/>
            <w:vAlign w:val="bottom"/>
            <w:tcBorders>
              <w:top w:val="single" w:sz="8" w:color="auto"/>
            </w:tcBorders>
            <w:gridSpan w:val="5"/>
          </w:tcPr>
          <w:p>
            <w:pPr>
              <w:jc w:val="center"/>
              <w:ind w:right="240"/>
              <w:spacing w:after="0" w:line="155" w:lineRule="exact"/>
              <w:rPr>
                <w:sz w:val="20"/>
                <w:szCs w:val="20"/>
                <w:color w:val="auto"/>
              </w:rPr>
            </w:pPr>
            <w:r>
              <w:rPr>
                <w:rFonts w:ascii="Arial" w:cs="Arial" w:eastAsia="Arial" w:hAnsi="Arial"/>
                <w:sz w:val="14"/>
                <w:szCs w:val="14"/>
                <w:b w:val="1"/>
                <w:bCs w:val="1"/>
                <w:color w:val="auto"/>
                <w:w w:val="90"/>
              </w:rPr>
              <w:t>(In thousands, except share data)</w:t>
            </w: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Convertible Preferred Stock</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Series A</w:t>
            </w:r>
          </w:p>
        </w:tc>
        <w:tc>
          <w:tcPr>
            <w:tcW w:w="1380" w:type="dxa"/>
            <w:vAlign w:val="bottom"/>
          </w:tcPr>
          <w:p>
            <w:pPr>
              <w:jc w:val="right"/>
              <w:spacing w:after="0"/>
              <w:rPr>
                <w:sz w:val="20"/>
                <w:szCs w:val="20"/>
                <w:color w:val="auto"/>
              </w:rPr>
            </w:pPr>
            <w:r>
              <w:rPr>
                <w:rFonts w:ascii="Arial" w:cs="Arial" w:eastAsia="Arial" w:hAnsi="Arial"/>
                <w:sz w:val="18"/>
                <w:szCs w:val="18"/>
                <w:color w:val="auto"/>
              </w:rPr>
              <w:t>8,316,666</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8,316,662</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43,393</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Series B</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9,259,254</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9,259,245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91,644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Series C</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8,526,381</w:t>
            </w:r>
          </w:p>
        </w:tc>
        <w:tc>
          <w:tcPr>
            <w:tcW w:w="26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6,917,621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85,717</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26,102,301</w:t>
            </w:r>
          </w:p>
        </w:tc>
        <w:tc>
          <w:tcPr>
            <w:tcW w:w="2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24,493,528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220,754</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0"/>
        <w:spacing w:after="0" w:line="280" w:lineRule="auto"/>
        <w:rPr>
          <w:sz w:val="20"/>
          <w:szCs w:val="20"/>
          <w:color w:val="auto"/>
        </w:rPr>
      </w:pPr>
      <w:r>
        <w:rPr>
          <w:rFonts w:ascii="Arial" w:cs="Arial" w:eastAsia="Arial" w:hAnsi="Arial"/>
          <w:sz w:val="17"/>
          <w:szCs w:val="17"/>
          <w:color w:val="auto"/>
        </w:rPr>
        <w:t>The Company classifies its convertible preferred stock outside of total stockholders’ equity (deficit) because, in the event of certain change of control events that are not solely within the control of the Company (including liquidation, sale or transfer of the Company), the shares would become redeemable at the option of the holders. As a result, the Company classified its convertible preferred stock as mezzanine equity on the balance sheet as the preferred stock is contingently redeemable. Subsequent adjustments to increase or decrease the carrying values to the ultimate liquidation values will be made only if and when it becomes probable that such liquidation event will occur.</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Series B Convertible Preferred Stock Financing</w:t>
      </w:r>
    </w:p>
    <w:p>
      <w:pPr>
        <w:spacing w:after="0" w:line="225"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In August 2019, the Company entered into a Series B preferred stock purchase agreement (“Series B SPA”) for the issuance of up to 9,259,254 shares of the Company’s Series B convertible preferred stock at a purchase price of $9.936 per share in multiple closings. The Company completed the initial closing in August 2019, whereby 3,086,415 shares of Series B convertible preferred stock were issued for gross proceeds of $30.7 million. Pursuant to the Series B SPA, the Company was permitted to sell additional shares in subsequent closings contingent upon the approval of the Company’s board of directors.</w:t>
      </w:r>
    </w:p>
    <w:p>
      <w:pPr>
        <w:spacing w:after="0" w:line="188"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On issuance, the Company determined that its obligation to issue additional shares of Series B convertible preferred stock in future closings was a freestanding instrument that should be classified as a liability on the Company’s balance sheets. The freestanding financial instrument, or convertible preferred stock tranche liability, was recorded at fair value on issuance of $0.8 million with the remaining proceeds being allocated to the Series B convertible preferred stock. Any changes in fair value of the convertible preferred stock tranche liability in subsequent reporting periods are recognized as a component of other income (expense), net in the statements of operations and comprehensive loss (see Note 3).</w:t>
      </w:r>
    </w:p>
    <w:p>
      <w:pPr>
        <w:spacing w:after="0" w:line="176"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March 2020, the Company completed its second closing of Series B convertible preferred stock financing and issued 3,086,415 shares of Series B convertible preferred stock at the fixed purchase price of $9.936 per share for gross proceeds of $30.7 million, thereby settling a portion of the convertible preferred stock tranche liability. Immediately prior to the second closing, the Company measured the convertible preferred stock tranche liability to its then fair value. Upon the closing of the second tranche, the convertible preferred stock tranche liability was partially settled and the related balance of the liability of $27,000 was reclassified to Series B convertible preferred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right="120" w:firstLine="510"/>
        <w:spacing w:after="0" w:line="257" w:lineRule="auto"/>
        <w:rPr>
          <w:sz w:val="20"/>
          <w:szCs w:val="20"/>
          <w:color w:val="auto"/>
        </w:rPr>
      </w:pPr>
      <w:r>
        <w:rPr>
          <w:rFonts w:ascii="Arial" w:cs="Arial" w:eastAsia="Arial" w:hAnsi="Arial"/>
          <w:sz w:val="18"/>
          <w:szCs w:val="18"/>
          <w:color w:val="auto"/>
        </w:rPr>
        <w:t>In August 2020, the Company completed its third closing of Series B convertible preferred stock financing and issued 3,086,415 shares of Series B convertible preferred stock at the purchase price of $9.936 per share for gross proceeds of $30.7 million, thereby settling the remainder of the convertible preferred stock tranche liability. Immediately prior to the third closing, the Company measured the convertible preferred stock tranche liability to its then fair value. Upon the closing of the third tranche, the remaining convertible preferred stock tranche liability was settled and the balance of the liability of $0.7 million was reclassified to Series B convertible preferred stock.</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Series C Convertible Preferred Stock Financing</w:t>
      </w:r>
    </w:p>
    <w:p>
      <w:pPr>
        <w:spacing w:after="0" w:line="225" w:lineRule="exact"/>
        <w:rPr>
          <w:sz w:val="20"/>
          <w:szCs w:val="20"/>
          <w:color w:val="auto"/>
        </w:rPr>
      </w:pPr>
    </w:p>
    <w:p>
      <w:pPr>
        <w:jc w:val="both"/>
        <w:ind w:right="120" w:firstLine="510"/>
        <w:spacing w:after="0" w:line="311" w:lineRule="auto"/>
        <w:rPr>
          <w:sz w:val="20"/>
          <w:szCs w:val="20"/>
          <w:color w:val="auto"/>
        </w:rPr>
      </w:pPr>
      <w:r>
        <w:rPr>
          <w:rFonts w:ascii="Arial" w:cs="Arial" w:eastAsia="Arial" w:hAnsi="Arial"/>
          <w:sz w:val="16"/>
          <w:szCs w:val="16"/>
          <w:color w:val="auto"/>
        </w:rPr>
        <w:t>In December 2020, the Company entered into a Series C preferred stock purchase agreement (“Series C SPA”) for the issuance of up to 8,526,381 shares of the Company’s Series C convertible preferred stock at a purchase price of $12.432 per share in two closings. The Company completed the initial closing in December 2020, whereby 6,917,621 shares of Series C convertible preferred stock were issued for gross proceeds of $86.0 million.</w:t>
      </w:r>
    </w:p>
    <w:p>
      <w:pPr>
        <w:spacing w:after="0" w:line="149"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 January 2021, the Company sold an additional 1,608,750 shares of Series C convertible preferred stock at a purchase price of $12.432 per share for gross proceeds of $20.0 million.</w:t>
      </w:r>
    </w:p>
    <w:p>
      <w:pPr>
        <w:spacing w:after="0" w:line="166"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holders of common stock are entitled to one vote per share on all matters to be voted on by the stockholders of the Company and are entitled to dividends, if and when declared by the board of directors, subject to the prior rights of the preferred stockholders. Common stock issued and outstanding on the condensed statements of convertible preferred stock and stockholders’ equity (deficit) includes shares related to early exercised options and restricted stock that are subject to repurchase. Common stock issued and outstanding is reduced for any repurchases of early exercised stock options and restricted stock. As of September 30, 2021 and December 31, 2020, outstanding common stock included 40,915 and 138,127 shares related to early exercised stock options and restricted stock that are unvested and subject to repurchase.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shares of common stock reserved for issuance, on an as-if converted basis, is as follows:</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0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Conversion of outstanding shares of convertible preferred</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24,493,528</w:t>
            </w:r>
          </w:p>
        </w:tc>
        <w:tc>
          <w:tcPr>
            <w:tcW w:w="80" w:type="dxa"/>
            <w:vAlign w:val="bottom"/>
            <w:shd w:val="clear" w:color="auto" w:fill="CFF0FC"/>
          </w:tcPr>
          <w:p>
            <w:pPr>
              <w:spacing w:after="0"/>
              <w:rPr>
                <w:sz w:val="20"/>
                <w:szCs w:val="20"/>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Stock options issued and outstanding</w:t>
            </w:r>
          </w:p>
        </w:tc>
        <w:tc>
          <w:tcPr>
            <w:tcW w:w="1080" w:type="dxa"/>
            <w:vAlign w:val="bottom"/>
          </w:tcPr>
          <w:p>
            <w:pPr>
              <w:jc w:val="right"/>
              <w:spacing w:after="0"/>
              <w:rPr>
                <w:sz w:val="20"/>
                <w:szCs w:val="20"/>
                <w:color w:val="auto"/>
              </w:rPr>
            </w:pPr>
            <w:r>
              <w:rPr>
                <w:rFonts w:ascii="Arial" w:cs="Arial" w:eastAsia="Arial" w:hAnsi="Arial"/>
                <w:sz w:val="18"/>
                <w:szCs w:val="18"/>
                <w:color w:val="auto"/>
              </w:rPr>
              <w:t>2,530,121</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1,160,808</w:t>
            </w:r>
          </w:p>
        </w:tc>
        <w:tc>
          <w:tcPr>
            <w:tcW w:w="8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available for future grant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3,847,160</w:t>
            </w:r>
          </w:p>
        </w:tc>
        <w:tc>
          <w:tcPr>
            <w:tcW w:w="2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412,170</w:t>
            </w:r>
          </w:p>
        </w:tc>
        <w:tc>
          <w:tcPr>
            <w:tcW w:w="80" w:type="dxa"/>
            <w:vAlign w:val="bottom"/>
            <w:shd w:val="clear" w:color="auto" w:fill="CFF0FC"/>
          </w:tcPr>
          <w:p>
            <w:pPr>
              <w:spacing w:after="0"/>
              <w:rPr>
                <w:sz w:val="19"/>
                <w:szCs w:val="19"/>
                <w:color w:val="auto"/>
              </w:rPr>
            </w:pPr>
          </w:p>
        </w:tc>
      </w:tr>
      <w:tr>
        <w:trPr>
          <w:trHeight w:val="223"/>
        </w:trPr>
        <w:tc>
          <w:tcPr>
            <w:tcW w:w="5420" w:type="dxa"/>
            <w:vAlign w:val="bottom"/>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6,377,281</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26,066,506</w:t>
            </w:r>
          </w:p>
        </w:tc>
        <w:tc>
          <w:tcPr>
            <w:tcW w:w="8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right"/>
        <w:ind w:left="520" w:right="8680" w:hanging="512"/>
        <w:spacing w:after="0" w:line="566" w:lineRule="auto"/>
        <w:tabs>
          <w:tab w:leader="none" w:pos="375"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b w:val="1"/>
          <w:bCs w:val="1"/>
          <w:i w:val="1"/>
          <w:iCs w:val="1"/>
          <w:color w:val="auto"/>
        </w:rPr>
        <w:t>2021 Equity Incentive Plan</w:t>
      </w:r>
    </w:p>
    <w:p>
      <w:pPr>
        <w:ind w:right="240" w:firstLine="510"/>
        <w:spacing w:after="0" w:line="273" w:lineRule="auto"/>
        <w:rPr>
          <w:sz w:val="20"/>
          <w:szCs w:val="20"/>
          <w:color w:val="auto"/>
        </w:rPr>
      </w:pPr>
      <w:r>
        <w:rPr>
          <w:rFonts w:ascii="Arial" w:cs="Arial" w:eastAsia="Arial" w:hAnsi="Arial"/>
          <w:sz w:val="17"/>
          <w:szCs w:val="17"/>
          <w:color w:val="auto"/>
        </w:rPr>
        <w:t>In July 2021, the Company adopted the 2021 Equity Incentive Plan (the “2021 Plan”), which became effective in connection with the IPO. The Company’s 2016 Equity Incentive Plan (the “2016 Plan”) was terminated in 2021. Shares subject to awards granted under the 2016 Plan that are repurchased by or forfeited to the Company will also be reserved for issuance under the 2021 Plan. The number of shares of common stock available for issuance under the 2021 Plan will automatically increase on the first day of January for a period of ten years, commencing on January 1, 2022, in an amount equal to the lesser of: 4,000,000 shares; 4% of the outstanding shares of the Company’s common stock as of the last day of the immediately preceding year; or such other amount as the Company’s board of directors may determine.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shares reserved and available for grant under the 2021 Plan as of September 30, 2021 are 3,847,160.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Price Per</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Outstanding</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1,160,808</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1,595,128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9.36</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(184,777)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Options cancelled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(41,038)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September 30,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2,530,121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35,805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Exercisable as of September 30, 2021</w:t>
            </w: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7.71</w:t>
            </w:r>
          </w:p>
        </w:tc>
        <w:tc>
          <w:tcPr>
            <w:tcW w:w="22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10,898</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590,000</w:t>
            </w:r>
          </w:p>
        </w:tc>
        <w:tc>
          <w:tcPr>
            <w:tcW w:w="1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225"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In July 2021, the Company adopted the 2021 Employee Stock Purchase Plan (the “ESPP”), which became effective in connection with the IPO. The Company initially reserved 800,000 shares for future issuance under the ESPP. The ESPP permits participants to purchase common stock through payroll deductions of up to 15% of their eligible compensation. The number of shares of common stock available for issuance under the ESPP will automatically increase on the first day of January following the year in which the first offering period under the ESPP commences, in an amount equal to the lesser of: 800,000 shares; 1% of the outstanding shares of the Company’s common stock as of the last day of the immediately preceding year; or such other amount as the board of directors may determine. The first offering period has not commenced as of September 30, 2021 and there is no stock-based compensation related to the ESPP for the three and nine months ended September 30, 2021.</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stock-based compensation recognized in the Company’s condensed statements of operations and comprehensive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loss: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6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8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w w:val="96"/>
              </w:rPr>
              <w:t>September 30,</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5"/>
        </w:trPr>
        <w:tc>
          <w:tcPr>
            <w:tcW w:w="3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90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02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FF0FC"/>
          </w:tcPr>
          <w:p>
            <w:pPr>
              <w:spacing w:after="0"/>
              <w:rPr>
                <w:sz w:val="19"/>
                <w:szCs w:val="19"/>
                <w:color w:val="auto"/>
              </w:rPr>
            </w:pPr>
          </w:p>
        </w:tc>
      </w:tr>
      <w:tr>
        <w:trPr>
          <w:trHeight w:val="229"/>
        </w:trPr>
        <w:tc>
          <w:tcPr>
            <w:tcW w:w="3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2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FF0FC"/>
            </w:tcBorders>
          </w:tcPr>
          <w:p>
            <w:pPr>
              <w:spacing w:after="0"/>
              <w:rPr>
                <w:sz w:val="19"/>
                <w:szCs w:val="19"/>
                <w:color w:val="auto"/>
              </w:rPr>
            </w:pPr>
          </w:p>
        </w:tc>
      </w:tr>
      <w:tr>
        <w:trPr>
          <w:trHeight w:val="223"/>
        </w:trPr>
        <w:tc>
          <w:tcPr>
            <w:tcW w:w="35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Total stock-based compensation</w:t>
            </w:r>
          </w:p>
        </w:tc>
        <w:tc>
          <w:tcPr>
            <w:tcW w:w="11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8"/>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2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As of September 30, 2021, there was approximately $14.3 million of unrecognized stock-based compensation, which the Company expects to recognize over a weighted-average period of 3.5 years.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225"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The fair value of the Company’s stock option awards is estimated on the date of grant using the Black-Scholes option pricing model using the following assumptions: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2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93"/>
              </w:rPr>
              <w:t>Three Months Ended</w:t>
            </w: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217"/>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466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gridSpan w:val="2"/>
          </w:tcPr>
          <w:p>
            <w:pPr>
              <w:jc w:val="right"/>
              <w:ind w:right="397"/>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354"/>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gridSpan w:val="2"/>
          </w:tcPr>
          <w:p>
            <w:pPr>
              <w:jc w:val="right"/>
              <w:ind w:right="410"/>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- 6.1</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center"/>
              <w:ind w:right="334"/>
              <w:spacing w:after="0"/>
              <w:rPr>
                <w:sz w:val="20"/>
                <w:szCs w:val="20"/>
                <w:color w:val="auto"/>
              </w:rPr>
            </w:pPr>
            <w:r>
              <w:rPr>
                <w:rFonts w:ascii="Arial" w:cs="Arial" w:eastAsia="Arial" w:hAnsi="Arial"/>
                <w:sz w:val="18"/>
                <w:szCs w:val="18"/>
                <w:color w:val="auto"/>
                <w:w w:val="87"/>
              </w:rPr>
              <w:t>6.0</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5.0 - 6.1</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- 6.1</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c>
          <w:tcPr>
            <w:tcW w:w="680" w:type="dxa"/>
            <w:vAlign w:val="bottom"/>
          </w:tcPr>
          <w:p>
            <w:pPr>
              <w:ind w:left="20"/>
              <w:spacing w:after="0"/>
              <w:rPr>
                <w:sz w:val="20"/>
                <w:szCs w:val="20"/>
                <w:color w:val="auto"/>
              </w:rPr>
            </w:pPr>
            <w:r>
              <w:rPr>
                <w:rFonts w:ascii="Arial" w:cs="Arial" w:eastAsia="Arial" w:hAnsi="Arial"/>
                <w:sz w:val="18"/>
                <w:szCs w:val="18"/>
                <w:color w:val="auto"/>
              </w:rPr>
              <w:t>- 96%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center"/>
              <w:ind w:right="334"/>
              <w:spacing w:after="0"/>
              <w:rPr>
                <w:sz w:val="20"/>
                <w:szCs w:val="20"/>
                <w:color w:val="auto"/>
              </w:rPr>
            </w:pPr>
            <w:r>
              <w:rPr>
                <w:rFonts w:ascii="Arial" w:cs="Arial" w:eastAsia="Arial" w:hAnsi="Arial"/>
                <w:sz w:val="18"/>
                <w:szCs w:val="18"/>
                <w:color w:val="auto"/>
                <w:w w:val="91"/>
              </w:rPr>
              <w:t>183%</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95% - 103%</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w:t>
            </w:r>
          </w:p>
        </w:tc>
        <w:tc>
          <w:tcPr>
            <w:tcW w:w="700" w:type="dxa"/>
            <w:vAlign w:val="bottom"/>
          </w:tcPr>
          <w:p>
            <w:pPr>
              <w:ind w:left="20"/>
              <w:spacing w:after="0"/>
              <w:rPr>
                <w:sz w:val="20"/>
                <w:szCs w:val="20"/>
                <w:color w:val="auto"/>
              </w:rPr>
            </w:pPr>
            <w:r>
              <w:rPr>
                <w:rFonts w:ascii="Arial" w:cs="Arial" w:eastAsia="Arial" w:hAnsi="Arial"/>
                <w:sz w:val="18"/>
                <w:szCs w:val="18"/>
                <w:color w:val="auto"/>
              </w:rPr>
              <w:t>- 183%</w:t>
            </w: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- 1.2%</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center"/>
              <w:ind w:right="334"/>
              <w:spacing w:after="0"/>
              <w:rPr>
                <w:sz w:val="20"/>
                <w:szCs w:val="20"/>
                <w:color w:val="auto"/>
              </w:rPr>
            </w:pPr>
            <w:r>
              <w:rPr>
                <w:rFonts w:ascii="Arial" w:cs="Arial" w:eastAsia="Arial" w:hAnsi="Arial"/>
                <w:sz w:val="18"/>
                <w:szCs w:val="18"/>
                <w:color w:val="auto"/>
                <w:w w:val="92"/>
              </w:rPr>
              <w:t>0.4%</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0.6% - 1.2%</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- 1.5%</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80" w:type="dxa"/>
            <w:vAlign w:val="bottom"/>
            <w:gridSpan w:val="4"/>
          </w:tcPr>
          <w:p>
            <w:pPr>
              <w:jc w:val="center"/>
              <w:ind w:right="560"/>
              <w:spacing w:after="0"/>
              <w:rPr>
                <w:sz w:val="20"/>
                <w:szCs w:val="20"/>
                <w:color w:val="auto"/>
              </w:rPr>
            </w:pPr>
            <w:r>
              <w:rPr>
                <w:rFonts w:ascii="Arial" w:cs="Arial" w:eastAsia="Arial" w:hAnsi="Arial"/>
                <w:sz w:val="18"/>
                <w:szCs w:val="18"/>
                <w:color w:val="auto"/>
                <w:w w:val="97"/>
              </w:rPr>
              <w:t>— %</w:t>
            </w:r>
          </w:p>
        </w:tc>
        <w:tc>
          <w:tcPr>
            <w:tcW w:w="1000" w:type="dxa"/>
            <w:vAlign w:val="bottom"/>
            <w:gridSpan w:val="2"/>
          </w:tcPr>
          <w:p>
            <w:pPr>
              <w:jc w:val="center"/>
              <w:ind w:right="540"/>
              <w:spacing w:after="0"/>
              <w:rPr>
                <w:sz w:val="20"/>
                <w:szCs w:val="20"/>
                <w:color w:val="auto"/>
              </w:rPr>
            </w:pPr>
            <w:r>
              <w:rPr>
                <w:rFonts w:ascii="Arial" w:cs="Arial" w:eastAsia="Arial" w:hAnsi="Arial"/>
                <w:sz w:val="18"/>
                <w:szCs w:val="18"/>
                <w:color w:val="auto"/>
                <w:w w:val="97"/>
              </w:rPr>
              <w:t>— %</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 %</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7"/>
              </w:rPr>
              <w:t>— %</w:t>
            </w:r>
          </w:p>
        </w:tc>
        <w:tc>
          <w:tcPr>
            <w:tcW w:w="560" w:type="dxa"/>
            <w:vAlign w:val="bottom"/>
          </w:tcPr>
          <w:p>
            <w:pPr>
              <w:spacing w:after="0"/>
              <w:rPr>
                <w:sz w:val="20"/>
                <w:szCs w:val="20"/>
                <w:color w:val="auto"/>
              </w:rPr>
            </w:pPr>
          </w:p>
        </w:tc>
      </w:tr>
      <w:tr>
        <w:trPr>
          <w:trHeight w:val="674"/>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ind w:left="38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restricted stock activity is as follows:</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4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Number of Shares</w:t>
            </w: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Fair Value at Date of</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Grant per Share</w:t>
            </w: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December 31, 2020</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138,127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8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19,852</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ind w:left="80"/>
              <w:spacing w:after="0"/>
              <w:rPr>
                <w:sz w:val="20"/>
                <w:szCs w:val="20"/>
                <w:color w:val="auto"/>
              </w:rPr>
            </w:pPr>
            <w:r>
              <w:rPr>
                <w:rFonts w:ascii="Arial" w:cs="Arial" w:eastAsia="Arial" w:hAnsi="Arial"/>
                <w:sz w:val="18"/>
                <w:szCs w:val="18"/>
                <w:color w:val="auto"/>
              </w:rPr>
              <w:t>Vested</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(100,105)</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80"/>
              <w:spacing w:after="0"/>
              <w:rPr>
                <w:sz w:val="20"/>
                <w:szCs w:val="20"/>
                <w:color w:val="auto"/>
              </w:rPr>
            </w:pPr>
            <w:r>
              <w:rPr>
                <w:rFonts w:ascii="Arial" w:cs="Arial" w:eastAsia="Arial" w:hAnsi="Arial"/>
                <w:sz w:val="18"/>
                <w:szCs w:val="18"/>
                <w:color w:val="auto"/>
              </w:rPr>
              <w:t>Repurchased</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(16,959)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September 30, 2021</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Employee Recourse Notes</w:t>
      </w:r>
    </w:p>
    <w:p>
      <w:pPr>
        <w:spacing w:after="0" w:line="225"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2017 and 2018, the Company entered into full recourse notes with certain employees upon the exercise of stock options that are treated as substantive exercises for accounting purposes. The Company has the right to repurchase unvested shares up to 90 days after employment is terminated. As of September 30, 2021, the principal and accrued interest amount of the notes was $12,000. The notes are presented in the condensed statements of convertible preferred stock and stockholders’ equity (deficit).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460" w:firstLine="510"/>
        <w:spacing w:after="0" w:line="263" w:lineRule="auto"/>
        <w:rPr>
          <w:sz w:val="20"/>
          <w:szCs w:val="20"/>
          <w:color w:val="auto"/>
        </w:rPr>
      </w:pPr>
      <w:r>
        <w:rPr>
          <w:rFonts w:ascii="Arial" w:cs="Arial" w:eastAsia="Arial" w:hAnsi="Arial"/>
          <w:sz w:val="18"/>
          <w:szCs w:val="18"/>
          <w:color w:val="auto"/>
        </w:rPr>
        <w:t>For the three and nine months ended September 30, 2021 and 2020, the Company did not record any income tax expense. The Company has recorded a full valuation allowance against its U.S. federal and state deferred tax assets as the Company believes it is not more likely than not that the benefit will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w:t>
      </w:r>
    </w:p>
    <w:p>
      <w:pPr>
        <w:spacing w:after="0" w:line="229"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following potentially dilutive securities were not included in the calculation of diluted net loss per share as of the periods presented because the effect would have been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4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89"/>
              </w:rPr>
              <w:t>September 30,</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38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8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17,575,907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2,530,121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1,099,224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subject to future vesting</w:t>
            </w:r>
          </w:p>
        </w:tc>
        <w:tc>
          <w:tcPr>
            <w:tcW w:w="3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40,915</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179,062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380" w:type="dxa"/>
            <w:vAlign w:val="bottom"/>
          </w:tcPr>
          <w:p>
            <w:pPr>
              <w:ind w:left="80"/>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2,571,036</w:t>
            </w: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18,854,193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0" w:type="dxa"/>
            <w:vAlign w:val="bottom"/>
            <w:vMerge w:val="restart"/>
          </w:tcPr>
          <w:p>
            <w:pPr>
              <w:jc w:val="right"/>
              <w:ind w:right="1070"/>
              <w:spacing w:after="0"/>
              <w:rPr>
                <w:sz w:val="20"/>
                <w:szCs w:val="20"/>
                <w:color w:val="auto"/>
              </w:rPr>
            </w:pPr>
            <w:r>
              <w:rPr>
                <w:rFonts w:ascii="Arial" w:cs="Arial" w:eastAsia="Arial" w:hAnsi="Arial"/>
                <w:sz w:val="18"/>
                <w:szCs w:val="18"/>
                <w:color w:val="auto"/>
              </w:rPr>
              <w:t>20</w:t>
            </w: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condensed financial statements and related notes included elsewhere in this Quarterly Report on Form 10-Q and our final prospectus, dated July 29, 2021, filed with the Securities and Exchange Commission pursuant to Rule 424(b)(4) under the Securities Act of 1933, as amended (the “Prospectus”).</w:t>
      </w:r>
    </w:p>
    <w:p>
      <w:pPr>
        <w:spacing w:after="0" w:line="165"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i w:val="1"/>
          <w:iCs w:val="1"/>
          <w:color w:val="auto"/>
        </w:rPr>
        <w:t>In addition to historical financial information, this discussion and analysis and other parts of this report contain forward-looking statements within the meaning of Section 27A of the Securities Act of 1933, as amended, and Section 21E of the Securities Exchange Act of 1934, as amended, based upon current expectations that involve risks, uncertainties and assumptions. Our actual results could differ materially from those anticipated in these forward-looking statements as a result of various factors, including those set forth in the section titled “Risk Factors” under Part II, Item 1A. below. You should carefully read the “Risk Factors” to gain an understanding of the factors that could cause actual results to differ materially from our forward-looking statements. Please also see the section titled “Special Note Regarding Forward-Looking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auto"/>
        </w:rPr>
        <w:t>We are a biotechnology company headquartered in South San Francisco, California focused on discovering, designing, developing and delivering curative therapies that address the underlying drivers of heart disease. We are advancing a pipeline of disease-modifying therapies developed using our product platforms and core internal capabilities to target defined sub-populations of patients with rare or highly prevalent forms of heart disease.</w:t>
      </w:r>
    </w:p>
    <w:p>
      <w:pPr>
        <w:spacing w:after="0" w:line="149"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We were incorporated in August 2016 and commenced operations thereafter. Our operations to date have included developing our gene therapy, cellular regeneration and precision medicine platforms, identifying and developing product candidates, conducting preclinical studies, acquiring technology, organizing and recruiting management and technical staff, business planning, establishing our intellectual property portfolio, raising capital, and providing general and administrative support for these operations. All of our programs are currently in the preclinical stage and we do not have any products approved for sale. We have not generated any revenue.</w:t>
      </w:r>
    </w:p>
    <w:p>
      <w:pPr>
        <w:spacing w:after="0" w:line="188"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are advancing a deep and diverse pipeline that includes both gene therapies and small molecules. In 2022, we intend to submit an investigational new drug application (“IND”) or a clinical trial application (“CTA”) to the U.S. Food and Drug Administration (“FDA”) or European Medicines Agency (“EMA”), respectively, for the most advanced product candidate from our Gene Therapy platform, TN-201, an adeno-associated virus (“AAV”)-based gene therapy to address genetic hypertrophic cardiomyopathy (“gHCM”) caused by Myosin Binding Protein C3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TN-201, currently in IND-enabling studies, is designed to deliver a fully functional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driven by our proprietary heart-specific promoter to restore normal levels of MYBPC3 protein. We initiated a global natural history study in November 2021 to improve our understanding of disease progression and unmet need in individuals carrying mutations in the MYBPC3 gene, with an initial focus on pediatric patients under the age of 18.</w:t>
      </w:r>
    </w:p>
    <w:p>
      <w:pPr>
        <w:spacing w:after="0" w:line="16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also intend to submit an IND to the FDA in 2022 for the most advanced product candidate from our Precision Medicine platform, TYA-11631, a highly specific small molecule inhibitor of histone deacetylase 6 (“HDAC6i”). TYA-11631, currently in IND-enabling studies, has potentially broad utility in both heart failure (“HF”) with preserved ejection fraction (“HFpEF”) as well as genetic dilated cardiomyopathy (“gDCM”). We initiated cGMP activities to support the production of TYA-11631 at larger scales in October 2021. Our PKP2 program involves using an AAV-based gene therapy to address genetic arrhythmogenic right ventricular cardiomyopathy (“gARVC”) caused by plakophilin 2 (“PKP2”) gene mutations, and is currently at the candidate selection stage. Our DWORF program, an AAV-based gene therapy designed to express the Dwarf Open Reading Frame (“DWORF”) gene in the heart, has potentially broad utility in dilated cardiomyopathy (“DCM”) and HF with reduced ejection fraction (“HFrEF”), and is currently at the candidate selection stage. Our Reprogramming program for cardiac regeneration can potentially replace heart cells lost in patients experiencing HF due to prior myocardial infarction (“MI”), and is currently at the candidate selection stage. In addition, we have numerous earlier-stage programs emerging from our product platforms to address other forms of HF.</w:t>
      </w:r>
    </w:p>
    <w:p>
      <w:pPr>
        <w:spacing w:after="0" w:line="77"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On August 3, 2021, we completed an initial public offering (“IPO”) of our common stock in which we issued an aggregate of 13,800,000 shares of our common stock (inclusive of 1,800,000 shares pursuant to the underwriters’ overallotment option) at a price of $15.00 per share. We received net proceeds of $188.5 million from the IPO, after deducting underwriting discounts and commissions of $14.5 million and offering costs of $4.0 million.</w:t>
      </w:r>
    </w:p>
    <w:p>
      <w:pPr>
        <w:spacing w:after="0" w:line="149"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Since our inception, we have incurred net losses each year and we expect to continue to incur significant and increasing losses for the foreseeable future as we continue to advance our platforms, programs and product candidates, and as we transition to operating as a public company. Our net losses may fluctuate significantly from period to period, depending on the timing of expenditures on our research and development activities. Our net losses were $46.6 million and $28.1 million for the nine months ended September 30,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21" w:name="page22"/>
    <w:bookmarkEnd w:id="21"/>
    <w:p>
      <w:pPr>
        <w:ind w:right="100"/>
        <w:spacing w:after="0" w:line="259" w:lineRule="auto"/>
        <w:rPr>
          <w:sz w:val="20"/>
          <w:szCs w:val="20"/>
          <w:color w:val="auto"/>
        </w:rPr>
      </w:pPr>
      <w:r>
        <w:rPr>
          <w:rFonts w:ascii="Arial" w:cs="Arial" w:eastAsia="Arial" w:hAnsi="Arial"/>
          <w:sz w:val="18"/>
          <w:szCs w:val="18"/>
          <w:color w:val="auto"/>
        </w:rPr>
        <w:t>2021 and 2020, respectively. As of September 30, 2021, we had an accumulated deficit of $129.4 million and cash, cash equivalents and investments in marketable securities of $280.5 million. Our net losses resulted primarily from our research and development programs, and to a lesser extent, general and administrative costs associated with our operations. Historically, we have funded our operations primarily from the sale and issuance of our equity securities.</w:t>
      </w:r>
    </w:p>
    <w:p>
      <w:pPr>
        <w:spacing w:after="0" w:line="200" w:lineRule="exact"/>
        <w:rPr>
          <w:sz w:val="20"/>
          <w:szCs w:val="20"/>
          <w:color w:val="auto"/>
        </w:rPr>
      </w:pPr>
    </w:p>
    <w:p>
      <w:pPr>
        <w:spacing w:after="0" w:line="3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right="40" w:firstLine="510"/>
        <w:spacing w:after="0" w:line="218" w:lineRule="exact"/>
        <w:rPr>
          <w:sz w:val="20"/>
          <w:szCs w:val="20"/>
          <w:color w:val="auto"/>
        </w:rPr>
      </w:pPr>
      <w:r>
        <w:rPr>
          <w:rFonts w:ascii="Arial" w:cs="Arial" w:eastAsia="Arial" w:hAnsi="Arial"/>
          <w:sz w:val="17"/>
          <w:szCs w:val="17"/>
          <w:color w:val="auto"/>
        </w:rPr>
        <w:t>The global COVID</w:t>
      </w:r>
      <w:r>
        <w:rPr>
          <w:rFonts w:ascii="MS PGothic" w:cs="MS PGothic" w:eastAsia="MS PGothic" w:hAnsi="MS PGothic"/>
          <w:sz w:val="17"/>
          <w:szCs w:val="17"/>
          <w:color w:val="auto"/>
        </w:rPr>
        <w:t>‑</w:t>
      </w:r>
      <w:r>
        <w:rPr>
          <w:rFonts w:ascii="Arial" w:cs="Arial" w:eastAsia="Arial" w:hAnsi="Arial"/>
          <w:sz w:val="17"/>
          <w:szCs w:val="17"/>
          <w:color w:val="auto"/>
        </w:rPr>
        <w:t>19 pandemic continues to evolve. Potential impacts to our business include disruptions or restrictions on our employees’ ability to effectively conduct their work. In addition, some of our suppliers of certain lab materials, or service providers used in the performance of our research activities, are located in the areas impacted by COVID-19, which could limit our ability to achieve planned progress. COVID-19 could continue to adversely affect the economies and financial markets, resulting in a prolonged economic downturn or a period of high inflation rates that could affect our financing prospects. To date, we have experienced modest delays in the progress of our research and development activities, primarily due to extended lead times at certain suppliers and temporary and partial shutdowns at certain academic institutions as a result of statewide stay-at-home orders. However, these stay-at-home orders have largely terminated and operations have since resumed. We continue to monitor and assess the effects of the COVID-19 pandemic on our business, but the ultimate impact of the COVID-19 outbreak or a similar health epidemic is highly uncertain and subject to change. For additional details, see Part II, Item 1A. “Risk Factors.”</w:t>
      </w:r>
    </w:p>
    <w:p>
      <w:pPr>
        <w:spacing w:after="0" w:line="307" w:lineRule="exact"/>
        <w:rPr>
          <w:sz w:val="20"/>
          <w:szCs w:val="20"/>
          <w:color w:val="auto"/>
        </w:rPr>
      </w:pPr>
    </w:p>
    <w:p>
      <w:pPr>
        <w:jc w:val="right"/>
        <w:ind w:right="8620"/>
        <w:spacing w:after="0"/>
        <w:rPr>
          <w:sz w:val="20"/>
          <w:szCs w:val="20"/>
          <w:color w:val="auto"/>
        </w:rPr>
      </w:pPr>
      <w:r>
        <w:rPr>
          <w:rFonts w:ascii="Arial" w:cs="Arial" w:eastAsia="Arial" w:hAnsi="Arial"/>
          <w:sz w:val="16"/>
          <w:szCs w:val="16"/>
          <w:b w:val="1"/>
          <w:bCs w:val="1"/>
          <w:color w:val="auto"/>
        </w:rPr>
        <w:t>Components of Operating Results</w:t>
      </w:r>
    </w:p>
    <w:p>
      <w:pPr>
        <w:spacing w:after="0" w:line="144" w:lineRule="exact"/>
        <w:rPr>
          <w:sz w:val="20"/>
          <w:szCs w:val="20"/>
          <w:color w:val="auto"/>
        </w:rPr>
      </w:pPr>
    </w:p>
    <w:p>
      <w:pPr>
        <w:jc w:val="right"/>
        <w:ind w:right="87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Research and development activities account for a significant portion of our operating expenses. Research and development expenses relate primarily to discovery and development of our platforms, programs and product candidates, and are recognized as incurred. Internal research and development costs include, among others, personnel-related costs (including salaries, benefits and stock-based compensation for employees engaged in research and development functions), laboratory supplies and other non-capital equipment utilized for in-house research, allocated facilities and overhead costs. External research and development expenses include, among others, amounts incurred to clinical research organizations (“CROs”) that conduct research and development activities on our behalf, consulting fees and amounts owed under licensing agreements. We do not allocate our costs by platform, program or product candidate, as a significant amount of research and development expenses include internal costs, which are deployed across multiple platforms, programs, product candidates and activities.</w:t>
      </w:r>
    </w:p>
    <w:p>
      <w:pPr>
        <w:spacing w:after="0" w:line="178"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Amounts recorded for external goods or services incurred for research and development activities that have not yet been invoiced often represent estimates. We do not currently have projects that require estimates for percentage of completion and we record estimates for amounts due but not yet invoiced based on input from external service providers.</w:t>
      </w:r>
    </w:p>
    <w:p>
      <w:pPr>
        <w:spacing w:after="0" w:line="184" w:lineRule="exact"/>
        <w:rPr>
          <w:sz w:val="20"/>
          <w:szCs w:val="20"/>
          <w:color w:val="auto"/>
        </w:rPr>
      </w:pPr>
    </w:p>
    <w:p>
      <w:pPr>
        <w:ind w:right="260" w:firstLine="510"/>
        <w:spacing w:after="0" w:line="255" w:lineRule="auto"/>
        <w:rPr>
          <w:sz w:val="20"/>
          <w:szCs w:val="20"/>
          <w:color w:val="auto"/>
        </w:rPr>
      </w:pPr>
      <w:r>
        <w:rPr>
          <w:rFonts w:ascii="Arial" w:cs="Arial" w:eastAsia="Arial" w:hAnsi="Arial"/>
          <w:sz w:val="18"/>
          <w:szCs w:val="18"/>
          <w:color w:val="auto"/>
        </w:rPr>
        <w:t>We expect our research and development expenses to increase for the foreseeable future as we continue to invest in research and development activities related to developing our platforms, programs and product candidates and progressing through preclinical and clinical product development stages. The process of conducting the necessary research to advance to the clinical stage and ultimately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stock-based compensation for our employees in executive, finance and other administrative functions), legal fees, professional fees incurred for accounting, audit, and tax services, recruiting costs, and facility costs not otherwise included in research and development expenses. Legal fees include those related to corporate and intellectual property related matters.</w:t>
      </w:r>
    </w:p>
    <w:p>
      <w:pPr>
        <w:spacing w:after="0" w:line="187"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We expect that our general and administrative expenses will increase for the foreseeable future to support our continued research and development activities, general operations, future business development opportunities and professional fees. In addition, we expect to incur additional expenses associated with operating as a public company, including legal, accounting, insurance, exchange listing, SEC compliance, and investor relations costs.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primarily consists of interest earned on our cash, cash equivalents and investment balances.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b w:val="1"/>
          <w:bCs w:val="1"/>
          <w:i w:val="1"/>
          <w:iCs w:val="1"/>
          <w:color w:val="auto"/>
        </w:rPr>
        <w:t>Change in Fair Value of Convertible Preferred Stock Tranche Liability</w:t>
      </w:r>
    </w:p>
    <w:p>
      <w:pPr>
        <w:spacing w:after="0" w:line="117"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The change in fair value of our convertible preferred stock tranche liability fluctuates based on remeasurements at each reporting period. Our convertible preferred stock tranche liability stemmed from our obligation to issue additional shares to investors upon the second and third closings of our Series B convertible preferred stock. Until settlement, fluctuations in the fair value of a convertible preferred stock tranche liability are based on the remeasurement at each reporting period. Our convertible preferred stock tranche liability was settled on the second and third closings of our Series B convertible preferred stock financing in March and August 2020, respectively.</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(expense), net primarily consists of sublease income for a portion of our facilities in South San Francisco during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Change</w:t>
            </w:r>
          </w:p>
        </w:tc>
        <w:tc>
          <w:tcPr>
            <w:tcW w:w="1340" w:type="dxa"/>
            <w:vAlign w:val="bottom"/>
            <w:gridSpan w:val="2"/>
          </w:tcPr>
          <w:p>
            <w:pPr>
              <w:ind w:left="360"/>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12,944</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8,480</w:t>
            </w:r>
          </w:p>
        </w:tc>
        <w:tc>
          <w:tcPr>
            <w:tcW w:w="16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4,464</w:t>
            </w:r>
          </w:p>
        </w:tc>
        <w:tc>
          <w:tcPr>
            <w:tcW w:w="2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3,384</w:t>
            </w:r>
          </w:p>
        </w:tc>
        <w:tc>
          <w:tcPr>
            <w:tcW w:w="24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7,848</w:t>
            </w: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75%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(7,848)</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120"/>
              <w:spacing w:after="0"/>
              <w:rPr>
                <w:sz w:val="20"/>
                <w:szCs w:val="20"/>
                <w:color w:val="auto"/>
              </w:rPr>
            </w:pPr>
            <w:r>
              <w:rPr>
                <w:rFonts w:ascii="Arial" w:cs="Arial" w:eastAsia="Arial" w:hAnsi="Arial"/>
                <w:sz w:val="18"/>
                <w:szCs w:val="18"/>
                <w:color w:val="auto"/>
              </w:rPr>
              <w:t>Change in fair value of convertible preferred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stock tranche liability</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Borders>
              <w:bottom w:val="single" w:sz="8" w:color="CFF0FC"/>
            </w:tcBorders>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(18,262)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(7,967)</w:t>
            </w:r>
          </w:p>
        </w:tc>
        <w:tc>
          <w:tcPr>
            <w:tcW w:w="2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77%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presented:</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9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Change</w:t>
            </w:r>
          </w:p>
        </w:tc>
        <w:tc>
          <w:tcPr>
            <w:tcW w:w="1340" w:type="dxa"/>
            <w:vAlign w:val="bottom"/>
            <w:gridSpan w:val="2"/>
          </w:tcPr>
          <w:p>
            <w:pPr>
              <w:ind w:left="360"/>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Facility and laboratory costs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3,357</w:t>
            </w:r>
          </w:p>
        </w:tc>
        <w:tc>
          <w:tcPr>
            <w:tcW w:w="4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Personnel-related costs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4,764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1,920</w:t>
            </w:r>
          </w:p>
        </w:tc>
        <w:tc>
          <w:tcPr>
            <w:tcW w:w="2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External costs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and development expenses were $12.9 million and $8.5 million for the three months ended September 30, 2021 and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change of $4.5 million, or 53%, was primarily due to:</w:t>
      </w:r>
    </w:p>
    <w:p>
      <w:pPr>
        <w:spacing w:after="0" w:line="103" w:lineRule="exact"/>
        <w:rPr>
          <w:sz w:val="20"/>
          <w:szCs w:val="20"/>
          <w:color w:val="auto"/>
        </w:rPr>
      </w:pPr>
    </w:p>
    <w:p>
      <w:pPr>
        <w:ind w:left="74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$1.4 million in facility and laboratory costs, including laboratory supplies and materials and other allocated costs, as we ramped up our research and development operations;</w:t>
      </w:r>
    </w:p>
    <w:p>
      <w:pPr>
        <w:spacing w:after="0" w:line="62"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$1.9 million in personnel-related costs, including stock-based compensation, primarily due to growth in the number of our research and development employees as we expanded our research and development capabilities;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3" w:name="page24"/>
    <w:bookmarkEnd w:id="23"/>
    <w:p>
      <w:pPr>
        <w:ind w:left="740" w:right="20" w:hanging="368"/>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$1.2 million in external costs, including amounts paid to CROs for research and development activities, consulting fees, preclinical studies and other external research expenses as we progressed development of our programs.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General and administrative expenses were $5.4 million and $1.9 million for the three months ended September 30, 2021 and 2020, respectively. The change of $3.4 million, or 172%, was primarily due to a $1.4 million increase in personnel-related expenses, including stock-based compensation, as a result of higher headcount as we grew our operations, a $0.8 million increase in professional service expenses, as we prepared to become a public company and completed our IPO of our common stock, and a $0.6 million increase in facility and related costs, as we leased additional space in 2021.</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Interest income was $23,000 and $7,000 for the three months ended September 30, 2021 and 2020, respectively. The increase of $16,000, or 229%, was primarily due to a change in our investment portfolio mix.</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 in Fair Value of Convertible Preferred Stock Tranche Liability</w:t>
      </w:r>
    </w:p>
    <w:p>
      <w:pPr>
        <w:spacing w:after="0" w:line="117"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 change in fair value of our convertible preferred stock tranche liability for the three months ended September 30, 2020 was attributable to changes in the fair value of the underlying Series B convertible preferred stock. There was no similar expense for the three months ended September 30, 2021 as our convertible preferred stock tranche liability was settled in 2020.</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3"/>
              </w:rPr>
              <w:t>Nine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Change</w:t>
            </w:r>
          </w:p>
        </w:tc>
        <w:tc>
          <w:tcPr>
            <w:tcW w:w="1340" w:type="dxa"/>
            <w:vAlign w:val="bottom"/>
            <w:gridSpan w:val="2"/>
          </w:tcPr>
          <w:p>
            <w:pPr>
              <w:ind w:left="360"/>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33,440</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22,735</w:t>
            </w:r>
          </w:p>
        </w:tc>
        <w:tc>
          <w:tcPr>
            <w:tcW w:w="16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10,705</w:t>
            </w:r>
          </w:p>
        </w:tc>
        <w:tc>
          <w:tcPr>
            <w:tcW w:w="2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7,347</w:t>
            </w:r>
          </w:p>
        </w:tc>
        <w:tc>
          <w:tcPr>
            <w:tcW w:w="24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46,642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18,052</w:t>
            </w: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(18,052)</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120"/>
              <w:spacing w:after="0"/>
              <w:rPr>
                <w:sz w:val="20"/>
                <w:szCs w:val="20"/>
                <w:color w:val="auto"/>
              </w:rPr>
            </w:pPr>
            <w:r>
              <w:rPr>
                <w:rFonts w:ascii="Arial" w:cs="Arial" w:eastAsia="Arial" w:hAnsi="Arial"/>
                <w:sz w:val="18"/>
                <w:szCs w:val="18"/>
                <w:color w:val="auto"/>
              </w:rPr>
              <w:t>Change in fair value of convertible preferred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stock tranche liability</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(325)</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240" w:type="dxa"/>
            <w:vAlign w:val="bottom"/>
            <w:tcBorders>
              <w:bottom w:val="single" w:sz="8" w:color="CFF0FC"/>
            </w:tcBorders>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(46,570)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(28,077)</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(18,493)</w:t>
            </w:r>
          </w:p>
        </w:tc>
        <w:tc>
          <w:tcPr>
            <w:tcW w:w="2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66%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presented: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96"/>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Change</w:t>
            </w:r>
          </w:p>
        </w:tc>
        <w:tc>
          <w:tcPr>
            <w:tcW w:w="1340" w:type="dxa"/>
            <w:vAlign w:val="bottom"/>
            <w:gridSpan w:val="2"/>
          </w:tcPr>
          <w:p>
            <w:pPr>
              <w:ind w:left="360"/>
              <w:spacing w:after="0" w:line="155" w:lineRule="exact"/>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Facility and laboratory costs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8,487</w:t>
            </w:r>
          </w:p>
        </w:tc>
        <w:tc>
          <w:tcPr>
            <w:tcW w:w="4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5,008</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59%</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Personnel-related costs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11,649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7,750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3,899</w:t>
            </w:r>
          </w:p>
        </w:tc>
        <w:tc>
          <w:tcPr>
            <w:tcW w:w="2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External costs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29%</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96"/>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left="520"/>
        <w:spacing w:after="0"/>
        <w:rPr>
          <w:sz w:val="20"/>
          <w:szCs w:val="20"/>
          <w:color w:val="auto"/>
        </w:rPr>
      </w:pPr>
      <w:r>
        <w:rPr>
          <w:rFonts w:ascii="Arial" w:cs="Arial" w:eastAsia="Arial" w:hAnsi="Arial"/>
          <w:sz w:val="16"/>
          <w:szCs w:val="16"/>
          <w:color w:val="auto"/>
        </w:rPr>
        <w:t>Research and development expenses were $33.4 million and $22.7 million for the nine months ended September 30, 2021 and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change of $10.7 million, or 47%, was primarily due to:</w:t>
      </w:r>
    </w:p>
    <w:p>
      <w:pPr>
        <w:spacing w:after="0" w:line="103" w:lineRule="exact"/>
        <w:rPr>
          <w:sz w:val="20"/>
          <w:szCs w:val="20"/>
          <w:color w:val="auto"/>
        </w:rPr>
      </w:pPr>
    </w:p>
    <w:p>
      <w:pPr>
        <w:ind w:left="880" w:right="12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$5.0 million in facility and laboratory costs, including laboratory supplies and materials and other allocated costs, as we ramped up our research and development operations;</w:t>
      </w:r>
    </w:p>
    <w:p>
      <w:pPr>
        <w:spacing w:after="0" w:line="62" w:lineRule="exact"/>
        <w:rPr>
          <w:rFonts w:ascii="Arial" w:cs="Arial" w:eastAsia="Arial" w:hAnsi="Arial"/>
          <w:sz w:val="18"/>
          <w:szCs w:val="18"/>
          <w:color w:val="auto"/>
        </w:rPr>
      </w:pPr>
    </w:p>
    <w:p>
      <w:pPr>
        <w:ind w:left="880" w:right="52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$3.9 million in personnel-related costs, including stock-based compensation, primarily due to growth in the number of our research and development employees as we expanded our research and development capabilities; and</w:t>
      </w:r>
    </w:p>
    <w:p>
      <w:pPr>
        <w:spacing w:after="0" w:line="62" w:lineRule="exact"/>
        <w:rPr>
          <w:rFonts w:ascii="Arial" w:cs="Arial" w:eastAsia="Arial" w:hAnsi="Arial"/>
          <w:sz w:val="18"/>
          <w:szCs w:val="18"/>
          <w:color w:val="auto"/>
        </w:rPr>
      </w:pPr>
    </w:p>
    <w:p>
      <w:pPr>
        <w:ind w:left="880" w:right="680" w:hanging="373"/>
        <w:spacing w:after="0" w:line="308" w:lineRule="auto"/>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increase of $1.8 million in external costs, including amounts paid to CROs for research and development activities, consulting fees, preclinical studies and other external research expenses as we progressed development of our programs.</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510"/>
        <w:spacing w:after="0" w:line="307" w:lineRule="auto"/>
        <w:rPr>
          <w:sz w:val="20"/>
          <w:szCs w:val="20"/>
          <w:color w:val="auto"/>
        </w:rPr>
      </w:pPr>
      <w:r>
        <w:rPr>
          <w:rFonts w:ascii="Arial" w:cs="Arial" w:eastAsia="Arial" w:hAnsi="Arial"/>
          <w:sz w:val="16"/>
          <w:szCs w:val="16"/>
          <w:color w:val="auto"/>
        </w:rPr>
        <w:t>General and administrative expenses were $13.2 million and $5.9 million for the nine months ended September 30, 2021 and 2020, respectively. The change of $7.3 million, or 125%, was primarily due to a $2.9 million increase in personnel-related expenses, including stock-based compensation, as a result of higher headcount as we grew our operations, a $2.6 million increase in professional service expenses as we prepared to become a public company and completed our IPO of our common stock and a $0.9 million increase in facility and related costs, as we leased additional space in 2021.</w:t>
      </w:r>
    </w:p>
    <w:p>
      <w:pPr>
        <w:spacing w:after="0" w:line="2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Interest income was $41,000 and $82,000 for the nine months ended September 30, 2021 and 2020, respectively. The decrease of $41,000, or 50%, was primarily due to a change in our investment portfolio mix.</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 in Fair Value of Convertible Preferred Stock Tranche Liability</w:t>
      </w:r>
    </w:p>
    <w:p>
      <w:pPr>
        <w:spacing w:after="0" w:line="117"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The change in fair value of our convertible preferred stock tranche liability for the nine months ended September 30, 2020 was attributable to changes in the fair value of the underlying Series B convertible preferred stock. There was no similar expense for the nine months ended September 30, 2021 as our convertible preferred stock tranche liability was settled in 2020.</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Other income (expense), net of $0.4 million for the nine months ended September 30, 2020 was primarily related to sublease income. Our sublease agreements expired during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Since our inception, we have not generated any revenue and we have incurred significant net losses and negative cash flows from operations. From our inception through September 30, 2021, we have funded our operations primarily from the sale and issuance of our equity securities. In connection with our IPO, we issued and sold 13,800,000 shares of our common stock at a price of $15.00 per share for net proceeds of approximately $188.5 million. As of September 30, 2021, we had cash, cash equivalents and investments in marketable securities of $280.5 million and an accumulated deficit of $129.4 million.</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We expect our expenses and operating losses will increase substantially over the foreseeable future. The expected increase in expenses will be driven in large part by our ongoing activities, if and as we:</w:t>
      </w:r>
    </w:p>
    <w:p>
      <w:pPr>
        <w:spacing w:after="0" w:line="62" w:lineRule="exact"/>
        <w:rPr>
          <w:sz w:val="20"/>
          <w:szCs w:val="20"/>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advance our Gene Therapy, Cellular Regeneration and Precision Medicine platforms;</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preclinical development of our product candidates and initiate additional preclinical studies;</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commence clinical trials of our product candidates;</w:t>
      </w:r>
    </w:p>
    <w:p>
      <w:pPr>
        <w:spacing w:after="0" w:line="130" w:lineRule="exact"/>
        <w:rPr>
          <w:rFonts w:ascii="Arial" w:cs="Arial" w:eastAsia="Arial" w:hAnsi="Arial"/>
          <w:sz w:val="18"/>
          <w:szCs w:val="18"/>
          <w:color w:val="auto"/>
        </w:rPr>
      </w:pPr>
    </w:p>
    <w:p>
      <w:pPr>
        <w:ind w:left="880" w:right="66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build out our manufacturing facilities and establish our manufacturing capabilities, including developing our contract development and manufacturing relationships;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and license technologies aligned with our Gene Therapy, Cellular Regeneration and Precision Medicine platforms;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5" w:name="page26"/>
    <w:bookmarkEnd w:id="25"/>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approval of our product candidates that successfully complete clinical trials;</w:t>
      </w:r>
    </w:p>
    <w:p>
      <w:pPr>
        <w:spacing w:after="0" w:line="130"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preclinical and clinical development, manufacturing, and future commercialization efforts;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develop, grow, perfect, enforce and defend our intellectual property portfolio; and</w:t>
      </w:r>
    </w:p>
    <w:p>
      <w:pPr>
        <w:spacing w:after="0" w:line="130"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our business, including the additional costs associated with operating as a public company.</w:t>
      </w:r>
    </w:p>
    <w:p>
      <w:pPr>
        <w:spacing w:after="0" w:line="170"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Based on our current operating plan, we believe that our existing cash, cash equivalents and investments in marketable securities will be sufficient to meet our working capital and capital expenditure needs through at least the next twelve months following the date of this Quarterly Report on Form 10-Q.</w:t>
      </w:r>
    </w:p>
    <w:p>
      <w:pPr>
        <w:spacing w:after="0" w:line="18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pacing w:after="0" w:line="17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ability to raise additional funds may be adversely impacted by potential worsening global economic conditions and the recent disruptions to, and volatility in, the credit and financial markets in the United States and worldwide resulting from the ongoing COVID-19 pandemic.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indicated:</w:t>
      </w:r>
    </w:p>
    <w:p>
      <w:pPr>
        <w:spacing w:after="0" w:line="257" w:lineRule="exact"/>
        <w:rPr>
          <w:sz w:val="20"/>
          <w:szCs w:val="20"/>
          <w:color w:val="auto"/>
        </w:rPr>
      </w:pPr>
    </w:p>
    <w:p>
      <w:pPr>
        <w:jc w:val="center"/>
        <w:ind w:left="4400"/>
        <w:spacing w:after="0"/>
        <w:rPr>
          <w:sz w:val="20"/>
          <w:szCs w:val="20"/>
          <w:color w:val="auto"/>
        </w:rPr>
      </w:pPr>
      <w:r>
        <w:rPr>
          <w:rFonts w:ascii="Arial" w:cs="Arial" w:eastAsia="Arial" w:hAnsi="Arial"/>
          <w:sz w:val="14"/>
          <w:szCs w:val="14"/>
          <w:b w:val="1"/>
          <w:bCs w:val="1"/>
          <w:color w:val="auto"/>
        </w:rPr>
        <w:t>Nine Months Ended</w:t>
      </w:r>
    </w:p>
    <w:p>
      <w:pPr>
        <w:jc w:val="center"/>
        <w:ind w:left="44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700" w:type="dxa"/>
        <w:tblCellMar>
          <w:top w:w="0" w:type="dxa"/>
          <w:left w:w="0" w:type="dxa"/>
          <w:bottom w:w="0" w:type="dxa"/>
          <w:right w:w="0" w:type="dxa"/>
        </w:tblCellMar>
      </w:tblPr>
      <w:tr>
        <w:trPr>
          <w:trHeight w:val="155"/>
        </w:trPr>
        <w:tc>
          <w:tcPr>
            <w:tcW w:w="3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3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4"/>
          </w:tcPr>
          <w:p>
            <w:pPr>
              <w:jc w:val="right"/>
              <w:ind w:right="100"/>
              <w:spacing w:after="0" w:line="155"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78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(44,465)</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(25,046)</w:t>
            </w:r>
          </w:p>
        </w:tc>
      </w:tr>
      <w:tr>
        <w:trPr>
          <w:trHeight w:val="229"/>
        </w:trPr>
        <w:tc>
          <w:tcPr>
            <w:tcW w:w="3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(175,984)</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80" w:type="dxa"/>
            <w:vAlign w:val="bottom"/>
            <w:shd w:val="clear" w:color="auto" w:fill="CFF0FC"/>
          </w:tcPr>
          <w:p>
            <w:pPr>
              <w:spacing w:after="0"/>
              <w:rPr>
                <w:sz w:val="19"/>
                <w:szCs w:val="19"/>
                <w:color w:val="auto"/>
              </w:rPr>
            </w:pPr>
          </w:p>
        </w:tc>
      </w:tr>
      <w:tr>
        <w:trPr>
          <w:trHeight w:val="230"/>
        </w:trPr>
        <w:tc>
          <w:tcPr>
            <w:tcW w:w="37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Financing activities</w:t>
            </w:r>
          </w:p>
        </w:tc>
        <w:tc>
          <w:tcPr>
            <w:tcW w:w="8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208,991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61,344</w:t>
            </w:r>
          </w:p>
        </w:tc>
        <w:tc>
          <w:tcPr>
            <w:tcW w:w="80" w:type="dxa"/>
            <w:vAlign w:val="bottom"/>
            <w:tcBorders>
              <w:bottom w:val="single" w:sz="8" w:color="CFF0FC"/>
            </w:tcBorders>
          </w:tcPr>
          <w:p>
            <w:pPr>
              <w:spacing w:after="0"/>
              <w:rPr>
                <w:sz w:val="19"/>
                <w:szCs w:val="19"/>
                <w:color w:val="auto"/>
              </w:rPr>
            </w:pPr>
          </w:p>
        </w:tc>
      </w:tr>
      <w:tr>
        <w:trPr>
          <w:trHeight w:val="209"/>
        </w:trPr>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cash, cash equivalents</w:t>
            </w: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restricted cash</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(11,458)</w:t>
            </w:r>
          </w:p>
        </w:tc>
        <w:tc>
          <w:tcPr>
            <w:tcW w:w="5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37,465</w:t>
            </w:r>
          </w:p>
        </w:tc>
        <w:tc>
          <w:tcPr>
            <w:tcW w:w="80" w:type="dxa"/>
            <w:vAlign w:val="bottom"/>
            <w:shd w:val="clear" w:color="auto" w:fill="CFF0FC"/>
          </w:tcPr>
          <w:p>
            <w:pPr>
              <w:spacing w:after="0"/>
              <w:rPr>
                <w:sz w:val="20"/>
                <w:szCs w:val="20"/>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Net cash used in operating activities for the nine months ended September 30, 2021 was $44.5 million, which consisted primarily of a net loss of $46.6 million and a net change in net operating assets and liabilities of $2.7 million, partially offset by $4.8 million in non-cash charges. The non-cash charges primarily consisted of depreciation and amortization of $2.2 million, stock-based compensation of $1.9 million and non-cash operating lease expense of $0.7 million. The change in net operating assets and liabilities was primarily due to an increase in other non-current assets of $3.1 million related to a security deposit for a lease entered into in February 2021, an increase in prepaid expenses and other current assets of $3.0 million, and a decrease in operating lease liabilities of $1.0 million, partially offset by an increase in accounts payable and accrued expenses and other current liabilities of $4.2 million.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26" w:name="page27"/>
    <w:bookmarkEnd w:id="26"/>
    <w:p>
      <w:pPr>
        <w:ind w:right="40" w:firstLine="510"/>
        <w:spacing w:after="0" w:line="255" w:lineRule="auto"/>
        <w:rPr>
          <w:sz w:val="20"/>
          <w:szCs w:val="20"/>
          <w:color w:val="auto"/>
        </w:rPr>
      </w:pPr>
      <w:r>
        <w:rPr>
          <w:rFonts w:ascii="Arial" w:cs="Arial" w:eastAsia="Arial" w:hAnsi="Arial"/>
          <w:sz w:val="18"/>
          <w:szCs w:val="18"/>
          <w:color w:val="auto"/>
        </w:rPr>
        <w:t>Net cash used in operating activities for the nine months ended September 30, 2020 was $25.0 million, which consisted primarily of a net loss of $28.1 million, partially offset by non-cash charges of $2.3 million and a net change in net operating assets and liabilities of $0.7 million. The non-cash charges primarily consisted of depreciation and amortization of $1.8 million and stock-based compensation of $0.5 million. The change in net operating assets and liabilities was primarily due to an increase in accounts payable and accrued expenses and other current liabilities of $1.2 million, a decrease in prepaid expenses and other current assets of $0.3 million, partially offset by a decrease in deferred rent and other lease liabilities of $0.6 million and an increase in other non-current assets of $0.2 million.</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Net cash used in investing activities for the nine months ended September 30, 2021 was $176.0 million, which consisted of purchases of marketable securities of $163.4 million and purchases of property and equipment of $12.6 million primarily related to our manufacturing and office space in the San Francisco Bay Area.</w:t>
      </w:r>
    </w:p>
    <w:p>
      <w:pPr>
        <w:spacing w:after="0" w:line="184" w:lineRule="exact"/>
        <w:rPr>
          <w:sz w:val="20"/>
          <w:szCs w:val="20"/>
          <w:color w:val="auto"/>
        </w:rPr>
      </w:pPr>
    </w:p>
    <w:p>
      <w:pPr>
        <w:ind w:right="600" w:firstLine="510"/>
        <w:spacing w:after="0" w:line="308" w:lineRule="auto"/>
        <w:rPr>
          <w:sz w:val="20"/>
          <w:szCs w:val="20"/>
          <w:color w:val="auto"/>
        </w:rPr>
      </w:pPr>
      <w:r>
        <w:rPr>
          <w:rFonts w:ascii="Arial" w:cs="Arial" w:eastAsia="Arial" w:hAnsi="Arial"/>
          <w:sz w:val="17"/>
          <w:szCs w:val="17"/>
          <w:color w:val="auto"/>
        </w:rPr>
        <w:t>Net cash provided by investing activities for the nine months ended September 30, 2020 was $1.2 million, which consisted of proceeds from maturities of marketable securities of $2.8 million, partially offset by purchases of property and equipment of $1.6 million.</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Net cash provided by financing activities for the nine months ended September 30, 2021 was $209.0 million, which primarily consisted of proceeds from our initial public offering, net of issuance costs, of $188.6 million, net proceeds received from the sale and issuance of our Series C convertible preferred stock of $20.0 million, and proceeds from the exercise of stock options of $0.3 million.</w:t>
      </w:r>
    </w:p>
    <w:p>
      <w:pPr>
        <w:spacing w:after="0" w:line="184"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Net cash provided by financing activities for the nine months ended September 30, 2020 was $61.3 million, which consisted primarily of net proceeds received from the sale and issuance of our Series B convertible preferred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As of September 30, 2021, there have been no material changes from the contractual obligations and commitments previously disclosed in our Prospectus.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inception, we have not engaged in any off-balance sheet arrangements as defined in the rules and regulations of the SEC.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Our management’s discussion and analysis of the financial condition and results of operations is based on our financial statements, which have been prepared in accordance with the U.S. generally accepted accounting principles, or GAAP. The preparation of our financial statements requires us to make estimates and assumptions that affect the reported amounts of assets, liabilities, expenses and related disclosures. Our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firstLine="510"/>
        <w:spacing w:after="0" w:line="277" w:lineRule="auto"/>
        <w:rPr>
          <w:sz w:val="20"/>
          <w:szCs w:val="20"/>
          <w:color w:val="auto"/>
        </w:rPr>
      </w:pPr>
      <w:r>
        <w:rPr>
          <w:rFonts w:ascii="Arial" w:cs="Arial" w:eastAsia="Arial" w:hAnsi="Arial"/>
          <w:sz w:val="17"/>
          <w:szCs w:val="17"/>
          <w:color w:val="auto"/>
        </w:rPr>
        <w:t>During the nine months ended September 30, 2021, there were no material changes to our critical accounting policies or in the methodology used for estimates from those described in “Management’s Discussion and Analysis of Financial Condition and Results of Operations” included in the Prospectus, except as follows. The determination of the fair value of our common stock is used in estimating the fair value of stock-based awards at grant date. Prior to the IPO, our common stock was not publicly traded, therefore we estimated the fair value of our common stock as discussed in our Prospectus. Following our IPO, the closing sale price per share of our common stock as reported on the Nasdaq Global Select Market on the date of grant will be used to determine the exercise price per share of our share-based awards to purchase common stock.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See Note 2 to our unaudited interim condensed financial statements for more information about recent accounting pronouncements, the timing of their adoption, and our assessment, to the extent we have made one yet, of their potential impact on our financial condition of results of operations.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We are an emerging growth company, as defined in the Jumpstart Our Business Startups Act of 2012 (“JOBS Act”). 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spacing w:after="0" w:line="171" w:lineRule="exact"/>
        <w:rPr>
          <w:sz w:val="20"/>
          <w:szCs w:val="20"/>
          <w:color w:val="auto"/>
        </w:rPr>
      </w:pPr>
    </w:p>
    <w:p>
      <w:pPr>
        <w:ind w:right="200" w:firstLine="510"/>
        <w:spacing w:after="0" w:line="273" w:lineRule="auto"/>
        <w:rPr>
          <w:sz w:val="20"/>
          <w:szCs w:val="20"/>
          <w:color w:val="auto"/>
        </w:rPr>
      </w:pPr>
      <w:r>
        <w:rPr>
          <w:rFonts w:ascii="Arial" w:cs="Arial" w:eastAsia="Arial" w:hAnsi="Arial"/>
          <w:sz w:val="17"/>
          <w:szCs w:val="17"/>
          <w:color w:val="auto"/>
        </w:rPr>
        <w:t>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17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company’s smaller reporting companies have reduced disclosure obligations regarding executive compensation.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231F20"/>
        </w:rPr>
        <w:t>We are a smaller reporting company, as defined by Rule 12b-2 under the Securities and Exchange Act of 1934 and in Item 10(f)(1) of Regulation S-K, and are not required to provide the information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Our management, with the participation and supervision of our Chief Executive Officer and our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Rules 13a-15(f) and 15d-15(f)) during the quarter ended September 30, 2021 that have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center"/>
        <w:ind w:right="-119"/>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120" w:firstLine="510"/>
        <w:spacing w:after="0" w:line="286" w:lineRule="auto"/>
        <w:rPr>
          <w:sz w:val="20"/>
          <w:szCs w:val="20"/>
          <w:color w:val="auto"/>
        </w:rPr>
      </w:pPr>
      <w:r>
        <w:rPr>
          <w:rFonts w:ascii="Arial" w:cs="Arial" w:eastAsia="Arial" w:hAnsi="Arial"/>
          <w:sz w:val="17"/>
          <w:szCs w:val="17"/>
          <w:color w:val="auto"/>
        </w:rPr>
        <w:t>From time to time, we may become involved in various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400" w:firstLine="510"/>
        <w:spacing w:after="0" w:line="296" w:lineRule="auto"/>
        <w:rPr>
          <w:sz w:val="20"/>
          <w:szCs w:val="20"/>
          <w:color w:val="auto"/>
        </w:rPr>
      </w:pPr>
      <w:r>
        <w:rPr>
          <w:rFonts w:ascii="Arial" w:cs="Arial" w:eastAsia="Arial" w:hAnsi="Arial"/>
          <w:sz w:val="16"/>
          <w:szCs w:val="16"/>
          <w:i w:val="1"/>
          <w:iCs w:val="1"/>
          <w:color w:val="231F20"/>
        </w:rPr>
        <w:t>Investing in our common stock involves a high degree of risk. You should carefully consider the risks described below, as well as the other information in this quarterly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 Factors Summary</w:t>
      </w:r>
    </w:p>
    <w:p>
      <w:pPr>
        <w:spacing w:after="0" w:line="12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i w:val="1"/>
          <w:iCs w:val="1"/>
          <w:color w:val="auto"/>
        </w:rPr>
        <w:t>Our ability to execute on our business strategy is subject to a number of risks and uncertainties, including those outside of our control, that could cause our actual results to be harmed, including risks regarding the following:</w:t>
      </w:r>
    </w:p>
    <w:p>
      <w:pPr>
        <w:spacing w:after="0" w:line="76" w:lineRule="exact"/>
        <w:rPr>
          <w:sz w:val="20"/>
          <w:szCs w:val="20"/>
          <w:color w:val="auto"/>
        </w:rPr>
      </w:pPr>
    </w:p>
    <w:p>
      <w:pPr>
        <w:ind w:left="880" w:right="320" w:hanging="373"/>
        <w:spacing w:after="0" w:line="226" w:lineRule="auto"/>
        <w:tabs>
          <w:tab w:leader="none" w:pos="880" w:val="left"/>
        </w:tabs>
        <w:numPr>
          <w:ilvl w:val="0"/>
          <w:numId w:val="17"/>
        </w:numPr>
        <w:rPr>
          <w:rFonts w:ascii="Arial" w:cs="Arial" w:eastAsia="Arial" w:hAnsi="Arial"/>
          <w:sz w:val="25"/>
          <w:szCs w:val="25"/>
          <w:color w:val="231F20"/>
          <w:vertAlign w:val="superscript"/>
        </w:rPr>
      </w:pPr>
      <w:r>
        <w:rPr>
          <w:rFonts w:ascii="Arial" w:cs="Arial" w:eastAsia="Arial" w:hAnsi="Arial"/>
          <w:sz w:val="18"/>
          <w:szCs w:val="18"/>
          <w:color w:val="231F20"/>
        </w:rPr>
        <w:t>We are early in our development efforts, with a limited operating history, have not initiated or completed any clinical trials, and have no products approved for commercial sale, which may make it difficult for you to evaluate our current business and likelihood of success and future viability.</w:t>
      </w:r>
    </w:p>
    <w:p>
      <w:pPr>
        <w:spacing w:after="0" w:line="95" w:lineRule="exact"/>
        <w:rPr>
          <w:rFonts w:ascii="Arial" w:cs="Arial" w:eastAsia="Arial" w:hAnsi="Arial"/>
          <w:sz w:val="25"/>
          <w:szCs w:val="25"/>
          <w:color w:val="231F20"/>
          <w:vertAlign w:val="superscript"/>
        </w:rPr>
      </w:pPr>
    </w:p>
    <w:p>
      <w:pPr>
        <w:ind w:left="880" w:right="240" w:hanging="373"/>
        <w:spacing w:after="0" w:line="216" w:lineRule="auto"/>
        <w:tabs>
          <w:tab w:leader="none" w:pos="880" w:val="left"/>
        </w:tabs>
        <w:numPr>
          <w:ilvl w:val="0"/>
          <w:numId w:val="17"/>
        </w:numPr>
        <w:rPr>
          <w:rFonts w:ascii="Arial" w:cs="Arial" w:eastAsia="Arial" w:hAnsi="Arial"/>
          <w:sz w:val="25"/>
          <w:szCs w:val="25"/>
          <w:color w:val="231F20"/>
          <w:vertAlign w:val="superscript"/>
        </w:rPr>
      </w:pPr>
      <w:r>
        <w:rPr>
          <w:rFonts w:ascii="Arial" w:cs="Arial" w:eastAsia="Arial" w:hAnsi="Arial"/>
          <w:sz w:val="18"/>
          <w:szCs w:val="18"/>
          <w:color w:val="231F20"/>
        </w:rPr>
        <w:t>We have not generated any product revenue to date, have incurred significant net losses since our inception, and expect to continue to incur significant net losses for the foreseeable future.</w:t>
      </w:r>
    </w:p>
    <w:p>
      <w:pPr>
        <w:spacing w:after="0" w:line="94" w:lineRule="exact"/>
        <w:rPr>
          <w:rFonts w:ascii="Arial" w:cs="Arial" w:eastAsia="Arial" w:hAnsi="Arial"/>
          <w:sz w:val="25"/>
          <w:szCs w:val="25"/>
          <w:color w:val="231F20"/>
          <w:vertAlign w:val="superscript"/>
        </w:rPr>
      </w:pPr>
    </w:p>
    <w:p>
      <w:pPr>
        <w:ind w:left="880" w:right="480" w:hanging="373"/>
        <w:spacing w:after="0" w:line="216" w:lineRule="auto"/>
        <w:tabs>
          <w:tab w:leader="none" w:pos="880" w:val="left"/>
        </w:tabs>
        <w:numPr>
          <w:ilvl w:val="0"/>
          <w:numId w:val="17"/>
        </w:numPr>
        <w:rPr>
          <w:rFonts w:ascii="Arial" w:cs="Arial" w:eastAsia="Arial" w:hAnsi="Arial"/>
          <w:sz w:val="25"/>
          <w:szCs w:val="25"/>
          <w:color w:val="231F20"/>
          <w:vertAlign w:val="superscript"/>
        </w:rPr>
      </w:pPr>
      <w:r>
        <w:rPr>
          <w:rFonts w:ascii="Arial" w:cs="Arial" w:eastAsia="Arial" w:hAnsi="Arial"/>
          <w:sz w:val="18"/>
          <w:szCs w:val="18"/>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94" w:lineRule="exact"/>
        <w:rPr>
          <w:rFonts w:ascii="Arial" w:cs="Arial" w:eastAsia="Arial" w:hAnsi="Arial"/>
          <w:sz w:val="25"/>
          <w:szCs w:val="25"/>
          <w:color w:val="231F20"/>
          <w:vertAlign w:val="superscript"/>
        </w:rPr>
      </w:pPr>
    </w:p>
    <w:p>
      <w:pPr>
        <w:ind w:left="880" w:right="240" w:hanging="373"/>
        <w:spacing w:after="0" w:line="226" w:lineRule="auto"/>
        <w:tabs>
          <w:tab w:leader="none" w:pos="880" w:val="left"/>
        </w:tabs>
        <w:numPr>
          <w:ilvl w:val="0"/>
          <w:numId w:val="17"/>
        </w:numPr>
        <w:rPr>
          <w:rFonts w:ascii="Arial" w:cs="Arial" w:eastAsia="Arial" w:hAnsi="Arial"/>
          <w:sz w:val="25"/>
          <w:szCs w:val="25"/>
          <w:color w:val="231F20"/>
          <w:vertAlign w:val="superscript"/>
        </w:rPr>
      </w:pPr>
      <w:r>
        <w:rPr>
          <w:rFonts w:ascii="Arial" w:cs="Arial" w:eastAsia="Arial" w:hAnsi="Arial"/>
          <w:sz w:val="18"/>
          <w:szCs w:val="18"/>
          <w:color w:val="231F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95" w:lineRule="exact"/>
        <w:rPr>
          <w:rFonts w:ascii="Arial" w:cs="Arial" w:eastAsia="Arial" w:hAnsi="Arial"/>
          <w:sz w:val="25"/>
          <w:szCs w:val="25"/>
          <w:color w:val="231F20"/>
          <w:vertAlign w:val="superscript"/>
        </w:rPr>
      </w:pPr>
    </w:p>
    <w:p>
      <w:pPr>
        <w:ind w:left="880" w:hanging="373"/>
        <w:spacing w:after="0" w:line="216" w:lineRule="auto"/>
        <w:tabs>
          <w:tab w:leader="none" w:pos="880" w:val="left"/>
        </w:tabs>
        <w:numPr>
          <w:ilvl w:val="0"/>
          <w:numId w:val="17"/>
        </w:numPr>
        <w:rPr>
          <w:rFonts w:ascii="Arial" w:cs="Arial" w:eastAsia="Arial" w:hAnsi="Arial"/>
          <w:sz w:val="25"/>
          <w:szCs w:val="25"/>
          <w:color w:val="231F20"/>
          <w:vertAlign w:val="superscript"/>
        </w:rPr>
      </w:pPr>
      <w:r>
        <w:rPr>
          <w:rFonts w:ascii="Arial" w:cs="Arial" w:eastAsia="Arial" w:hAnsi="Arial"/>
          <w:sz w:val="18"/>
          <w:szCs w:val="18"/>
          <w:color w:val="231F20"/>
        </w:rPr>
        <w:t>Our operations and financial results could be adversely impacted by the effects of the COVID-19 pandemic in the United States and the rest of the world.</w:t>
      </w:r>
    </w:p>
    <w:p>
      <w:pPr>
        <w:spacing w:after="0" w:line="94" w:lineRule="exact"/>
        <w:rPr>
          <w:rFonts w:ascii="Arial" w:cs="Arial" w:eastAsia="Arial" w:hAnsi="Arial"/>
          <w:sz w:val="25"/>
          <w:szCs w:val="25"/>
          <w:color w:val="231F20"/>
          <w:vertAlign w:val="superscript"/>
        </w:rPr>
      </w:pPr>
    </w:p>
    <w:p>
      <w:pPr>
        <w:ind w:left="880" w:right="300" w:hanging="373"/>
        <w:spacing w:after="0" w:line="238" w:lineRule="auto"/>
        <w:tabs>
          <w:tab w:leader="none" w:pos="880" w:val="left"/>
        </w:tabs>
        <w:numPr>
          <w:ilvl w:val="0"/>
          <w:numId w:val="17"/>
        </w:numPr>
        <w:rPr>
          <w:rFonts w:ascii="Arial" w:cs="Arial" w:eastAsia="Arial" w:hAnsi="Arial"/>
          <w:sz w:val="24"/>
          <w:szCs w:val="24"/>
          <w:color w:val="231F20"/>
          <w:vertAlign w:val="superscript"/>
        </w:rPr>
      </w:pPr>
      <w:r>
        <w:rPr>
          <w:rFonts w:ascii="Arial" w:cs="Arial" w:eastAsia="Arial" w:hAnsi="Arial"/>
          <w:sz w:val="17"/>
          <w:szCs w:val="17"/>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94" w:lineRule="exact"/>
        <w:rPr>
          <w:rFonts w:ascii="Arial" w:cs="Arial" w:eastAsia="Arial" w:hAnsi="Arial"/>
          <w:sz w:val="24"/>
          <w:szCs w:val="24"/>
          <w:color w:val="231F20"/>
          <w:vertAlign w:val="superscript"/>
        </w:rPr>
      </w:pPr>
    </w:p>
    <w:p>
      <w:pPr>
        <w:ind w:left="880" w:right="60" w:hanging="373"/>
        <w:spacing w:after="0" w:line="238" w:lineRule="auto"/>
        <w:tabs>
          <w:tab w:leader="none" w:pos="880" w:val="left"/>
        </w:tabs>
        <w:numPr>
          <w:ilvl w:val="0"/>
          <w:numId w:val="17"/>
        </w:numPr>
        <w:rPr>
          <w:rFonts w:ascii="Arial" w:cs="Arial" w:eastAsia="Arial" w:hAnsi="Arial"/>
          <w:sz w:val="24"/>
          <w:szCs w:val="24"/>
          <w:color w:val="231F20"/>
          <w:vertAlign w:val="superscript"/>
        </w:rPr>
      </w:pPr>
      <w:r>
        <w:rPr>
          <w:rFonts w:ascii="Arial" w:cs="Arial" w:eastAsia="Arial" w:hAnsi="Arial"/>
          <w:sz w:val="17"/>
          <w:szCs w:val="17"/>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94" w:lineRule="exact"/>
        <w:rPr>
          <w:rFonts w:ascii="Arial" w:cs="Arial" w:eastAsia="Arial" w:hAnsi="Arial"/>
          <w:sz w:val="24"/>
          <w:szCs w:val="24"/>
          <w:color w:val="231F20"/>
          <w:vertAlign w:val="superscript"/>
        </w:rPr>
      </w:pPr>
    </w:p>
    <w:p>
      <w:pPr>
        <w:ind w:left="880" w:right="520" w:hanging="373"/>
        <w:spacing w:after="0" w:line="216" w:lineRule="auto"/>
        <w:tabs>
          <w:tab w:leader="none" w:pos="880" w:val="left"/>
        </w:tabs>
        <w:numPr>
          <w:ilvl w:val="0"/>
          <w:numId w:val="17"/>
        </w:numPr>
        <w:rPr>
          <w:rFonts w:ascii="Arial" w:cs="Arial" w:eastAsia="Arial" w:hAnsi="Arial"/>
          <w:sz w:val="25"/>
          <w:szCs w:val="25"/>
          <w:color w:val="231F20"/>
          <w:vertAlign w:val="superscript"/>
        </w:rPr>
      </w:pPr>
      <w:r>
        <w:rPr>
          <w:rFonts w:ascii="Arial" w:cs="Arial" w:eastAsia="Arial" w:hAnsi="Arial"/>
          <w:sz w:val="18"/>
          <w:szCs w:val="18"/>
          <w:color w:val="231F20"/>
        </w:rPr>
        <w:t>The mechanisms of action of our product candidates are unproven, and we do not know whether we will be able to develop any drug of commercial value.</w:t>
      </w:r>
    </w:p>
    <w:p>
      <w:pPr>
        <w:spacing w:after="0" w:line="94" w:lineRule="exact"/>
        <w:rPr>
          <w:rFonts w:ascii="Arial" w:cs="Arial" w:eastAsia="Arial" w:hAnsi="Arial"/>
          <w:sz w:val="25"/>
          <w:szCs w:val="25"/>
          <w:color w:val="231F20"/>
          <w:vertAlign w:val="superscript"/>
        </w:rPr>
      </w:pPr>
    </w:p>
    <w:p>
      <w:pPr>
        <w:ind w:left="880" w:right="220" w:hanging="373"/>
        <w:spacing w:after="0" w:line="235" w:lineRule="auto"/>
        <w:tabs>
          <w:tab w:leader="none" w:pos="880" w:val="left"/>
        </w:tabs>
        <w:numPr>
          <w:ilvl w:val="0"/>
          <w:numId w:val="17"/>
        </w:numPr>
        <w:rPr>
          <w:rFonts w:ascii="Arial" w:cs="Arial" w:eastAsia="Arial" w:hAnsi="Arial"/>
          <w:sz w:val="25"/>
          <w:szCs w:val="25"/>
          <w:color w:val="231F20"/>
          <w:vertAlign w:val="superscript"/>
        </w:rPr>
      </w:pPr>
      <w:r>
        <w:rPr>
          <w:rFonts w:ascii="Arial" w:cs="Arial" w:eastAsia="Arial" w:hAnsi="Arial"/>
          <w:sz w:val="18"/>
          <w:szCs w:val="18"/>
          <w:color w:val="231F20"/>
        </w:rPr>
        <w:t>Preclinical and clinical drug development involves a lengthy and expensive process with an uncertain outcome. The clinical trials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95" w:lineRule="exact"/>
        <w:rPr>
          <w:rFonts w:ascii="Arial" w:cs="Arial" w:eastAsia="Arial" w:hAnsi="Arial"/>
          <w:sz w:val="25"/>
          <w:szCs w:val="25"/>
          <w:color w:val="231F20"/>
          <w:vertAlign w:val="superscript"/>
        </w:rPr>
      </w:pPr>
    </w:p>
    <w:p>
      <w:pPr>
        <w:ind w:left="880" w:right="40" w:hanging="373"/>
        <w:spacing w:after="0" w:line="226" w:lineRule="auto"/>
        <w:tabs>
          <w:tab w:leader="none" w:pos="880" w:val="left"/>
        </w:tabs>
        <w:numPr>
          <w:ilvl w:val="0"/>
          <w:numId w:val="17"/>
        </w:numPr>
        <w:rPr>
          <w:rFonts w:ascii="Arial" w:cs="Arial" w:eastAsia="Arial" w:hAnsi="Arial"/>
          <w:sz w:val="25"/>
          <w:szCs w:val="25"/>
          <w:color w:val="231F20"/>
          <w:vertAlign w:val="superscript"/>
        </w:rPr>
      </w:pPr>
      <w:r>
        <w:rPr>
          <w:rFonts w:ascii="Arial" w:cs="Arial" w:eastAsia="Arial" w:hAnsi="Arial"/>
          <w:sz w:val="18"/>
          <w:szCs w:val="18"/>
          <w:color w:val="231F20"/>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9" w:name="page30"/>
    <w:bookmarkEnd w:id="29"/>
    <w:p>
      <w:pPr>
        <w:jc w:val="both"/>
        <w:ind w:left="880" w:right="240" w:hanging="373"/>
        <w:spacing w:after="0" w:line="232" w:lineRule="auto"/>
        <w:tabs>
          <w:tab w:leader="none" w:pos="880" w:val="left"/>
        </w:tabs>
        <w:numPr>
          <w:ilvl w:val="0"/>
          <w:numId w:val="18"/>
        </w:numPr>
        <w:rPr>
          <w:rFonts w:ascii="Arial" w:cs="Arial" w:eastAsia="Arial" w:hAnsi="Arial"/>
          <w:sz w:val="25"/>
          <w:szCs w:val="25"/>
          <w:color w:val="231F20"/>
          <w:vertAlign w:val="superscript"/>
        </w:rPr>
      </w:pPr>
      <w:r>
        <w:rPr>
          <w:rFonts w:ascii="Arial" w:cs="Arial" w:eastAsia="Arial" w:hAnsi="Arial"/>
          <w:sz w:val="18"/>
          <w:szCs w:val="18"/>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93" w:lineRule="exact"/>
        <w:rPr>
          <w:rFonts w:ascii="Arial" w:cs="Arial" w:eastAsia="Arial" w:hAnsi="Arial"/>
          <w:sz w:val="25"/>
          <w:szCs w:val="25"/>
          <w:color w:val="231F20"/>
          <w:vertAlign w:val="superscript"/>
        </w:rPr>
      </w:pPr>
    </w:p>
    <w:p>
      <w:pPr>
        <w:jc w:val="both"/>
        <w:ind w:left="880" w:right="320" w:hanging="373"/>
        <w:spacing w:after="0" w:line="226" w:lineRule="auto"/>
        <w:tabs>
          <w:tab w:leader="none" w:pos="880" w:val="left"/>
        </w:tabs>
        <w:numPr>
          <w:ilvl w:val="0"/>
          <w:numId w:val="18"/>
        </w:numPr>
        <w:rPr>
          <w:rFonts w:ascii="Arial" w:cs="Arial" w:eastAsia="Arial" w:hAnsi="Arial"/>
          <w:sz w:val="25"/>
          <w:szCs w:val="25"/>
          <w:color w:val="231F20"/>
          <w:vertAlign w:val="superscript"/>
        </w:rPr>
      </w:pPr>
      <w:r>
        <w:rPr>
          <w:rFonts w:ascii="Arial" w:cs="Arial" w:eastAsia="Arial" w:hAnsi="Arial"/>
          <w:sz w:val="18"/>
          <w:szCs w:val="18"/>
          <w:color w:val="231F20"/>
        </w:rPr>
        <w:t>We are in the process of building out a manufacturing facility to support future production of certain of our product candidates. We have no experience in manufacturing, and there can be no assurance that we will be able to complete our manufacturing facility or, if completed, we will be able to successfully manufacture product candidates.</w:t>
      </w:r>
    </w:p>
    <w:p>
      <w:pPr>
        <w:spacing w:after="0" w:line="95" w:lineRule="exact"/>
        <w:rPr>
          <w:rFonts w:ascii="Arial" w:cs="Arial" w:eastAsia="Arial" w:hAnsi="Arial"/>
          <w:sz w:val="25"/>
          <w:szCs w:val="25"/>
          <w:color w:val="231F20"/>
          <w:vertAlign w:val="superscript"/>
        </w:rPr>
      </w:pPr>
    </w:p>
    <w:p>
      <w:pPr>
        <w:jc w:val="both"/>
        <w:ind w:left="880" w:right="360" w:hanging="373"/>
        <w:spacing w:after="0" w:line="226" w:lineRule="auto"/>
        <w:tabs>
          <w:tab w:leader="none" w:pos="880" w:val="left"/>
        </w:tabs>
        <w:numPr>
          <w:ilvl w:val="0"/>
          <w:numId w:val="18"/>
        </w:numPr>
        <w:rPr>
          <w:rFonts w:ascii="Arial" w:cs="Arial" w:eastAsia="Arial" w:hAnsi="Arial"/>
          <w:sz w:val="25"/>
          <w:szCs w:val="25"/>
          <w:color w:val="231F20"/>
          <w:vertAlign w:val="superscript"/>
        </w:rPr>
      </w:pPr>
      <w:r>
        <w:rPr>
          <w:rFonts w:ascii="Arial" w:cs="Arial" w:eastAsia="Arial" w:hAnsi="Arial"/>
          <w:sz w:val="18"/>
          <w:szCs w:val="18"/>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95" w:lineRule="exact"/>
        <w:rPr>
          <w:rFonts w:ascii="Arial" w:cs="Arial" w:eastAsia="Arial" w:hAnsi="Arial"/>
          <w:sz w:val="25"/>
          <w:szCs w:val="25"/>
          <w:color w:val="231F20"/>
          <w:vertAlign w:val="superscript"/>
        </w:rPr>
      </w:pPr>
    </w:p>
    <w:p>
      <w:pPr>
        <w:jc w:val="both"/>
        <w:ind w:left="880" w:right="60" w:hanging="373"/>
        <w:spacing w:after="0" w:line="226" w:lineRule="auto"/>
        <w:tabs>
          <w:tab w:leader="none" w:pos="880" w:val="left"/>
        </w:tabs>
        <w:numPr>
          <w:ilvl w:val="0"/>
          <w:numId w:val="18"/>
        </w:numPr>
        <w:rPr>
          <w:rFonts w:ascii="Arial" w:cs="Arial" w:eastAsia="Arial" w:hAnsi="Arial"/>
          <w:sz w:val="25"/>
          <w:szCs w:val="25"/>
          <w:color w:val="231F20"/>
          <w:vertAlign w:val="superscript"/>
        </w:rPr>
      </w:pPr>
      <w:r>
        <w:rPr>
          <w:rFonts w:ascii="Arial" w:cs="Arial" w:eastAsia="Arial" w:hAnsi="Arial"/>
          <w:sz w:val="18"/>
          <w:szCs w:val="18"/>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95" w:lineRule="exact"/>
        <w:rPr>
          <w:rFonts w:ascii="Arial" w:cs="Arial" w:eastAsia="Arial" w:hAnsi="Arial"/>
          <w:sz w:val="25"/>
          <w:szCs w:val="25"/>
          <w:color w:val="231F20"/>
          <w:vertAlign w:val="superscript"/>
        </w:rPr>
      </w:pPr>
    </w:p>
    <w:p>
      <w:pPr>
        <w:ind w:left="880" w:right="140" w:hanging="373"/>
        <w:spacing w:after="0" w:line="245" w:lineRule="auto"/>
        <w:tabs>
          <w:tab w:leader="none" w:pos="880" w:val="left"/>
        </w:tabs>
        <w:numPr>
          <w:ilvl w:val="0"/>
          <w:numId w:val="18"/>
        </w:numPr>
        <w:rPr>
          <w:rFonts w:ascii="Arial" w:cs="Arial" w:eastAsia="Arial" w:hAnsi="Arial"/>
          <w:sz w:val="24"/>
          <w:szCs w:val="24"/>
          <w:color w:val="231F20"/>
          <w:vertAlign w:val="superscript"/>
        </w:rPr>
      </w:pPr>
      <w:r>
        <w:rPr>
          <w:rFonts w:ascii="Arial" w:cs="Arial" w:eastAsia="Arial" w:hAnsi="Arial"/>
          <w:sz w:val="17"/>
          <w:szCs w:val="17"/>
          <w:color w:val="231F20"/>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91" w:lineRule="exact"/>
        <w:rPr>
          <w:rFonts w:ascii="Arial" w:cs="Arial" w:eastAsia="Arial" w:hAnsi="Arial"/>
          <w:sz w:val="24"/>
          <w:szCs w:val="24"/>
          <w:color w:val="231F20"/>
          <w:vertAlign w:val="superscript"/>
        </w:rPr>
      </w:pPr>
    </w:p>
    <w:p>
      <w:pPr>
        <w:ind w:left="880" w:right="80" w:hanging="373"/>
        <w:spacing w:after="0" w:line="226" w:lineRule="auto"/>
        <w:tabs>
          <w:tab w:leader="none" w:pos="880" w:val="left"/>
        </w:tabs>
        <w:numPr>
          <w:ilvl w:val="0"/>
          <w:numId w:val="18"/>
        </w:numPr>
        <w:rPr>
          <w:rFonts w:ascii="Arial" w:cs="Arial" w:eastAsia="Arial" w:hAnsi="Arial"/>
          <w:sz w:val="25"/>
          <w:szCs w:val="25"/>
          <w:color w:val="231F20"/>
          <w:vertAlign w:val="superscript"/>
        </w:rPr>
      </w:pPr>
      <w:r>
        <w:rPr>
          <w:rFonts w:ascii="Arial" w:cs="Arial" w:eastAsia="Arial" w:hAnsi="Arial"/>
          <w:sz w:val="18"/>
          <w:szCs w:val="18"/>
          <w:color w:val="231F20"/>
        </w:rPr>
        <w:t>We rely on third parties to conduct our preclinical studies, and plan to rely on third parties to conduct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Financial Position, Need for Additional Capital and Limited Operating History</w:t>
      </w:r>
    </w:p>
    <w:p>
      <w:pPr>
        <w:spacing w:after="0" w:line="135" w:lineRule="exact"/>
        <w:rPr>
          <w:sz w:val="20"/>
          <w:szCs w:val="20"/>
          <w:color w:val="auto"/>
        </w:rPr>
      </w:pPr>
    </w:p>
    <w:p>
      <w:pPr>
        <w:jc w:val="both"/>
        <w:ind w:right="500"/>
        <w:spacing w:after="0" w:line="381" w:lineRule="auto"/>
        <w:rPr>
          <w:sz w:val="20"/>
          <w:szCs w:val="20"/>
          <w:color w:val="auto"/>
        </w:rPr>
      </w:pPr>
      <w:r>
        <w:rPr>
          <w:rFonts w:ascii="Arial" w:cs="Arial" w:eastAsia="Arial" w:hAnsi="Arial"/>
          <w:sz w:val="15"/>
          <w:szCs w:val="15"/>
          <w:b w:val="1"/>
          <w:bCs w:val="1"/>
          <w:i w:val="1"/>
          <w:iCs w:val="1"/>
          <w:color w:val="231F20"/>
        </w:rPr>
        <w:t>We are early in our development efforts, with a limited operating history, have not initiated or completed any clinical trials, and have no products approved for commercial sale, which may make it difficult for you to evaluate our current business and likelihood of success and future viability.</w:t>
      </w:r>
    </w:p>
    <w:p>
      <w:pPr>
        <w:spacing w:after="0" w:line="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231F20"/>
        </w:rPr>
        <w:t>We are a preclinical stage biotechnology company with a limited operating history upon which you can evaluate our business and prospects. We commenced operations in 2016, have not initiated or completed any clinical trials, have no products approved for commercial sale and have not generated any revenue. We are developing therapies that address the underlying drivers of heart disease, which is an unproven and highly uncertain undertaking and involves a substantial degree of risk. All of our product candidates are still in preclinical development and have never been tested in humans. Since our inception in 2016, we have devoted substantially all of our focus and financial resources to developing our gene therapy, cellular regeneration and precision medicine platforms, identifying and developing product candidates, conducting preclinical studies, acquiring technology, organizing and recruiting management and technical staff, business planning, establishing our intellectual property portfolio, raising capital, and providing general and administrative support for these operations.</w:t>
      </w:r>
    </w:p>
    <w:p>
      <w:pPr>
        <w:spacing w:after="0" w:line="23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231F20"/>
        </w:rPr>
        <w:t>We have not yet demonstrated our ability to successfully initiate and complete any clinical trials, obtain marketing approvals, manufacture a clinical- 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could be if we had a longer operating history.</w:t>
      </w:r>
    </w:p>
    <w:p>
      <w:pPr>
        <w:spacing w:after="0" w:line="22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231F20"/>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3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31F20"/>
        </w:rPr>
        <w:t>We have not generated any product revenue to date, have incurred significant net losses since our inception, and expect to continue to incur significant net losses for the foreseeable future.</w:t>
      </w:r>
    </w:p>
    <w:p>
      <w:pPr>
        <w:spacing w:after="0" w:line="76"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231F20"/>
        </w:rPr>
        <w:t>We have incurred significant net losses since our inception, have not generated any product revenue to date and, up until the date of our IPO in July 2021, have financed our operations through private placements of our convertible preferred stock. Our net loss was $46.6 million for the nine months ended September 30, 2021. As of September 30, 2021, we had an accumulated deficit of $129.4</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right="80"/>
        <w:spacing w:after="0" w:line="272" w:lineRule="auto"/>
        <w:rPr>
          <w:sz w:val="20"/>
          <w:szCs w:val="20"/>
          <w:color w:val="auto"/>
        </w:rPr>
      </w:pPr>
      <w:r>
        <w:rPr>
          <w:rFonts w:ascii="Arial" w:cs="Arial" w:eastAsia="Arial" w:hAnsi="Arial"/>
          <w:sz w:val="17"/>
          <w:szCs w:val="17"/>
          <w:color w:val="231F20"/>
        </w:rPr>
        <w:t>million. Substantially all of our losses have resulted from expenses incurred in connection with our research and development programs and from general and administrative costs associated with our operations. We are still in the early stages of development of our product candidates and have not yet initiated or completed any clinical trials.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218"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231F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clinical development as product candidates in later stages of clinical development generally have higher development costs than those in earlier stages, primarily due to the increased size and duration of later-stage clinical trials.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35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7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231F20"/>
        </w:rPr>
        <w:t>We rely on our multi-modality drug discovery platforms to identify and develop product candidates. Our business depends entirely on the success of these platforms and the successful development, regulatory approval, manufacturing and commercialization of product candidates that we discover with these platforms. Our ability to generate revenue and achieve profitability depends significantly on our ability, or any future collaborator’s ability, to achieve several objectives, including:</w:t>
      </w:r>
    </w:p>
    <w:p>
      <w:pPr>
        <w:spacing w:after="0" w:line="92" w:lineRule="exact"/>
        <w:rPr>
          <w:sz w:val="20"/>
          <w:szCs w:val="20"/>
          <w:color w:val="auto"/>
        </w:rPr>
      </w:pPr>
    </w:p>
    <w:p>
      <w:pPr>
        <w:ind w:left="880" w:right="260" w:hanging="373"/>
        <w:spacing w:after="0" w:line="216" w:lineRule="auto"/>
        <w:tabs>
          <w:tab w:leader="none" w:pos="8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231F20"/>
        </w:rPr>
        <w:t>successful and timely completion of preclinical and clinical development of product candidates and programs in our Gene Therapy, Cellular Regeneration and Precision Medicine platforms, and our other future product candidates and programs;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231F20"/>
        </w:rPr>
        <w:t>obtaining regulatory approval to commence clinical trials of our product candidates;</w:t>
      </w:r>
    </w:p>
    <w:p>
      <w:pPr>
        <w:spacing w:after="0" w:line="107" w:lineRule="exact"/>
        <w:rPr>
          <w:rFonts w:ascii="Arial" w:cs="Arial" w:eastAsia="Arial" w:hAnsi="Arial"/>
          <w:sz w:val="25"/>
          <w:szCs w:val="25"/>
          <w:color w:val="auto"/>
          <w:vertAlign w:val="superscript"/>
        </w:rPr>
      </w:pPr>
    </w:p>
    <w:p>
      <w:pPr>
        <w:ind w:left="880" w:right="100" w:hanging="373"/>
        <w:spacing w:after="0" w:line="216" w:lineRule="auto"/>
        <w:tabs>
          <w:tab w:leader="none" w:pos="8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231F20"/>
        </w:rPr>
        <w:t>establishing and maintaining relationships with contract research organizations (“CROs”) and clinical sites for the clinical development of our product candidates and any other future product candidates;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231F20"/>
        </w:rPr>
        <w:t>the initiation and successful patient enrollment and completion of clinical trials on a timely basis;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231F20"/>
        </w:rPr>
        <w:t>acceptable frequency and severity of adverse events in the clinical trials;</w:t>
      </w:r>
    </w:p>
    <w:p>
      <w:pPr>
        <w:spacing w:after="0" w:line="107" w:lineRule="exact"/>
        <w:rPr>
          <w:rFonts w:ascii="Arial" w:cs="Arial" w:eastAsia="Arial" w:hAnsi="Arial"/>
          <w:sz w:val="25"/>
          <w:szCs w:val="25"/>
          <w:color w:val="auto"/>
          <w:vertAlign w:val="superscript"/>
        </w:rPr>
      </w:pPr>
    </w:p>
    <w:p>
      <w:pPr>
        <w:ind w:left="880" w:right="160" w:hanging="373"/>
        <w:spacing w:after="0" w:line="216" w:lineRule="auto"/>
        <w:tabs>
          <w:tab w:leader="none" w:pos="8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231F20"/>
        </w:rPr>
        <w:t>the efficacy and safety profiles that are satisfactory to the U.S. Food and Drug Administration (“FDA”) or any comparable foreign regulatory authority for marketing approval;</w:t>
      </w:r>
    </w:p>
    <w:p>
      <w:pPr>
        <w:spacing w:after="0" w:line="94" w:lineRule="exact"/>
        <w:rPr>
          <w:rFonts w:ascii="Arial" w:cs="Arial" w:eastAsia="Arial" w:hAnsi="Arial"/>
          <w:sz w:val="25"/>
          <w:szCs w:val="25"/>
          <w:color w:val="auto"/>
          <w:vertAlign w:val="superscript"/>
        </w:rPr>
      </w:pPr>
    </w:p>
    <w:p>
      <w:pPr>
        <w:ind w:left="880" w:right="280" w:hanging="373"/>
        <w:spacing w:after="0" w:line="216" w:lineRule="auto"/>
        <w:tabs>
          <w:tab w:leader="none" w:pos="8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231F20"/>
        </w:rPr>
        <w:t>timely receipt of marketing approvals from applicable regulatory authorities for any product candidates for which we successfully complete clinical development;</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231F20"/>
        </w:rPr>
        <w:t>complying with any required post-marketing approval commitments to applicable regulatory authorities;</w:t>
      </w:r>
    </w:p>
    <w:p>
      <w:pPr>
        <w:spacing w:after="0" w:line="98" w:lineRule="exact"/>
        <w:rPr>
          <w:rFonts w:ascii="Arial" w:cs="Arial" w:eastAsia="Arial" w:hAnsi="Arial"/>
          <w:sz w:val="25"/>
          <w:szCs w:val="25"/>
          <w:color w:val="auto"/>
          <w:vertAlign w:val="superscript"/>
        </w:rPr>
      </w:pPr>
    </w:p>
    <w:p>
      <w:pPr>
        <w:ind w:left="880" w:hanging="373"/>
        <w:spacing w:after="0" w:line="226" w:lineRule="auto"/>
        <w:tabs>
          <w:tab w:leader="none" w:pos="88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231F20"/>
        </w:rPr>
        <w:t>establishing and operating a manufacturing facility and developing an efficient and scalable manufacturing process for our product candidates;</w:t>
      </w:r>
    </w:p>
    <w:p>
      <w:pPr>
        <w:spacing w:after="0" w:line="108" w:lineRule="exact"/>
        <w:rPr>
          <w:rFonts w:ascii="Arial" w:cs="Arial" w:eastAsia="Arial" w:hAnsi="Arial"/>
          <w:sz w:val="22"/>
          <w:szCs w:val="22"/>
          <w:color w:val="auto"/>
          <w:vertAlign w:val="superscript"/>
        </w:rPr>
      </w:pPr>
    </w:p>
    <w:p>
      <w:pPr>
        <w:ind w:left="880" w:right="100" w:hanging="373"/>
        <w:spacing w:after="0" w:line="226" w:lineRule="auto"/>
        <w:tabs>
          <w:tab w:leader="none" w:pos="8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231F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95" w:lineRule="exact"/>
        <w:rPr>
          <w:rFonts w:ascii="Arial" w:cs="Arial" w:eastAsia="Arial" w:hAnsi="Arial"/>
          <w:sz w:val="25"/>
          <w:szCs w:val="25"/>
          <w:color w:val="auto"/>
          <w:vertAlign w:val="superscript"/>
        </w:rPr>
      </w:pPr>
    </w:p>
    <w:p>
      <w:pPr>
        <w:ind w:left="880" w:right="100" w:hanging="373"/>
        <w:spacing w:after="0" w:line="216" w:lineRule="auto"/>
        <w:tabs>
          <w:tab w:leader="none" w:pos="8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231F20"/>
        </w:rPr>
        <w:t>successful commercial launch following any marketing approval, including the development of a commercial infrastructure, whether in-house or with one or more collaborators;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231F20"/>
        </w:rPr>
        <w:t>successful outputs from our capsid engineering and promotor and regulator elements efforts;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231F20"/>
        </w:rPr>
        <w:t>a continued acceptable safety profile following any marketing approval of our product candidates;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231F20"/>
        </w:rPr>
        <w:t>commercial acceptance of our product candidates by patients, the medical community and third-party payors;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231F20"/>
        </w:rPr>
        <w:t>satisfying any required post-marketing approval commitments to applicable regulatory authorities;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231F20"/>
        </w:rPr>
        <w:t>identifying, assessing and developing new product candidates;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 w:name="page32"/>
    <w:bookmarkEnd w:id="31"/>
    <w:p>
      <w:pPr>
        <w:ind w:left="880" w:right="80" w:hanging="373"/>
        <w:spacing w:after="0" w:line="216" w:lineRule="auto"/>
        <w:tabs>
          <w:tab w:leader="none" w:pos="8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231F20"/>
        </w:rPr>
        <w:t>obtaining, maintaining, and expanding patent and other intellectual property protection, trade secret protection and regulatory exclusivity, both in the United States and internationally;</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231F20"/>
        </w:rPr>
        <w:t>protecting and enforcing our rights in our intellectual property portfolio;</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231F20"/>
        </w:rPr>
        <w:t>defending against third-party infringement, misappropriation, or other claims, if any;</w:t>
      </w:r>
    </w:p>
    <w:p>
      <w:pPr>
        <w:spacing w:after="0" w:line="107" w:lineRule="exact"/>
        <w:rPr>
          <w:rFonts w:ascii="Arial" w:cs="Arial" w:eastAsia="Arial" w:hAnsi="Arial"/>
          <w:sz w:val="25"/>
          <w:szCs w:val="25"/>
          <w:color w:val="auto"/>
          <w:vertAlign w:val="superscript"/>
        </w:rPr>
      </w:pPr>
    </w:p>
    <w:p>
      <w:pPr>
        <w:ind w:left="880" w:right="900" w:hanging="373"/>
        <w:spacing w:after="0" w:line="216" w:lineRule="auto"/>
        <w:tabs>
          <w:tab w:leader="none" w:pos="8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231F20"/>
        </w:rPr>
        <w:t>entering into, on favorable terms, any collaboration, licensing or other arrangements that may be necessary or desirable to develop, manufacture or commercialize our product candidates;</w:t>
      </w:r>
    </w:p>
    <w:p>
      <w:pPr>
        <w:spacing w:after="0" w:line="94" w:lineRule="exact"/>
        <w:rPr>
          <w:rFonts w:ascii="Arial" w:cs="Arial" w:eastAsia="Arial" w:hAnsi="Arial"/>
          <w:sz w:val="25"/>
          <w:szCs w:val="25"/>
          <w:color w:val="auto"/>
          <w:vertAlign w:val="superscript"/>
        </w:rPr>
      </w:pPr>
    </w:p>
    <w:p>
      <w:pPr>
        <w:ind w:left="880" w:right="120" w:hanging="373"/>
        <w:spacing w:after="0" w:line="216" w:lineRule="auto"/>
        <w:tabs>
          <w:tab w:leader="none" w:pos="8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231F20"/>
        </w:rPr>
        <w:t>obtaining coverage and adequate reimbursement by third-party payors for our products and patients’ willingness to pay in the absence of such coverage and adequate reimbursement;</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231F20"/>
        </w:rPr>
        <w:t>obtaining additional funding to develop, manufacture and commercialize our product candidates;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231F20"/>
        </w:rPr>
        <w:t>addressing any competing therapies and technological and market developments;</w:t>
      </w:r>
    </w:p>
    <w:p>
      <w:pPr>
        <w:spacing w:after="0" w:line="107" w:lineRule="exact"/>
        <w:rPr>
          <w:rFonts w:ascii="Arial" w:cs="Arial" w:eastAsia="Arial" w:hAnsi="Arial"/>
          <w:sz w:val="25"/>
          <w:szCs w:val="25"/>
          <w:color w:val="auto"/>
          <w:vertAlign w:val="superscript"/>
        </w:rPr>
      </w:pPr>
    </w:p>
    <w:p>
      <w:pPr>
        <w:ind w:left="880" w:right="200" w:hanging="373"/>
        <w:spacing w:after="0" w:line="216" w:lineRule="auto"/>
        <w:tabs>
          <w:tab w:leader="none" w:pos="8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231F20"/>
        </w:rPr>
        <w:t>managing costs, including any unforeseen costs, that we may incur as a result of nonclinical study or clinical trial delays due to the effects of the COVID-19 pandemic or other causes; and</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231F20"/>
        </w:rPr>
        <w:t>attracting, hiring and retaining qualified and key personnel including clinical, scientific, management and administrative personnel.</w:t>
      </w:r>
    </w:p>
    <w:p>
      <w:pPr>
        <w:spacing w:after="0" w:line="256"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231F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214" w:lineRule="exact"/>
        <w:rPr>
          <w:sz w:val="20"/>
          <w:szCs w:val="20"/>
          <w:color w:val="auto"/>
        </w:rPr>
      </w:pPr>
    </w:p>
    <w:p>
      <w:pPr>
        <w:ind w:right="540" w:firstLine="510"/>
        <w:spacing w:after="0" w:line="263" w:lineRule="auto"/>
        <w:rPr>
          <w:sz w:val="20"/>
          <w:szCs w:val="20"/>
          <w:color w:val="auto"/>
        </w:rPr>
      </w:pPr>
      <w:r>
        <w:rPr>
          <w:rFonts w:ascii="Arial" w:cs="Arial" w:eastAsia="Arial" w:hAnsi="Arial"/>
          <w:sz w:val="18"/>
          <w:szCs w:val="18"/>
          <w:color w:val="231F20"/>
        </w:rPr>
        <w:t>We may also experience delays in establishing our manufacturing facility, developing a sustainable, reproducible and scalable manufacturing process or transferring that process to commercial partners, which may prevent us from initiating and completing our planned clinical trials or commercializing our product candidates on a timely or profitable basis, if at all.</w:t>
      </w:r>
    </w:p>
    <w:p>
      <w:pPr>
        <w:spacing w:after="0" w:line="33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231F20"/>
        </w:rPr>
        <w:t>We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6"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231F20"/>
        </w:rPr>
        <w:t>As of September 30, 2021, we had $280.5 million in cash, cash equivalents and investments in marketable securities. We expect our current cash, cash equivalents and investments in marketable securities will be sufficient to fund our current operating plan for operations through at least the next twelve months from the date of this Quarterly Report on Form 10-Q. Our estimate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6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231F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clinical trials of, and seek marketing approval for, our programs as well as develop our proprietary drug discovery platforms.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and anticipated preclinical studies and clinical trials are highly uncertain, we cannot reasonably estimate the actual amount of resources and funding that will be necessary to successfully complete the development and commercialization of any product candidate we develop. We are not permitted to market or promote any product candidate before we receive marketing approval from the FDA. We also expect to incur costs associated with operating as a public company. Accordingly, we will need to obtain substantial additional funding in order to continue our operations.</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Our future capital requirements will depend on may factors, including, but not limited to:</w:t>
      </w:r>
    </w:p>
    <w:p>
      <w:pPr>
        <w:spacing w:after="0" w:line="117" w:lineRule="exact"/>
        <w:rPr>
          <w:sz w:val="20"/>
          <w:szCs w:val="20"/>
          <w:color w:val="auto"/>
        </w:rPr>
      </w:pPr>
    </w:p>
    <w:p>
      <w:pPr>
        <w:ind w:left="880" w:hanging="373"/>
        <w:spacing w:after="0" w:line="216" w:lineRule="auto"/>
        <w:tabs>
          <w:tab w:leader="none" w:pos="88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231F20"/>
        </w:rPr>
        <w:t>the scope, progress, results and costs of researching, developing and testing our product candidates including conducting preclinical studies and clinical trials;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231F20"/>
        </w:rPr>
        <w:t>the costs, timing and outcome of regulatory review of our product candidates or any future candidates;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32" w:name="page33"/>
    <w:bookmarkEnd w:id="32"/>
    <w:p>
      <w:pPr>
        <w:ind w:left="880" w:hanging="373"/>
        <w:spacing w:after="0"/>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the number and characteristics of other product candidates that we pursue or acquire;</w:t>
      </w:r>
    </w:p>
    <w:p>
      <w:pPr>
        <w:spacing w:after="0" w:line="107" w:lineRule="exact"/>
        <w:rPr>
          <w:rFonts w:ascii="Arial" w:cs="Arial" w:eastAsia="Arial" w:hAnsi="Arial"/>
          <w:sz w:val="25"/>
          <w:szCs w:val="25"/>
          <w:color w:val="auto"/>
          <w:vertAlign w:val="superscript"/>
        </w:rPr>
      </w:pPr>
    </w:p>
    <w:p>
      <w:pPr>
        <w:ind w:left="880" w:right="620" w:hanging="373"/>
        <w:spacing w:after="0" w:line="216" w:lineRule="auto"/>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the costs of future activities, including product sales, medical affairs, marketing, manufacturing and distribution, for any of our product candidates for which we receive marketing approval;</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the costs of establishing and operating our own manufacturing facility;</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the costs of manufacturing commercial-grade products and sufficient inventory to support commercial launch;</w:t>
      </w:r>
    </w:p>
    <w:p>
      <w:pPr>
        <w:spacing w:after="0" w:line="107" w:lineRule="exact"/>
        <w:rPr>
          <w:rFonts w:ascii="Arial" w:cs="Arial" w:eastAsia="Arial" w:hAnsi="Arial"/>
          <w:sz w:val="25"/>
          <w:szCs w:val="25"/>
          <w:color w:val="auto"/>
          <w:vertAlign w:val="superscript"/>
        </w:rPr>
      </w:pPr>
    </w:p>
    <w:p>
      <w:pPr>
        <w:ind w:left="880" w:right="100" w:hanging="373"/>
        <w:spacing w:after="0" w:line="216" w:lineRule="auto"/>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the cost of commercialization activities, include the cost of building a sales force in anticipation of product commercialization and distribution costs;</w:t>
      </w:r>
    </w:p>
    <w:p>
      <w:pPr>
        <w:spacing w:after="0" w:line="49"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231F20"/>
        </w:rPr>
        <w:t>the revenue, if any, received from commercial sale of our products, should any of our product candidates receive marketing approval;</w:t>
      </w:r>
    </w:p>
    <w:p>
      <w:pPr>
        <w:spacing w:after="0" w:line="98" w:lineRule="exact"/>
        <w:rPr>
          <w:rFonts w:ascii="Arial" w:cs="Arial" w:eastAsia="Arial" w:hAnsi="Arial"/>
          <w:sz w:val="24"/>
          <w:szCs w:val="24"/>
          <w:color w:val="auto"/>
          <w:vertAlign w:val="superscript"/>
        </w:rPr>
      </w:pPr>
    </w:p>
    <w:p>
      <w:pPr>
        <w:ind w:left="880" w:hanging="373"/>
        <w:spacing w:after="0" w:line="199" w:lineRule="auto"/>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the cost and timing of hiring new employees to support our continued growth;</w:t>
      </w:r>
    </w:p>
    <w:p>
      <w:pPr>
        <w:spacing w:after="0" w:line="107" w:lineRule="exact"/>
        <w:rPr>
          <w:rFonts w:ascii="Arial" w:cs="Arial" w:eastAsia="Arial" w:hAnsi="Arial"/>
          <w:sz w:val="25"/>
          <w:szCs w:val="25"/>
          <w:color w:val="auto"/>
          <w:vertAlign w:val="superscript"/>
        </w:rPr>
      </w:pPr>
    </w:p>
    <w:p>
      <w:pPr>
        <w:ind w:left="880" w:right="380" w:hanging="373"/>
        <w:spacing w:after="0" w:line="216" w:lineRule="auto"/>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the costs of preparing, filing and prosecuting patent applications, maintaining, protecting and enforcing our intellectual property rights and defending intellectual property-related claims;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the effect of competing products that may limit market penetration of our products;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the ability to establish and maintain collaborations on favorable terms, if at all;</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the extent to which we acquire or in-license other product candidates and technologies;</w:t>
      </w:r>
    </w:p>
    <w:p>
      <w:pPr>
        <w:spacing w:after="0" w:line="99" w:lineRule="exact"/>
        <w:rPr>
          <w:rFonts w:ascii="Arial" w:cs="Arial" w:eastAsia="Arial" w:hAnsi="Arial"/>
          <w:sz w:val="25"/>
          <w:szCs w:val="25"/>
          <w:color w:val="auto"/>
          <w:vertAlign w:val="superscript"/>
        </w:rPr>
      </w:pPr>
    </w:p>
    <w:p>
      <w:pPr>
        <w:ind w:left="880" w:hanging="373"/>
        <w:spacing w:after="0" w:line="226" w:lineRule="auto"/>
        <w:tabs>
          <w:tab w:leader="none" w:pos="88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231F20"/>
        </w:rPr>
        <w:t>the timing, receipt and amount of sales of, or milestone payments related to or royalties on, our current or future product candidates, if any;</w:t>
      </w:r>
    </w:p>
    <w:p>
      <w:pPr>
        <w:spacing w:after="0" w:line="99" w:lineRule="exact"/>
        <w:rPr>
          <w:rFonts w:ascii="Arial" w:cs="Arial" w:eastAsia="Arial" w:hAnsi="Arial"/>
          <w:sz w:val="22"/>
          <w:szCs w:val="22"/>
          <w:color w:val="auto"/>
          <w:vertAlign w:val="superscript"/>
        </w:rPr>
      </w:pPr>
    </w:p>
    <w:p>
      <w:pPr>
        <w:ind w:left="880" w:hanging="373"/>
        <w:spacing w:after="0" w:line="199" w:lineRule="auto"/>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our need to implement additional internal systems and infrastructure, including financial and reporting systems;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the compliance and administrative costs associated with being a public company; and</w:t>
      </w:r>
    </w:p>
    <w:p>
      <w:pPr>
        <w:spacing w:after="0" w:line="107" w:lineRule="exact"/>
        <w:rPr>
          <w:rFonts w:ascii="Arial" w:cs="Arial" w:eastAsia="Arial" w:hAnsi="Arial"/>
          <w:sz w:val="25"/>
          <w:szCs w:val="25"/>
          <w:color w:val="auto"/>
          <w:vertAlign w:val="superscript"/>
        </w:rPr>
      </w:pPr>
    </w:p>
    <w:p>
      <w:pPr>
        <w:ind w:left="880" w:right="220" w:hanging="373"/>
        <w:spacing w:after="0" w:line="216" w:lineRule="auto"/>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the extent to which we acquire or invest in businesses, products, or technologies, although we currently have no commitments or agreements relating to any of these types of transactions.</w:t>
      </w:r>
    </w:p>
    <w:p>
      <w:pPr>
        <w:spacing w:after="0" w:line="243"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231F20"/>
        </w:rPr>
        <w:t>A change in the outcome of any of these or other factors with respect to the development of any of our product candidates could significantly change the costs and timing associated with the development of that product candidate, and many of these factors are outside of our control. Identifying potential product candidates and conducting preclinical studies and clinical trials is a time-consuming, expensive and uncertain process that takes years to complete, and we may never generate the necessary data or results required to obtain regulatory and marketing approval and achieve product sales. In addition, our product candidates, if approved, may not achieve commercial success. Accordingly, we will need to continue to rely on additional financing to achieve our business objectives.</w:t>
      </w:r>
    </w:p>
    <w:p>
      <w:pPr>
        <w:spacing w:after="0" w:line="219"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231F20"/>
        </w:rPr>
        <w:t>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platforms, programs, planned clinical trials or future commercialization efforts.</w:t>
      </w:r>
    </w:p>
    <w:p>
      <w:pPr>
        <w:spacing w:after="0" w:line="3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231F20"/>
        </w:rPr>
        <w:t>Our operations and financial results could be adversely impacted by the effects of the COVID-19 pandemic in the United States and the rest of the world.</w:t>
      </w:r>
    </w:p>
    <w:p>
      <w:pPr>
        <w:spacing w:after="0" w:line="76"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231F20"/>
        </w:rPr>
        <w:t>In March 2020, the World Health Organization declared the novel coronavirus disease (“COVID-19”) outbreak a global pandemic. To limit the spread of COVID-19, governments have taken various actions including the issuance of stay-at-home orders and physical distancing guidelines. Accordingly, businesses have adjusted, reduced or suspended operating activities. Beginning in March 2020, the majority of our workforce began working from home. Disruptions caused by the COVID-19 pandemic, including the effects of the stay-at-home orders and work-from-home policies, have impacted productivity, have resulted in increased operational expenses, certain adjustments to our operations, delays in our development efforts, and delays in certain supply chain activities. We may experience further disruptions as a result of COVID-19 that could severely impact our business, including:</w:t>
      </w:r>
    </w:p>
    <w:p>
      <w:pPr>
        <w:spacing w:after="0" w:line="70" w:lineRule="exact"/>
        <w:rPr>
          <w:sz w:val="20"/>
          <w:szCs w:val="20"/>
          <w:color w:val="auto"/>
        </w:rPr>
      </w:pPr>
    </w:p>
    <w:p>
      <w:pPr>
        <w:ind w:left="880" w:right="60" w:hanging="373"/>
        <w:spacing w:after="0" w:line="216" w:lineRule="auto"/>
        <w:tabs>
          <w:tab w:leader="none" w:pos="88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231F20"/>
        </w:rPr>
        <w:t>interruptions, difficulties or delays arising in our existing operations and company culture as a result of all of our employees working remotely, including those hired during the COVID-19 pandemic;</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231F20"/>
        </w:rPr>
        <w:t>delays in the build out of our manufacturing facility;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33" w:name="page34"/>
    <w:bookmarkEnd w:id="33"/>
    <w:p>
      <w:pPr>
        <w:ind w:left="880" w:hanging="373"/>
        <w:spacing w:after="0"/>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delays in receiving approval from local regulatory authorities to initiate our planned clinical trials;</w:t>
      </w:r>
    </w:p>
    <w:p>
      <w:pPr>
        <w:spacing w:after="0" w:line="107" w:lineRule="exact"/>
        <w:rPr>
          <w:rFonts w:ascii="Arial" w:cs="Arial" w:eastAsia="Arial" w:hAnsi="Arial"/>
          <w:sz w:val="25"/>
          <w:szCs w:val="25"/>
          <w:color w:val="auto"/>
          <w:vertAlign w:val="superscript"/>
        </w:rPr>
      </w:pPr>
    </w:p>
    <w:p>
      <w:pPr>
        <w:ind w:left="880" w:right="240" w:hanging="373"/>
        <w:spacing w:after="0" w:line="216" w:lineRule="auto"/>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delays or difficulties in enrolling and retaining patients in clinical trials and incurrence of additional costs as a result of preclinical study and clinical trial delays and adjustments;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challenges related to ongoing and increased operational expenses related to the COVID-19 pandemic;</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delays or difficulties in clinical site initiation, including difficulties in recruiting clinical site investigators and clinical site staff;</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delays, difficulties or increased costs to comply with COVID-19 protocols at our leased facilities and clinical sites;</w:t>
      </w:r>
    </w:p>
    <w:p>
      <w:pPr>
        <w:spacing w:after="0" w:line="107" w:lineRule="exact"/>
        <w:rPr>
          <w:rFonts w:ascii="Arial" w:cs="Arial" w:eastAsia="Arial" w:hAnsi="Arial"/>
          <w:sz w:val="25"/>
          <w:szCs w:val="25"/>
          <w:color w:val="auto"/>
          <w:vertAlign w:val="superscript"/>
        </w:rPr>
      </w:pPr>
    </w:p>
    <w:p>
      <w:pPr>
        <w:ind w:left="880" w:right="200" w:hanging="373"/>
        <w:spacing w:after="0" w:line="216" w:lineRule="auto"/>
        <w:tabs>
          <w:tab w:leader="none" w:pos="880" w:val="left"/>
        </w:tabs>
        <w:numPr>
          <w:ilvl w:val="0"/>
          <w:numId w:val="24"/>
        </w:numPr>
        <w:rPr>
          <w:rFonts w:ascii="Arial" w:cs="Arial" w:eastAsia="Arial" w:hAnsi="Arial"/>
          <w:sz w:val="25"/>
          <w:szCs w:val="25"/>
          <w:color w:val="231F20"/>
          <w:vertAlign w:val="superscript"/>
        </w:rPr>
      </w:pPr>
      <w:r>
        <w:rPr>
          <w:rFonts w:ascii="Arial" w:cs="Arial" w:eastAsia="Arial" w:hAnsi="Arial"/>
          <w:sz w:val="18"/>
          <w:szCs w:val="18"/>
          <w:color w:val="231F20"/>
        </w:rPr>
        <w:t>diversion of healthcare resources away from the conduct of clinical trials, including the diversion of hospitals that may serve as our potential clinical trial sites and hospital staff supporting the conduct of clinical trials;</w:t>
      </w:r>
    </w:p>
    <w:p>
      <w:pPr>
        <w:spacing w:after="0" w:line="94" w:lineRule="exact"/>
        <w:rPr>
          <w:rFonts w:ascii="Arial" w:cs="Arial" w:eastAsia="Arial" w:hAnsi="Arial"/>
          <w:sz w:val="25"/>
          <w:szCs w:val="25"/>
          <w:color w:val="231F20"/>
          <w:vertAlign w:val="superscript"/>
        </w:rPr>
      </w:pPr>
    </w:p>
    <w:p>
      <w:pPr>
        <w:ind w:left="880" w:hanging="373"/>
        <w:spacing w:after="0" w:line="216" w:lineRule="auto"/>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interruption of key clinical trial activities, such as clinical trial site monitoring, due to limitations on travel imposed or recommended by federal or state governments, employers and others;</w:t>
      </w:r>
    </w:p>
    <w:p>
      <w:pPr>
        <w:spacing w:after="0" w:line="94" w:lineRule="exact"/>
        <w:rPr>
          <w:rFonts w:ascii="Arial" w:cs="Arial" w:eastAsia="Arial" w:hAnsi="Arial"/>
          <w:sz w:val="25"/>
          <w:szCs w:val="25"/>
          <w:color w:val="auto"/>
          <w:vertAlign w:val="superscript"/>
        </w:rPr>
      </w:pPr>
    </w:p>
    <w:p>
      <w:pPr>
        <w:ind w:left="880" w:right="160" w:hanging="373"/>
        <w:spacing w:after="0" w:line="226" w:lineRule="auto"/>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limitations in resources that would otherwise be focused on the conduct of our business or our clinical trials, including because of sickness or the desire to avoid contact with large groups of people or as a result of government-imposed “Stay-at-Home” orders or similar working restrictions;</w:t>
      </w:r>
    </w:p>
    <w:p>
      <w:pPr>
        <w:spacing w:after="0" w:line="38"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delays in preclinical and clinical sites receiving the supplies and materials needed to conduct our planned clinical trials;</w:t>
      </w:r>
    </w:p>
    <w:p>
      <w:pPr>
        <w:spacing w:after="0" w:line="107" w:lineRule="exact"/>
        <w:rPr>
          <w:rFonts w:ascii="Arial" w:cs="Arial" w:eastAsia="Arial" w:hAnsi="Arial"/>
          <w:sz w:val="25"/>
          <w:szCs w:val="25"/>
          <w:color w:val="auto"/>
          <w:vertAlign w:val="superscript"/>
        </w:rPr>
      </w:pPr>
    </w:p>
    <w:p>
      <w:pPr>
        <w:ind w:left="880" w:right="320" w:hanging="373"/>
        <w:spacing w:after="0" w:line="216" w:lineRule="auto"/>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interruption in global shipping that may affect the transport of clinical trial materials, such as investigational drug product to be used in our clinical trials;</w:t>
      </w:r>
    </w:p>
    <w:p>
      <w:pPr>
        <w:spacing w:after="0" w:line="94" w:lineRule="exact"/>
        <w:rPr>
          <w:rFonts w:ascii="Arial" w:cs="Arial" w:eastAsia="Arial" w:hAnsi="Arial"/>
          <w:sz w:val="25"/>
          <w:szCs w:val="25"/>
          <w:color w:val="auto"/>
          <w:vertAlign w:val="superscript"/>
        </w:rPr>
      </w:pPr>
    </w:p>
    <w:p>
      <w:pPr>
        <w:ind w:left="880" w:right="220" w:hanging="373"/>
        <w:spacing w:after="0" w:line="216" w:lineRule="auto"/>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changes in regulations as part of a response to the COVID-19 pandemic which may require us to change the ways in which our clinical trials are conducted, or to discontinue clinical trials altogether, or which may result in unexpected costs;</w:t>
      </w:r>
    </w:p>
    <w:p>
      <w:pPr>
        <w:spacing w:after="0" w:line="94" w:lineRule="exact"/>
        <w:rPr>
          <w:rFonts w:ascii="Arial" w:cs="Arial" w:eastAsia="Arial" w:hAnsi="Arial"/>
          <w:sz w:val="25"/>
          <w:szCs w:val="25"/>
          <w:color w:val="auto"/>
          <w:vertAlign w:val="superscript"/>
        </w:rPr>
      </w:pPr>
    </w:p>
    <w:p>
      <w:pPr>
        <w:ind w:left="880" w:right="40" w:hanging="373"/>
        <w:spacing w:after="0" w:line="216" w:lineRule="auto"/>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delays in necessary interactions with regulators, ethics committees and other important agencies and contractors due to limitations in employee resources or forced furlough of government or contractor personnel;</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refusal of the FDA to accept data from clinical trials in affected geographies outside the United States;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increased competition for CROs, contract development and manufacturing organizations (“CDMOs”), suppliers and vendors; and</w:t>
      </w:r>
    </w:p>
    <w:p>
      <w:pPr>
        <w:spacing w:after="0" w:line="107" w:lineRule="exact"/>
        <w:rPr>
          <w:rFonts w:ascii="Arial" w:cs="Arial" w:eastAsia="Arial" w:hAnsi="Arial"/>
          <w:sz w:val="25"/>
          <w:szCs w:val="25"/>
          <w:color w:val="auto"/>
          <w:vertAlign w:val="superscript"/>
        </w:rPr>
      </w:pPr>
    </w:p>
    <w:p>
      <w:pPr>
        <w:ind w:left="880" w:right="120" w:hanging="373"/>
        <w:spacing w:after="0" w:line="227" w:lineRule="auto"/>
        <w:tabs>
          <w:tab w:leader="none" w:pos="880" w:val="left"/>
        </w:tabs>
        <w:numPr>
          <w:ilvl w:val="0"/>
          <w:numId w:val="24"/>
        </w:numPr>
        <w:rPr>
          <w:rFonts w:ascii="Arial" w:cs="Arial" w:eastAsia="Arial" w:hAnsi="Arial"/>
          <w:sz w:val="24"/>
          <w:szCs w:val="24"/>
          <w:color w:val="auto"/>
          <w:vertAlign w:val="superscript"/>
        </w:rPr>
      </w:pPr>
      <w:r>
        <w:rPr>
          <w:rFonts w:ascii="Arial" w:cs="Arial" w:eastAsia="Arial" w:hAnsi="Arial"/>
          <w:sz w:val="17"/>
          <w:szCs w:val="17"/>
          <w:color w:val="231F20"/>
        </w:rPr>
        <w:t>delays in collecting, receiving and analyzing data from patients enrolled in our clinical trials due to limited staff at potential clinical trial sites, limitation or suspension of on-site visits by patients, or patients’ reluctance to visit the clinical trial sites during the pandemic.</w:t>
      </w:r>
    </w:p>
    <w:p>
      <w:pPr>
        <w:spacing w:after="0" w:line="243"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231F20"/>
        </w:rPr>
        <w:t>We will continue to assess the impact that the COVID-19 pandemic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w:t>
      </w:r>
    </w:p>
    <w:p>
      <w:pPr>
        <w:spacing w:after="0" w:line="211" w:lineRule="exact"/>
        <w:rPr>
          <w:sz w:val="20"/>
          <w:szCs w:val="20"/>
          <w:color w:val="auto"/>
        </w:rPr>
      </w:pPr>
    </w:p>
    <w:p>
      <w:pPr>
        <w:ind w:right="180" w:firstLine="510"/>
        <w:spacing w:after="0" w:line="289" w:lineRule="auto"/>
        <w:rPr>
          <w:sz w:val="20"/>
          <w:szCs w:val="20"/>
          <w:color w:val="auto"/>
        </w:rPr>
      </w:pPr>
      <w:r>
        <w:rPr>
          <w:rFonts w:ascii="Arial" w:cs="Arial" w:eastAsia="Arial" w:hAnsi="Arial"/>
          <w:sz w:val="16"/>
          <w:szCs w:val="16"/>
          <w:color w:val="231F20"/>
        </w:rPr>
        <w:t>Additionally, certain third parties with whom we engage or may engage, including our collaborators, CROs, third-party manufacturers, suppliers, clinical trial sites, regulators and other third parties with whom we conduct business have similarly adjusted their operations and are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we experienced delays in the procurement of materials needed to conduct our preclinical studies. Additionally, certain preclinical studies are conducted by CROs, some of which were delayed as a result of the COVID-19 pandemic and which could be discontinued or further delayed as the pandemic continues. Research and development expenses and general and administrative expenses may vary significantly if there is an increased impact from COVID-19 on the costs and timing associated with the conduct of our business. As we continue to actively advance our programs, we are assessing the impact of the COVID-19 pandemic, our expected timelines and costs on an ongoing basis.</w:t>
      </w:r>
    </w:p>
    <w:p>
      <w:pPr>
        <w:spacing w:after="0" w:line="207"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231F20"/>
        </w:rPr>
        <w:t>Three vaccines for COVID-19 have been granted Emergency Use Authorization (“EUA”) by the FDA, and more are likely to be authorized in the coming months. On August 23, 2021, the FDA approved the first COVID-19 vaccine, which will continue to be available under an EUA as well. The resultant demand for vaccines and potential for manufacturing facilities and materials to be commandeered under the Defense Production Act of 1950, or equivalent foreign legislation, has made it more difficult to obtain materials and manufacturing slots for our product candidates needed for our preclinical studies and clinical trials, which could lead to delays in these studies and trials.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2" w:right="359" w:bottom="1440" w:gutter="0" w:footer="0" w:header="0"/>
        </w:sectPr>
      </w:pPr>
    </w:p>
    <w:bookmarkStart w:id="34" w:name="page35"/>
    <w:bookmarkEnd w:id="34"/>
    <w:p>
      <w:pPr>
        <w:ind w:right="20" w:firstLine="510"/>
        <w:spacing w:after="0" w:line="271" w:lineRule="auto"/>
        <w:rPr>
          <w:sz w:val="20"/>
          <w:szCs w:val="20"/>
          <w:color w:val="auto"/>
        </w:rPr>
      </w:pPr>
      <w:r>
        <w:rPr>
          <w:rFonts w:ascii="Arial" w:cs="Arial" w:eastAsia="Arial" w:hAnsi="Arial"/>
          <w:sz w:val="17"/>
          <w:szCs w:val="17"/>
          <w:color w:val="231F20"/>
        </w:rPr>
        <w:t>The extent to which the COVID-19 pandemic impacts our business will depend on future developments such as the rate of the spread of the disease, new travel restrictions and social distancing in the United States and other countries, business closures or business disruptions, supply of and continued demand for vaccines, the continued effectiveness of the vaccines, and the effectiveness of actions taken in the United States and other countries to contain and treat the disease and to address its impact, including on financial markets or otherwise. Further, a lack of coordinated response on risk mitigation and continued vaccination deployment with respect to the COVID-19 pandemic could result in significant increases to the duration and severity of the pandemic and could have a corresponding negative impact on our business. 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205"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231F20"/>
        </w:rPr>
        <w:t>To the extent the COVID-19 pandemic adversely affects our business, financial condition and operating results, it may also have the effect of heightening many of the risks described in this “Risk Factors” section.</w:t>
      </w:r>
    </w:p>
    <w:p>
      <w:pPr>
        <w:spacing w:after="0" w:line="35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231F20"/>
        </w:rPr>
        <w:t>Raising additional capital will cause dilution to our stockholders, restrict our operations or require us to relinquish rights to our technologies or product candidates.</w:t>
      </w:r>
    </w:p>
    <w:p>
      <w:pPr>
        <w:spacing w:after="0" w:line="76"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231F20"/>
        </w:rPr>
        <w:t>Until such time, if ever, as we can generate substantial revenues, 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spacing w:after="0" w:line="221" w:lineRule="exact"/>
        <w:rPr>
          <w:sz w:val="20"/>
          <w:szCs w:val="20"/>
          <w:color w:val="auto"/>
        </w:rPr>
      </w:pPr>
    </w:p>
    <w:p>
      <w:pPr>
        <w:ind w:right="180" w:firstLine="510"/>
        <w:spacing w:after="0" w:line="296" w:lineRule="auto"/>
        <w:rPr>
          <w:sz w:val="20"/>
          <w:szCs w:val="20"/>
          <w:color w:val="auto"/>
        </w:rPr>
      </w:pPr>
      <w:r>
        <w:rPr>
          <w:rFonts w:ascii="Arial" w:cs="Arial" w:eastAsia="Arial" w:hAnsi="Arial"/>
          <w:sz w:val="16"/>
          <w:szCs w:val="16"/>
          <w:color w:val="231F20"/>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Our ability to utilize our net operating loss carryforwards and certain other tax attributes to offset future taxable income may be limited.</w:t>
      </w:r>
    </w:p>
    <w:p>
      <w:pPr>
        <w:spacing w:after="0" w:line="14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231F20"/>
        </w:rPr>
        <w:t>Our net operating loss (“NOL”) carryforwards may be unavailable to offset future taxable income because of restrictions under U.S. tax law. Under current law, our federal NOLs generated in tax years beginning after December 31, 2017 may be carried forward indefinitely, but is limited to 80% of our current year taxable income. Federal NOLs generated in tax years ending on or prior to December 31, 2017 expire after 20 taxable years. Different restrictions apply under state law. As of December 31, 2020, we had available federal NOL carry forwards of approximately $78.5 million, of which $75.4 million do not expire.</w:t>
      </w:r>
    </w:p>
    <w:p>
      <w:pPr>
        <w:spacing w:after="0" w:line="215"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231F20"/>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 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As of December 31, 2020, a formal study was conducted and concluded that we experienced an ownership change during 2020. As a result, we have removed $3.1 million of deferred tax assets related to NOLs and research tax credit carryforwards due to Section 382 limitations. Our ability to utilize our remaining NOLs and certain other tax attributes could be further limited by a future “ownership change” as described above and consequently, we may not be able to utilize a material portion of our NOLs and certain other tax attributes, which could have a material adverse effect on our cash flows and results of operations.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231F20"/>
        </w:rPr>
        <w:t>Risks Related to the Discovery, Development, Manufacturing and Commercialization of Our Product Candidates</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89"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231F20"/>
        </w:rPr>
        <w:t>We are very early in our development efforts. We have not initiated clinical trials for any of our programs. We do not have any products that are approved for commercial sale, and we may never be able to develop or commercialize marketable products. Before we generate any revenue from product sales, each of our programs and product candidates will require additional preclinical and clinical development, expansion of manufacturing capabilities and expertise, regulatory approval, building a commercial organization or successfully outsourcing commercialization, substantial investment and significant marketing efforts. We are not permitted to market or promote any product candidates before we receive approval from the FDA or comparable foreign regulatory authorities, and we many never receive such approval. Because our product candidates are in an early stage of development, there is a high risk of failure and we may never succeed in developing marketable products.</w:t>
      </w:r>
    </w:p>
    <w:p>
      <w:pPr>
        <w:spacing w:after="0" w:line="218"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231F20"/>
        </w:rPr>
        <w:t>If we do not successfully initiate and complete our planned clinical trials in a timely manner or fail to achieve favorable results from the trial, we may experience significant delays or other issues in advancing our programs. We cannot be certain that our clinical trials will be initiated and completed on time, if at all, or whether our planned clinical strategy will be acceptable to the FDA or comparable foreign regulatory authorities. There is a high failure rate for biopharmaceutical products proceeding through clinical trials. A number of companies in the pharmaceutical and biotechnology industries have suffered significant setbacks in later stage clinical trials even after achieving promising results in earlier stage clinical trials. Data obtained from preclinical studies and clinical trials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193"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231F20"/>
        </w:rPr>
        <w:t>Because of the early stage of development of our programs, our ability to eventually generate significant revenues from our product candidates, which we do not expect will occur for several years, if ever, will depend on a number of factors, including:</w:t>
      </w:r>
    </w:p>
    <w:p>
      <w:pPr>
        <w:spacing w:after="0" w:line="5" w:lineRule="exact"/>
        <w:rPr>
          <w:sz w:val="20"/>
          <w:szCs w:val="20"/>
          <w:color w:val="auto"/>
        </w:rPr>
      </w:pPr>
    </w:p>
    <w:p>
      <w:pPr>
        <w:ind w:left="880" w:hanging="373"/>
        <w:spacing w:after="0"/>
        <w:tabs>
          <w:tab w:leader="none" w:pos="8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231F20"/>
        </w:rPr>
        <w:t>the successful and timely completion of our ongoing preclinical studies;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231F20"/>
        </w:rPr>
        <w:t>generating sufficient data to support the initiation or continuation of clinical trials;</w:t>
      </w:r>
    </w:p>
    <w:p>
      <w:pPr>
        <w:spacing w:after="0" w:line="107" w:lineRule="exact"/>
        <w:rPr>
          <w:rFonts w:ascii="Arial" w:cs="Arial" w:eastAsia="Arial" w:hAnsi="Arial"/>
          <w:sz w:val="25"/>
          <w:szCs w:val="25"/>
          <w:color w:val="auto"/>
          <w:vertAlign w:val="superscript"/>
        </w:rPr>
      </w:pPr>
    </w:p>
    <w:p>
      <w:pPr>
        <w:ind w:left="880" w:right="180" w:hanging="373"/>
        <w:spacing w:after="0" w:line="216" w:lineRule="auto"/>
        <w:tabs>
          <w:tab w:leader="none" w:pos="8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231F20"/>
        </w:rPr>
        <w:t>addressing any delays, necessary adjustments and additional costs in preclinical studies and clinical trials resulting from factors related to the COVID-19 pandemic;</w:t>
      </w:r>
    </w:p>
    <w:p>
      <w:pPr>
        <w:spacing w:after="0" w:line="72"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231F20"/>
        </w:rPr>
        <w:t>submission of INDs or other regulatory applications for our planned clinical trials and authorizations from regulators to initiate clinical trials;</w:t>
      </w:r>
    </w:p>
    <w:p>
      <w:pPr>
        <w:spacing w:after="0" w:line="98" w:lineRule="exact"/>
        <w:rPr>
          <w:rFonts w:ascii="Arial" w:cs="Arial" w:eastAsia="Arial" w:hAnsi="Arial"/>
          <w:sz w:val="22"/>
          <w:szCs w:val="22"/>
          <w:color w:val="auto"/>
          <w:vertAlign w:val="superscript"/>
        </w:rPr>
      </w:pPr>
    </w:p>
    <w:p>
      <w:pPr>
        <w:ind w:left="880" w:hanging="373"/>
        <w:spacing w:after="0" w:line="199" w:lineRule="auto"/>
        <w:tabs>
          <w:tab w:leader="none" w:pos="8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231F20"/>
        </w:rPr>
        <w:t>contracting with the necessary parties to conduct clinical trials;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231F20"/>
        </w:rPr>
        <w:t>successful enrollment in, and completion of, clinical trials on a timely basis;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231F20"/>
        </w:rPr>
        <w:t>achieving favorable results from clinical trials;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231F20"/>
        </w:rPr>
        <w:t>the timely manufacture of sufficient quantities of a product candidate for use in clinical trials and, if approved, commercialization;</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231F20"/>
        </w:rPr>
        <w:t>successful outputs from our capsid engineering and promotor and regulator elements efforts;</w:t>
      </w:r>
    </w:p>
    <w:p>
      <w:pPr>
        <w:spacing w:after="0" w:line="107" w:lineRule="exact"/>
        <w:rPr>
          <w:rFonts w:ascii="Arial" w:cs="Arial" w:eastAsia="Arial" w:hAnsi="Arial"/>
          <w:sz w:val="25"/>
          <w:szCs w:val="25"/>
          <w:color w:val="auto"/>
          <w:vertAlign w:val="superscript"/>
        </w:rPr>
      </w:pPr>
    </w:p>
    <w:p>
      <w:pPr>
        <w:ind w:left="880" w:right="720" w:hanging="373"/>
        <w:spacing w:after="0" w:line="216" w:lineRule="auto"/>
        <w:tabs>
          <w:tab w:leader="none" w:pos="8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231F20"/>
        </w:rPr>
        <w:t>sufficiency of our financial and other resources to complete the necessary preclinical studies and clinical trials and commercialization activities;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231F20"/>
        </w:rPr>
        <w:t>the frequency and severity of adverse events in clinical trials;</w:t>
      </w:r>
    </w:p>
    <w:p>
      <w:pPr>
        <w:spacing w:after="0" w:line="107" w:lineRule="exact"/>
        <w:rPr>
          <w:rFonts w:ascii="Arial" w:cs="Arial" w:eastAsia="Arial" w:hAnsi="Arial"/>
          <w:sz w:val="25"/>
          <w:szCs w:val="25"/>
          <w:color w:val="auto"/>
          <w:vertAlign w:val="superscript"/>
        </w:rPr>
      </w:pPr>
    </w:p>
    <w:p>
      <w:pPr>
        <w:ind w:left="880" w:right="220" w:hanging="373"/>
        <w:spacing w:after="0" w:line="216" w:lineRule="auto"/>
        <w:tabs>
          <w:tab w:leader="none" w:pos="8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231F20"/>
        </w:rPr>
        <w:t>demonstrating efficacy, safety and tolerability profiles that are satisfactory to the FDA, EMA or any comparable foreign regulatory authority for marketing approval;</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231F20"/>
        </w:rPr>
        <w:t>the timely receipt of marketing approvals from applicable regulatory authorities;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231F20"/>
        </w:rPr>
        <w:t>the extent of any required post-marketing approval commitments to applicable regulatory authorities;</w:t>
      </w:r>
    </w:p>
    <w:p>
      <w:pPr>
        <w:spacing w:after="0" w:line="107" w:lineRule="exact"/>
        <w:rPr>
          <w:rFonts w:ascii="Arial" w:cs="Arial" w:eastAsia="Arial" w:hAnsi="Arial"/>
          <w:sz w:val="25"/>
          <w:szCs w:val="25"/>
          <w:color w:val="auto"/>
          <w:vertAlign w:val="superscript"/>
        </w:rPr>
      </w:pPr>
    </w:p>
    <w:p>
      <w:pPr>
        <w:ind w:left="880" w:right="440" w:hanging="373"/>
        <w:spacing w:after="0" w:line="216" w:lineRule="auto"/>
        <w:tabs>
          <w:tab w:leader="none" w:pos="8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231F20"/>
        </w:rPr>
        <w:t>operational, technical and clinical development challenges associated with pediatric indications that we may pursue, including challenges associated with recruiting and enrolling eligible pediatric patients in clinical trials;</w:t>
      </w:r>
    </w:p>
    <w:p>
      <w:pPr>
        <w:spacing w:after="0" w:line="94" w:lineRule="exact"/>
        <w:rPr>
          <w:rFonts w:ascii="Arial" w:cs="Arial" w:eastAsia="Arial" w:hAnsi="Arial"/>
          <w:sz w:val="25"/>
          <w:szCs w:val="25"/>
          <w:color w:val="auto"/>
          <w:vertAlign w:val="superscript"/>
        </w:rPr>
      </w:pPr>
    </w:p>
    <w:p>
      <w:pPr>
        <w:ind w:left="880" w:right="100" w:hanging="373"/>
        <w:spacing w:after="0" w:line="226" w:lineRule="auto"/>
        <w:tabs>
          <w:tab w:leader="none" w:pos="8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231F20"/>
        </w:rPr>
        <w:t>additional clinical trials and other requirements imposed by regulatory authorities for expanding drug labeling to include pediatric populations or for approval a pediatric product candidate, including formulation changes, additional bridging studies, manufacturing changes, dosage and administration changes, among others;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36" w:name="page37"/>
    <w:bookmarkEnd w:id="36"/>
    <w:p>
      <w:pPr>
        <w:ind w:left="880" w:right="300" w:hanging="373"/>
        <w:spacing w:after="0" w:line="216" w:lineRule="auto"/>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the maintenance of existing or the establishment of new supply arrangements with third-party drug product suppliers and manufacturers for clinical development and, if approved, commercialization;</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maintaining consistent quality, purity, and potency across clinical supplies and commercial supplies for any approved products;</w:t>
      </w:r>
    </w:p>
    <w:p>
      <w:pPr>
        <w:spacing w:after="0" w:line="107" w:lineRule="exact"/>
        <w:rPr>
          <w:rFonts w:ascii="Arial" w:cs="Arial" w:eastAsia="Arial" w:hAnsi="Arial"/>
          <w:sz w:val="25"/>
          <w:szCs w:val="25"/>
          <w:color w:val="auto"/>
          <w:vertAlign w:val="superscript"/>
        </w:rPr>
      </w:pPr>
    </w:p>
    <w:p>
      <w:pPr>
        <w:ind w:left="880" w:right="500" w:hanging="373"/>
        <w:spacing w:after="0" w:line="216" w:lineRule="auto"/>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obtaining and maintaining patent and other intellectual property protection, trade secret protection and regulatory exclusivity, both in the United States and internationally;</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protecting, enforcing and defending our rights in our intellectual property portfolio;</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our ability to expand into multiple indications;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the successful launch of commercial sales following any marketing approval;</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a continued acceptable safety profile and sustained therapeutic effect of our therapies following any marketing approval;</w:t>
      </w:r>
    </w:p>
    <w:p>
      <w:pPr>
        <w:spacing w:after="0" w:line="107" w:lineRule="exact"/>
        <w:rPr>
          <w:rFonts w:ascii="Arial" w:cs="Arial" w:eastAsia="Arial" w:hAnsi="Arial"/>
          <w:sz w:val="25"/>
          <w:szCs w:val="25"/>
          <w:color w:val="auto"/>
          <w:vertAlign w:val="superscript"/>
        </w:rPr>
      </w:pPr>
    </w:p>
    <w:p>
      <w:pPr>
        <w:ind w:left="880" w:right="100" w:hanging="373"/>
        <w:spacing w:after="0" w:line="216" w:lineRule="auto"/>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the actual market-size, ability to identify patients and the demographics of patients eligible for our product candidates, which may be different than expected;</w:t>
      </w:r>
    </w:p>
    <w:p>
      <w:pPr>
        <w:spacing w:after="0" w:line="94" w:lineRule="exact"/>
        <w:rPr>
          <w:rFonts w:ascii="Arial" w:cs="Arial" w:eastAsia="Arial" w:hAnsi="Arial"/>
          <w:sz w:val="25"/>
          <w:szCs w:val="25"/>
          <w:color w:val="auto"/>
          <w:vertAlign w:val="superscript"/>
        </w:rPr>
      </w:pPr>
    </w:p>
    <w:p>
      <w:pPr>
        <w:ind w:left="880" w:right="160" w:hanging="373"/>
        <w:spacing w:after="0" w:line="216" w:lineRule="auto"/>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commercial acceptance by patients, the medical community and third-party payors, particularly since the product candidates we develop may be novel; and</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our ability to compete with other therapies.</w:t>
      </w:r>
    </w:p>
    <w:p>
      <w:pPr>
        <w:spacing w:after="0" w:line="242"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231F20"/>
        </w:rPr>
        <w:t>We do not have control over many of these factors, including certain aspects of preclinical and clinical development and the regulatory submission process and potential threats to our intellectual property rights. If we are not successful with respect to one or more of these factors in a timely manner or at all, we could experience significant delays or an inability to successfully commercialize our product candidates, which would materially harm our business.</w:t>
      </w:r>
    </w:p>
    <w:p>
      <w:pPr>
        <w:spacing w:after="0" w:line="176"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231F20"/>
        </w:rPr>
        <w:t>To become and remain profitable, we must develop, obtain approval for and eventually commercialize products candidates, if approved, that generate significant revenue. We do not expect to receive approval of any product candidates for many years and may never succeed in these activities. In addition, it is not uncommon for product candidates to exhibit unforeseen safety issues or inadequate efficacy when tested in humans despite promising results in preclinical animal models, and we may ultimately be unable to demonstrate adequate safety and efficacy of our product candidates to obtain marketing approval. Even if we obtain approval and begin commercializing one or more of our product candidates, we may never generate revenue that is significant or large enough to achieve profitability.</w:t>
      </w:r>
    </w:p>
    <w:p>
      <w:pPr>
        <w:spacing w:after="0" w:line="219"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231F20"/>
        </w:rPr>
        <w:t>Even if we succeed in commercializing one or more of our product candidates, we will continue to incur substantial research and development, manufacturing and other expenditures to develop and market additional product candidates. Our failure to become or remain profitable would decrease the value of the company and could impair our ability to raise capital, maintain our research and development efforts, expand our business or continue our operations.</w:t>
      </w:r>
    </w:p>
    <w:p>
      <w:pPr>
        <w:spacing w:after="0" w:line="214" w:lineRule="exact"/>
        <w:rPr>
          <w:sz w:val="20"/>
          <w:szCs w:val="20"/>
          <w:color w:val="auto"/>
        </w:rPr>
      </w:pPr>
    </w:p>
    <w:p>
      <w:pPr>
        <w:jc w:val="both"/>
        <w:ind w:right="540" w:firstLine="510"/>
        <w:spacing w:after="0" w:line="311" w:lineRule="auto"/>
        <w:rPr>
          <w:sz w:val="20"/>
          <w:szCs w:val="20"/>
          <w:color w:val="auto"/>
        </w:rPr>
      </w:pPr>
      <w:r>
        <w:rPr>
          <w:rFonts w:ascii="Arial" w:cs="Arial" w:eastAsia="Arial" w:hAnsi="Arial"/>
          <w:sz w:val="16"/>
          <w:szCs w:val="16"/>
          <w:color w:val="231F20"/>
        </w:rPr>
        <w:t>Even if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spacing w:after="0" w:line="297"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71"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231F20"/>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spacing w:after="0" w:line="188"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231F20"/>
        </w:rPr>
        <w:t>To date, only three products that utilize AAV-mediated gene transfer have been approved in the United States or Europe, including Novartis Pharmaceuticals’ Zolgensma (developed by AveXis), Roche’s Luxturna (developed by Spark Therapeutics), and uniQure’s Glybera. No AAV-based gene therapies have yet been approved for the heart, much less therapies for the heart using novel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7" w:name="page38"/>
    <w:bookmarkEnd w:id="37"/>
    <w:p>
      <w:pPr>
        <w:ind w:right="20"/>
        <w:spacing w:after="0" w:line="277" w:lineRule="auto"/>
        <w:rPr>
          <w:sz w:val="20"/>
          <w:szCs w:val="20"/>
          <w:color w:val="auto"/>
        </w:rPr>
      </w:pPr>
      <w:r>
        <w:rPr>
          <w:rFonts w:ascii="Arial" w:cs="Arial" w:eastAsia="Arial" w:hAnsi="Arial"/>
          <w:sz w:val="18"/>
          <w:szCs w:val="18"/>
          <w:color w:val="231F20"/>
        </w:rPr>
        <w:t>capsids or promoters or delivery methods. It is therefore difficult to determine how long it will take or how much it will cost to obtain regulatory approvals for our product candidates in the United States, the European Union or other jurisdictions.</w:t>
      </w:r>
    </w:p>
    <w:p>
      <w:pPr>
        <w:spacing w:after="0" w:line="19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The regulatory requirements that will govern any novel gene therapy product candidates we develop are not entirely clear, have changed over time and are subject to further change. Within the broader genetic medicine field, very few therapeutic products have received marketing authorization from the FDA, EMA or comparable foreign regulatory authorities.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regulatory approval of our product candidates. Moreover, there is substantial overlap in those responsible for regulation of existing gene therapy products and cell therapy products. For example, in the United States,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spacing w:after="0" w:line="209"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231F20"/>
        </w:rPr>
        <w:t>Our product candidates will need to meet safety and efficacy standards applicable to any new biologic under the regulatory framework administered by the FDA. In addition to FDA oversight and oversight by institutional review boards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208"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231F20"/>
        </w:rPr>
        <w:t>The same applies in the European Union. The EMA’s Committee for Advanced Therapies (“CAT”) is responsible for assessing the quality, safety, and efficacy of advanced-therapy medicinal products. Advanced- therapy medicinal products include gene therapy medicines, somatic-cell therapy medicines and tissue- 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spacing w:after="0" w:line="193"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231F20"/>
        </w:rPr>
        <w:t>Approvals by the EMA may not be indicative of what the FDA may require for approval. Delay or failure to obtain, or unexpected costs in obtaining, the regulatory approvals necessary to bring a potential product to market could decrease our ability to generate sufficient product revenue and our business, financial condition, results of operations and prospects could be materially harmed.</w:t>
      </w:r>
    </w:p>
    <w:p>
      <w:pPr>
        <w:spacing w:after="0" w:line="184"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231F20"/>
        </w:rPr>
        <w:t>Adverse developments in preclinical studies or clinical trials conducted by others in the field of gene therapy and gene regulation products may cause the FDA, EMA, and other regulatory bodies to revise the requirements for the conduct of the clinical studies and approval of any product candidates we may develop or limit the use of products utilizing gene regulation technologies, either of which could harm our business.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8" w:name="page39"/>
    <w:bookmarkEnd w:id="38"/>
    <w:p>
      <w:pPr>
        <w:ind w:firstLine="510"/>
        <w:spacing w:after="0" w:line="290" w:lineRule="auto"/>
        <w:rPr>
          <w:sz w:val="20"/>
          <w:szCs w:val="20"/>
          <w:color w:val="auto"/>
        </w:rPr>
      </w:pPr>
      <w:r>
        <w:rPr>
          <w:rFonts w:ascii="Arial" w:cs="Arial" w:eastAsia="Arial" w:hAnsi="Arial"/>
          <w:sz w:val="16"/>
          <w:szCs w:val="16"/>
          <w:color w:val="231F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3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231F20"/>
        </w:rPr>
        <w:t>The mechanisms of action of our product candidates are unproven, and we do not know whether we will be able to develop any drug of commercial value.</w:t>
      </w:r>
    </w:p>
    <w:p>
      <w:pPr>
        <w:spacing w:after="0" w:line="76"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231F20"/>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have seen for our compounds in preclinical models may not translate into similar results in humans, and results of early clinical trials in humans may not be predictive of the results of larger clinical trials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spacing w:after="0" w:line="19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231F20"/>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spacing w:after="0" w:line="38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b w:val="1"/>
          <w:bCs w:val="1"/>
          <w:i w:val="1"/>
          <w:iCs w:val="1"/>
          <w:color w:val="231F20"/>
        </w:rPr>
        <w:t>Preclinical and clinical drug development involves a lengthy and expensive process with an uncertain outcome. The clinical trials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93"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231F20"/>
        </w:rPr>
        <w:t>It is impossible to predict when or if any product candidate that we develop will prove effective or safe in humans or will receive marketing approval. Before obtaining marketing approval from the FDA, EMA or other comparable foreign regulatory authorities for the sale of our product candidates, we must complete preclinical development and extensive clinical trials to demonstrate with substantial evidence the safety and efficacy of such product candidates.</w:t>
      </w:r>
    </w:p>
    <w:p>
      <w:pPr>
        <w:spacing w:after="0" w:line="214"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231F20"/>
        </w:rPr>
        <w:t>Clinical testing is expensive, difficult to design and implement, can take many years to complete and its ultimate outcome is uncertain. We cannot guarantee that any of our clinical trials will be conducted as planned or completed on schedule, or at all. Clinical trials can fail at any stage of testing and failure may result from a multitude of factors, including, among other things, flaws in study design, dose selection issues, placebo effects, patient enrollment criteria and failure to demonstrate favorable safety or efficacy traits. The 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 we cannot assure you that any clinical trials that we conduct will demonstrate consistent or adequate efficacy and safety to support marketing approval.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9" w:name="page40"/>
    <w:bookmarkEnd w:id="39"/>
    <w:p>
      <w:pPr>
        <w:ind w:right="20" w:firstLine="510"/>
        <w:spacing w:after="0" w:line="269" w:lineRule="auto"/>
        <w:rPr>
          <w:sz w:val="20"/>
          <w:szCs w:val="20"/>
          <w:color w:val="auto"/>
        </w:rPr>
      </w:pPr>
      <w:r>
        <w:rPr>
          <w:rFonts w:ascii="Arial" w:cs="Arial" w:eastAsia="Arial" w:hAnsi="Arial"/>
          <w:sz w:val="17"/>
          <w:szCs w:val="17"/>
          <w:color w:val="231F20"/>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additional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studies, such as bridging studies and additional safety studies, before we can commence our clinical trials in pediatric populations. Any delays in our planned clinical development activities for pediatric patients could have an adverse effect on our business operations.</w:t>
      </w:r>
    </w:p>
    <w:p>
      <w:pPr>
        <w:spacing w:after="0" w:line="21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231F20"/>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spacing w:after="0" w:line="195"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231F20"/>
        </w:rPr>
        <w:t>To date, we have not initiated or completed any clinical trials required for the approval of our product candidates. We may experience numerous unforeseen events during, or as a result of, preclinical studies or clinical trials that could delay or prevent receipt of marketing approval or our ability to commercialize our product candidates, including:</w:t>
      </w:r>
    </w:p>
    <w:p>
      <w:pPr>
        <w:spacing w:after="0" w:line="32" w:lineRule="exact"/>
        <w:rPr>
          <w:sz w:val="20"/>
          <w:szCs w:val="20"/>
          <w:color w:val="auto"/>
        </w:rPr>
      </w:pPr>
    </w:p>
    <w:p>
      <w:pPr>
        <w:ind w:left="880" w:hanging="373"/>
        <w:spacing w:after="0"/>
        <w:tabs>
          <w:tab w:leader="none" w:pos="88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231F20"/>
        </w:rPr>
        <w:t xml:space="preserve">inability to generate sufficient preclinical, toxicology, or other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or </w:t>
      </w:r>
      <w:r>
        <w:rPr>
          <w:rFonts w:ascii="Arial" w:cs="Arial" w:eastAsia="Arial" w:hAnsi="Arial"/>
          <w:sz w:val="18"/>
          <w:szCs w:val="18"/>
          <w:i w:val="1"/>
          <w:iCs w:val="1"/>
          <w:color w:val="231F20"/>
        </w:rPr>
        <w:t>in vitro</w:t>
      </w:r>
      <w:r>
        <w:rPr>
          <w:rFonts w:ascii="Arial" w:cs="Arial" w:eastAsia="Arial" w:hAnsi="Arial"/>
          <w:sz w:val="18"/>
          <w:szCs w:val="18"/>
          <w:color w:val="231F20"/>
        </w:rPr>
        <w:t xml:space="preserve"> data to support the initiation of clinical trials;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231F20"/>
        </w:rPr>
        <w:t>delays in sufficiently developing, characterizing or controlling a manufacturing process suitable for advanced clinical trials;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231F20"/>
        </w:rPr>
        <w:t>receipt of feedback from regulatory authorities that requires us to modify the design of our clinical trials;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231F20"/>
        </w:rPr>
        <w:t>clinical trial observations or results that require us to modify the design of our clinical trials;</w:t>
      </w:r>
    </w:p>
    <w:p>
      <w:pPr>
        <w:spacing w:after="0" w:line="107" w:lineRule="exact"/>
        <w:rPr>
          <w:rFonts w:ascii="Arial" w:cs="Arial" w:eastAsia="Arial" w:hAnsi="Arial"/>
          <w:sz w:val="25"/>
          <w:szCs w:val="25"/>
          <w:color w:val="auto"/>
          <w:vertAlign w:val="superscript"/>
        </w:rPr>
      </w:pPr>
    </w:p>
    <w:p>
      <w:pPr>
        <w:ind w:left="880" w:right="460" w:hanging="373"/>
        <w:spacing w:after="0" w:line="216" w:lineRule="auto"/>
        <w:tabs>
          <w:tab w:leader="none" w:pos="88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231F20"/>
        </w:rPr>
        <w:t>negative or inconclusive clinical trial results that may require us to conduct additional clinical trials or abandon certain drug development programs;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231F20"/>
        </w:rPr>
        <w:t>obtaining approval from one or more IRBs;</w:t>
      </w:r>
    </w:p>
    <w:p>
      <w:pPr>
        <w:spacing w:after="0" w:line="107" w:lineRule="exact"/>
        <w:rPr>
          <w:rFonts w:ascii="Arial" w:cs="Arial" w:eastAsia="Arial" w:hAnsi="Arial"/>
          <w:sz w:val="25"/>
          <w:szCs w:val="25"/>
          <w:color w:val="auto"/>
          <w:vertAlign w:val="superscript"/>
        </w:rPr>
      </w:pPr>
    </w:p>
    <w:p>
      <w:pPr>
        <w:ind w:left="880" w:right="160" w:hanging="373"/>
        <w:spacing w:after="0" w:line="216" w:lineRule="auto"/>
        <w:tabs>
          <w:tab w:leader="none" w:pos="88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231F20"/>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94" w:lineRule="exact"/>
        <w:rPr>
          <w:rFonts w:ascii="Arial" w:cs="Arial" w:eastAsia="Arial" w:hAnsi="Arial"/>
          <w:sz w:val="25"/>
          <w:szCs w:val="25"/>
          <w:color w:val="auto"/>
          <w:vertAlign w:val="superscript"/>
        </w:rPr>
      </w:pPr>
    </w:p>
    <w:p>
      <w:pPr>
        <w:ind w:left="880" w:right="100" w:hanging="373"/>
        <w:spacing w:after="0" w:line="216" w:lineRule="auto"/>
        <w:tabs>
          <w:tab w:leader="none" w:pos="88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231F20"/>
        </w:rPr>
        <w:t>any failure or delay in reaching an agreement with CROs and clinical trial sites, the terms of which can be subject to extensive negotiation and may vary significantly among different CROs and trial sites;</w:t>
      </w:r>
    </w:p>
    <w:p>
      <w:pPr>
        <w:spacing w:after="0" w:line="94" w:lineRule="exact"/>
        <w:rPr>
          <w:rFonts w:ascii="Arial" w:cs="Arial" w:eastAsia="Arial" w:hAnsi="Arial"/>
          <w:sz w:val="25"/>
          <w:szCs w:val="25"/>
          <w:color w:val="auto"/>
          <w:vertAlign w:val="superscript"/>
        </w:rPr>
      </w:pPr>
    </w:p>
    <w:p>
      <w:pPr>
        <w:ind w:left="880" w:right="40" w:hanging="373"/>
        <w:spacing w:after="0" w:line="216" w:lineRule="auto"/>
        <w:tabs>
          <w:tab w:leader="none" w:pos="88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231F20"/>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231F20"/>
        </w:rPr>
        <w:t>changes to clinical trial protocol;</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231F20"/>
        </w:rPr>
        <w:t>clinical sites deviating from trial protocol or dropping out of a trial;</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231F20"/>
        </w:rPr>
        <w:t>the cost of clinical trials of our product candidates being greater than anticipated;</w:t>
      </w:r>
    </w:p>
    <w:p>
      <w:pPr>
        <w:spacing w:after="0" w:line="107" w:lineRule="exact"/>
        <w:rPr>
          <w:rFonts w:ascii="Arial" w:cs="Arial" w:eastAsia="Arial" w:hAnsi="Arial"/>
          <w:sz w:val="25"/>
          <w:szCs w:val="25"/>
          <w:color w:val="auto"/>
          <w:vertAlign w:val="superscript"/>
        </w:rPr>
      </w:pPr>
    </w:p>
    <w:p>
      <w:pPr>
        <w:ind w:left="880" w:right="820" w:hanging="373"/>
        <w:spacing w:after="0" w:line="216" w:lineRule="auto"/>
        <w:tabs>
          <w:tab w:leader="none" w:pos="88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231F20"/>
        </w:rPr>
        <w:t>the supply or quality of our product candidates or other materials necessary to conduct clinical trials of our product candidates being insufficient or inadequate;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0" w:name="page41"/>
    <w:bookmarkEnd w:id="40"/>
    <w:p>
      <w:pPr>
        <w:ind w:left="880" w:hanging="373"/>
        <w:spacing w:after="0"/>
        <w:tabs>
          <w:tab w:leader="none" w:pos="88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231F20"/>
        </w:rPr>
        <w:t>subjects experiencing severe or unexpected drug-related adverse effects;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231F20"/>
        </w:rPr>
        <w:t>selection of clinical end points that require prolonged periods of clinical observation or analysis of the resulting data;</w:t>
      </w:r>
    </w:p>
    <w:p>
      <w:pPr>
        <w:spacing w:after="0" w:line="107" w:lineRule="exact"/>
        <w:rPr>
          <w:rFonts w:ascii="Arial" w:cs="Arial" w:eastAsia="Arial" w:hAnsi="Arial"/>
          <w:sz w:val="25"/>
          <w:szCs w:val="25"/>
          <w:color w:val="auto"/>
          <w:vertAlign w:val="superscript"/>
        </w:rPr>
      </w:pPr>
    </w:p>
    <w:p>
      <w:pPr>
        <w:ind w:left="880" w:right="100" w:hanging="373"/>
        <w:spacing w:after="0" w:line="238" w:lineRule="auto"/>
        <w:tabs>
          <w:tab w:leader="none" w:pos="88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231F20"/>
        </w:rPr>
        <w:t>a facility manufacturing our product candidates or any of their components being ordered by the FDA or comparable foreign regulatory authorities to temporarily or permanently shut down due to violations of current good manufacturing practice (“cGMPs”), regulations or other applicable requirements, or infections or cross-contaminations of product candidates in the manufacturing process;</w:t>
      </w:r>
    </w:p>
    <w:p>
      <w:pPr>
        <w:spacing w:after="0" w:line="37" w:lineRule="exact"/>
        <w:rPr>
          <w:rFonts w:ascii="Arial" w:cs="Arial" w:eastAsia="Arial" w:hAnsi="Arial"/>
          <w:sz w:val="24"/>
          <w:szCs w:val="24"/>
          <w:color w:val="auto"/>
          <w:vertAlign w:val="superscript"/>
        </w:rPr>
      </w:pPr>
    </w:p>
    <w:p>
      <w:pPr>
        <w:ind w:left="880" w:hanging="373"/>
        <w:spacing w:after="0"/>
        <w:tabs>
          <w:tab w:leader="none" w:pos="88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231F20"/>
        </w:rPr>
        <w:t>any changes to our manufacturing process that may be necessary or desired;</w:t>
      </w:r>
    </w:p>
    <w:p>
      <w:pPr>
        <w:spacing w:after="0" w:line="107" w:lineRule="exact"/>
        <w:rPr>
          <w:rFonts w:ascii="Arial" w:cs="Arial" w:eastAsia="Arial" w:hAnsi="Arial"/>
          <w:sz w:val="25"/>
          <w:szCs w:val="25"/>
          <w:color w:val="auto"/>
          <w:vertAlign w:val="superscript"/>
        </w:rPr>
      </w:pPr>
    </w:p>
    <w:p>
      <w:pPr>
        <w:ind w:left="880" w:right="100" w:hanging="373"/>
        <w:spacing w:after="0" w:line="227" w:lineRule="auto"/>
        <w:tabs>
          <w:tab w:leader="none" w:pos="88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231F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spacing w:after="0" w:line="36" w:lineRule="exact"/>
        <w:rPr>
          <w:rFonts w:ascii="Arial" w:cs="Arial" w:eastAsia="Arial" w:hAnsi="Arial"/>
          <w:sz w:val="24"/>
          <w:szCs w:val="24"/>
          <w:color w:val="auto"/>
          <w:vertAlign w:val="superscript"/>
        </w:rPr>
      </w:pPr>
    </w:p>
    <w:p>
      <w:pPr>
        <w:ind w:left="880" w:hanging="373"/>
        <w:spacing w:after="0"/>
        <w:tabs>
          <w:tab w:leader="none" w:pos="88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231F20"/>
        </w:rPr>
        <w:t>third-party contractors not performing data collection or analysis in a timely or accurate manner;</w:t>
      </w:r>
    </w:p>
    <w:p>
      <w:pPr>
        <w:spacing w:after="0" w:line="107" w:lineRule="exact"/>
        <w:rPr>
          <w:rFonts w:ascii="Arial" w:cs="Arial" w:eastAsia="Arial" w:hAnsi="Arial"/>
          <w:sz w:val="25"/>
          <w:szCs w:val="25"/>
          <w:color w:val="auto"/>
          <w:vertAlign w:val="superscript"/>
        </w:rPr>
      </w:pPr>
    </w:p>
    <w:p>
      <w:pPr>
        <w:jc w:val="both"/>
        <w:ind w:left="880" w:right="140" w:hanging="373"/>
        <w:spacing w:after="0" w:line="226" w:lineRule="auto"/>
        <w:tabs>
          <w:tab w:leader="none" w:pos="88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38"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231F20"/>
        </w:rPr>
        <w:t>regulators revising the requirements for approving our product candidates;</w:t>
      </w:r>
    </w:p>
    <w:p>
      <w:pPr>
        <w:spacing w:after="0" w:line="98" w:lineRule="exact"/>
        <w:rPr>
          <w:rFonts w:ascii="Arial" w:cs="Arial" w:eastAsia="Arial" w:hAnsi="Arial"/>
          <w:sz w:val="25"/>
          <w:szCs w:val="25"/>
          <w:color w:val="auto"/>
          <w:vertAlign w:val="superscript"/>
        </w:rPr>
      </w:pPr>
    </w:p>
    <w:p>
      <w:pPr>
        <w:ind w:left="880" w:hanging="373"/>
        <w:spacing w:after="0" w:line="207" w:lineRule="auto"/>
        <w:tabs>
          <w:tab w:leader="none" w:pos="88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231F20"/>
        </w:rPr>
        <w:t>absence in some countries of established groups with sufficient regulatory expertise for review of AAV gene therapy protocols; and</w:t>
      </w:r>
    </w:p>
    <w:p>
      <w:pPr>
        <w:spacing w:after="0" w:line="108" w:lineRule="exact"/>
        <w:rPr>
          <w:rFonts w:ascii="Arial" w:cs="Arial" w:eastAsia="Arial" w:hAnsi="Arial"/>
          <w:sz w:val="24"/>
          <w:szCs w:val="24"/>
          <w:color w:val="auto"/>
          <w:vertAlign w:val="superscript"/>
        </w:rPr>
      </w:pPr>
    </w:p>
    <w:p>
      <w:pPr>
        <w:ind w:left="880" w:right="260" w:hanging="373"/>
        <w:spacing w:after="0" w:line="216" w:lineRule="auto"/>
        <w:tabs>
          <w:tab w:leader="none" w:pos="88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231F20"/>
        </w:rPr>
        <w:t>the potential burden of complying with a variety of foreign laws, medical standards and regulatory requirements, including the regulation of pharmaceutical and biotechnology products and treatment.</w:t>
      </w:r>
    </w:p>
    <w:p>
      <w:pPr>
        <w:spacing w:after="0" w:line="230"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231F20"/>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203"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231F20"/>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204"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231F20"/>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our product development costs will also increase if we experience delays in preclinical studies or clinical trials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which could result in increased costs and expenses and/or delays. Any delays in completing our clinical trials will increase our costs, slow down our product candidate development and approval process and jeopardize our ability to commence product sales and generate revenues.</w:t>
      </w:r>
    </w:p>
    <w:p>
      <w:pPr>
        <w:spacing w:after="0" w:line="17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31F20"/>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41" w:name="page42"/>
    <w:bookmarkEnd w:id="41"/>
    <w:p>
      <w:pPr>
        <w:ind w:right="200"/>
        <w:spacing w:after="0" w:line="263" w:lineRule="auto"/>
        <w:rPr>
          <w:sz w:val="20"/>
          <w:szCs w:val="20"/>
          <w:color w:val="auto"/>
        </w:rPr>
      </w:pPr>
      <w:r>
        <w:rPr>
          <w:rFonts w:ascii="Arial" w:cs="Arial" w:eastAsia="Arial" w:hAnsi="Arial"/>
          <w:sz w:val="18"/>
          <w:szCs w:val="18"/>
          <w:b w:val="1"/>
          <w:bCs w:val="1"/>
          <w:i w:val="1"/>
          <w:iCs w:val="1"/>
          <w:color w:val="231F20"/>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89" w:lineRule="exact"/>
        <w:rPr>
          <w:sz w:val="20"/>
          <w:szCs w:val="20"/>
          <w:color w:val="auto"/>
        </w:rPr>
      </w:pPr>
    </w:p>
    <w:p>
      <w:pPr>
        <w:ind w:right="140" w:firstLine="510"/>
        <w:spacing w:after="0" w:line="290" w:lineRule="auto"/>
        <w:rPr>
          <w:sz w:val="20"/>
          <w:szCs w:val="20"/>
          <w:color w:val="auto"/>
        </w:rPr>
      </w:pPr>
      <w:r>
        <w:rPr>
          <w:rFonts w:ascii="Arial" w:cs="Arial" w:eastAsia="Arial" w:hAnsi="Arial"/>
          <w:sz w:val="16"/>
          <w:szCs w:val="16"/>
          <w:color w:val="231F20"/>
        </w:rPr>
        <w:t>We are developing novel therapies for the treatment of heart disease. As a result, there is uncertainty as to the safety profile of product candidates we may develop. If our product candidates are associated with undesirable side effects or have unexpected characteristics in preclinical studies or clinical trials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There is no guarantee that our product candidates will not have side effects similar to those seen in other gene therapies or that we will be able to prevent side effects from escalating to an unsafe level for our patients. Any of these occurrences may prevent us from achieving or maintaining market acceptance of the affected product candidate and may harm our business, financial condition and prospects significantly.</w:t>
      </w:r>
    </w:p>
    <w:p>
      <w:pPr>
        <w:spacing w:after="0" w:line="19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231F20"/>
        </w:rPr>
        <w:t>Patients in our planned clinical trials may in the future suffer other serious adverse events or other side effects not observed in our preclinical studies or previous clinical trials. Patients treated with our other product candidates may also be undergoing other therapies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w:t>
      </w:r>
    </w:p>
    <w:p>
      <w:pPr>
        <w:spacing w:after="0" w:line="205"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231F20"/>
        </w:rPr>
        <w:t>If further serious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35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231F20"/>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spacing w:after="0" w:line="5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231F20"/>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192"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231F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2" w:name="page43"/>
    <w:bookmarkEnd w:id="42"/>
    <w:p>
      <w:pPr>
        <w:ind w:firstLine="510"/>
        <w:spacing w:after="0" w:line="277" w:lineRule="auto"/>
        <w:rPr>
          <w:sz w:val="20"/>
          <w:szCs w:val="20"/>
          <w:color w:val="auto"/>
        </w:rPr>
      </w:pPr>
      <w:r>
        <w:rPr>
          <w:rFonts w:ascii="Arial" w:cs="Arial" w:eastAsia="Arial" w:hAnsi="Arial"/>
          <w:sz w:val="18"/>
          <w:szCs w:val="18"/>
          <w:color w:val="231F20"/>
        </w:rPr>
        <w:t>We do not know whether any clinical trials we may conduct will demonstrate consistent or adequate efficacy and safety sufficient to obtain approval to market any of our product candidates.</w:t>
      </w:r>
    </w:p>
    <w:p>
      <w:pPr>
        <w:spacing w:after="0" w:line="35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231F20"/>
        </w:rPr>
        <w:t>If we experience delays or difficulties in the enrollment and/or maintenance of patients in clinical trials, our regulatory submissions or receipt of necessary marketing approvals could be delayed or prevented.</w:t>
      </w:r>
    </w:p>
    <w:p>
      <w:pPr>
        <w:spacing w:after="0" w:line="76"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231F20"/>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Our ability to enroll eligible patients may be limited or may result in slower enrollment than we anticipate.</w:t>
      </w:r>
    </w:p>
    <w:p>
      <w:pPr>
        <w:spacing w:after="0" w:line="214" w:lineRule="exact"/>
        <w:rPr>
          <w:sz w:val="20"/>
          <w:szCs w:val="20"/>
          <w:color w:val="auto"/>
        </w:rPr>
      </w:pPr>
    </w:p>
    <w:p>
      <w:pPr>
        <w:jc w:val="both"/>
        <w:ind w:right="220" w:firstLine="510"/>
        <w:spacing w:after="0" w:line="279" w:lineRule="auto"/>
        <w:rPr>
          <w:sz w:val="20"/>
          <w:szCs w:val="20"/>
          <w:color w:val="auto"/>
        </w:rPr>
      </w:pPr>
      <w:r>
        <w:rPr>
          <w:rFonts w:ascii="Arial" w:cs="Arial" w:eastAsia="Arial" w:hAnsi="Arial"/>
          <w:sz w:val="17"/>
          <w:szCs w:val="17"/>
          <w:color w:val="231F20"/>
        </w:rPr>
        <w:t>We may experience delays if our clinical trial sites limit their onsite staff or temporarily close as a result of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clinical trials and our regulatory submissions.</w:t>
      </w:r>
    </w:p>
    <w:p>
      <w:pPr>
        <w:spacing w:after="0" w:line="19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231F20"/>
        </w:rPr>
        <w:t>We are developing product candidates for the treatment of heart disease, including for certain indications, such as rare genetic diseases, with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w:t>
      </w:r>
    </w:p>
    <w:p>
      <w:pPr>
        <w:spacing w:after="0" w:line="215"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231F20"/>
        </w:rPr>
        <w:t>We expect patient enrollment to be affected because our competitors have ongoing clinical trials for programs that are under development for the same indications as our product candidates, and patients who would otherwise be eligible for our clinical trials could instead enroll in clinical trials of our competitors’ programs. Patient enrollment for our current or any future clinical trials may be affected by other factors, including:</w:t>
      </w:r>
    </w:p>
    <w:p>
      <w:pPr>
        <w:spacing w:after="0" w:line="14" w:lineRule="exact"/>
        <w:rPr>
          <w:sz w:val="20"/>
          <w:szCs w:val="20"/>
          <w:color w:val="auto"/>
        </w:rPr>
      </w:pPr>
    </w:p>
    <w:p>
      <w:pPr>
        <w:ind w:left="880" w:hanging="373"/>
        <w:spacing w:after="0"/>
        <w:tabs>
          <w:tab w:leader="none" w:pos="88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231F20"/>
        </w:rPr>
        <w:t>size and nature of the patient population;</w:t>
      </w:r>
    </w:p>
    <w:p>
      <w:pPr>
        <w:spacing w:after="0" w:line="107" w:lineRule="exact"/>
        <w:rPr>
          <w:rFonts w:ascii="Arial" w:cs="Arial" w:eastAsia="Arial" w:hAnsi="Arial"/>
          <w:sz w:val="25"/>
          <w:szCs w:val="25"/>
          <w:color w:val="auto"/>
          <w:vertAlign w:val="superscript"/>
        </w:rPr>
      </w:pPr>
    </w:p>
    <w:p>
      <w:pPr>
        <w:ind w:left="880" w:right="280" w:hanging="373"/>
        <w:spacing w:after="0" w:line="262" w:lineRule="auto"/>
        <w:tabs>
          <w:tab w:leader="none" w:pos="88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231F20"/>
        </w:rPr>
        <w:t>challenges associated with recruiting pediatric patient population, including, but not limited to, identifying clinical sites that are qualified to participate in pediatric clinical trials, smaller number of eligible pediatric patients who are interested in participating within the target age groups, or under- diagnosis or challenges associated with diagnosing pediatric populations with the applicable target disease or condition;</w:t>
      </w:r>
    </w:p>
    <w:p>
      <w:pPr>
        <w:spacing w:after="0" w:line="21" w:lineRule="exact"/>
        <w:rPr>
          <w:rFonts w:ascii="Arial" w:cs="Arial" w:eastAsia="Arial" w:hAnsi="Arial"/>
          <w:sz w:val="22"/>
          <w:szCs w:val="22"/>
          <w:color w:val="auto"/>
          <w:vertAlign w:val="superscript"/>
        </w:rPr>
      </w:pPr>
    </w:p>
    <w:p>
      <w:pPr>
        <w:ind w:left="880" w:hanging="373"/>
        <w:spacing w:after="0"/>
        <w:tabs>
          <w:tab w:leader="none" w:pos="88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231F20"/>
        </w:rPr>
        <w:t>perceived risks and benefits of novel, unproven approaches;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231F20"/>
        </w:rPr>
        <w:t>severity of the disease under investigation;</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231F20"/>
        </w:rPr>
        <w:t>availability and efficacy of approved drugs for the disease under investigation;</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9"/>
        </w:numPr>
        <w:rPr>
          <w:rFonts w:ascii="Arial" w:cs="Arial" w:eastAsia="Arial" w:hAnsi="Arial"/>
          <w:sz w:val="25"/>
          <w:szCs w:val="25"/>
          <w:color w:val="231F20"/>
          <w:vertAlign w:val="superscript"/>
        </w:rPr>
      </w:pPr>
      <w:r>
        <w:rPr>
          <w:rFonts w:ascii="Arial" w:cs="Arial" w:eastAsia="Arial" w:hAnsi="Arial"/>
          <w:sz w:val="18"/>
          <w:szCs w:val="18"/>
          <w:color w:val="231F20"/>
        </w:rPr>
        <w:t>patient eligibility criteria for the trial in question as defined in the protocol;</w:t>
      </w:r>
    </w:p>
    <w:p>
      <w:pPr>
        <w:spacing w:after="0" w:line="99" w:lineRule="exact"/>
        <w:rPr>
          <w:rFonts w:ascii="Arial" w:cs="Arial" w:eastAsia="Arial" w:hAnsi="Arial"/>
          <w:sz w:val="25"/>
          <w:szCs w:val="25"/>
          <w:color w:val="231F20"/>
          <w:vertAlign w:val="superscript"/>
        </w:rPr>
      </w:pPr>
    </w:p>
    <w:p>
      <w:pPr>
        <w:ind w:left="880" w:hanging="373"/>
        <w:spacing w:after="0" w:line="199" w:lineRule="auto"/>
        <w:tabs>
          <w:tab w:leader="none" w:pos="88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231F20"/>
        </w:rPr>
        <w:t>perceived risks and benefits of the product candidate under study;</w:t>
      </w:r>
    </w:p>
    <w:p>
      <w:pPr>
        <w:spacing w:after="0" w:line="107" w:lineRule="exact"/>
        <w:rPr>
          <w:rFonts w:ascii="Arial" w:cs="Arial" w:eastAsia="Arial" w:hAnsi="Arial"/>
          <w:sz w:val="25"/>
          <w:szCs w:val="25"/>
          <w:color w:val="auto"/>
          <w:vertAlign w:val="superscript"/>
        </w:rPr>
      </w:pPr>
    </w:p>
    <w:p>
      <w:pPr>
        <w:jc w:val="both"/>
        <w:ind w:left="880" w:right="700" w:hanging="373"/>
        <w:spacing w:after="0" w:line="226" w:lineRule="auto"/>
        <w:tabs>
          <w:tab w:leader="none" w:pos="88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231F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38"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231F20"/>
        </w:rPr>
        <w:t>patient referral practices of physicians;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231F20"/>
        </w:rPr>
        <w:t>the ability to monitor patients adequately during and after treatment;</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231F20"/>
        </w:rPr>
        <w:t>the activities of key opinion leaders (“KOLs”) and patient advocacy groups;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231F20"/>
        </w:rPr>
        <w:t>proximity and availability of clinical trial sites for prospective patients; and</w:t>
      </w:r>
    </w:p>
    <w:p>
      <w:pPr>
        <w:spacing w:after="0" w:line="107" w:lineRule="exact"/>
        <w:rPr>
          <w:rFonts w:ascii="Arial" w:cs="Arial" w:eastAsia="Arial" w:hAnsi="Arial"/>
          <w:sz w:val="25"/>
          <w:szCs w:val="25"/>
          <w:color w:val="auto"/>
          <w:vertAlign w:val="superscript"/>
        </w:rPr>
      </w:pPr>
    </w:p>
    <w:p>
      <w:pPr>
        <w:ind w:left="880" w:right="60" w:hanging="373"/>
        <w:spacing w:after="0" w:line="216" w:lineRule="auto"/>
        <w:tabs>
          <w:tab w:leader="none" w:pos="88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231F20"/>
        </w:rPr>
        <w:t>the risk that patients enrolled in clinical trials will drop out of the trials before completion or, because they may have an advanced disease, will not survive the full terms of the clinical trials.</w:t>
      </w:r>
    </w:p>
    <w:p>
      <w:pPr>
        <w:spacing w:after="0" w:line="230"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231F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43" w:name="page44"/>
    <w:bookmarkEnd w:id="43"/>
    <w:p>
      <w:pPr>
        <w:ind w:right="360"/>
        <w:spacing w:after="0" w:line="277" w:lineRule="auto"/>
        <w:rPr>
          <w:sz w:val="20"/>
          <w:szCs w:val="20"/>
          <w:color w:val="auto"/>
        </w:rPr>
      </w:pPr>
      <w:r>
        <w:rPr>
          <w:rFonts w:ascii="Arial" w:cs="Arial" w:eastAsia="Arial" w:hAnsi="Arial"/>
          <w:sz w:val="18"/>
          <w:szCs w:val="18"/>
          <w:color w:val="231F20"/>
        </w:rPr>
        <w:t>even if we are able to enroll a sufficient number of patients for our clinical trials, we may have difficulty maintaining participation in our clinical trials through the treatment and any follow-up periods.</w:t>
      </w:r>
    </w:p>
    <w:p>
      <w:pPr>
        <w:spacing w:after="0" w:line="35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92"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231F20"/>
        </w:rPr>
        <w:t>Due to the significant resources required for the development of product candidates, in particular our product candidates in IND-enabling studies and those that begin clinical trials, we must decide which programs, product candidates and indications to pursue and advance and the amount of resources to allocate to each. Our decisions concerning the allocation of research, development, collaboration, management and financial resources toward particular programs, product candidates or therapeutic areas may not lead to the development of any viable commercial product and may divert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determinations regarding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spacing w:after="0" w:line="36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231F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52"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231F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spacing w:after="0" w:line="21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31F20"/>
        </w:rPr>
        <w:t>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other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215"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231F20"/>
        </w:rPr>
        <w:t>We expect to face competition from existing products and products in development for each of our programs. We anticipate substantial direct competition from a variety of competitors, including:</w:t>
      </w:r>
    </w:p>
    <w:p>
      <w:pPr>
        <w:spacing w:after="0" w:line="76" w:lineRule="exact"/>
        <w:rPr>
          <w:sz w:val="20"/>
          <w:szCs w:val="20"/>
          <w:color w:val="auto"/>
        </w:rPr>
      </w:pPr>
    </w:p>
    <w:p>
      <w:pPr>
        <w:ind w:left="880" w:right="20" w:hanging="373"/>
        <w:spacing w:after="0" w:line="226" w:lineRule="auto"/>
        <w:tabs>
          <w:tab w:leader="none" w:pos="88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231F20"/>
        </w:rPr>
        <w:t>General cardiovascular drug development: Companies known to have approved product and active drug development efforts for cardiovascular disease include but are not limited to AstraZeneca, Bayer, Bristol Myers Squibb, Cytokinetics, Eli Lilly, Johnson &amp; Johnson/Janssen, Maze Therapeutics, Merck, Novartis, and Novo Nordisk;</w:t>
      </w:r>
    </w:p>
    <w:p>
      <w:pPr>
        <w:spacing w:after="0" w:line="95" w:lineRule="exact"/>
        <w:rPr>
          <w:rFonts w:ascii="Arial" w:cs="Arial" w:eastAsia="Arial" w:hAnsi="Arial"/>
          <w:sz w:val="25"/>
          <w:szCs w:val="25"/>
          <w:color w:val="auto"/>
          <w:vertAlign w:val="superscript"/>
        </w:rPr>
      </w:pPr>
    </w:p>
    <w:p>
      <w:pPr>
        <w:ind w:left="880" w:right="220" w:hanging="373"/>
        <w:spacing w:after="0" w:line="226" w:lineRule="auto"/>
        <w:tabs>
          <w:tab w:leader="none" w:pos="88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231F20"/>
        </w:rPr>
        <w:t>Gene Therapy platform: Companies known to be pursuing gene therapy approaches for the heart include but are not limited to 4D Molecular Therapeutics, Bayer, Bristol Myers Squibb, BioMarin Pharmaceutical, DiNAQOR, Nuevocor, Precigen, Renova Therapeutics, Renovacor, Rocket Pharmaceuticals, Sardicor, Stride Bio, and uniQure;</w:t>
      </w:r>
    </w:p>
    <w:p>
      <w:pPr>
        <w:spacing w:after="0" w:line="95" w:lineRule="exact"/>
        <w:rPr>
          <w:rFonts w:ascii="Arial" w:cs="Arial" w:eastAsia="Arial" w:hAnsi="Arial"/>
          <w:sz w:val="25"/>
          <w:szCs w:val="25"/>
          <w:color w:val="auto"/>
          <w:vertAlign w:val="superscript"/>
        </w:rPr>
      </w:pPr>
    </w:p>
    <w:p>
      <w:pPr>
        <w:ind w:left="880" w:right="140" w:hanging="373"/>
        <w:spacing w:after="0" w:line="226" w:lineRule="auto"/>
        <w:tabs>
          <w:tab w:leader="none" w:pos="88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231F20"/>
        </w:rPr>
        <w:t>Cellular Regeneration platform: Companies known to be pursuing approaches to cellular regeneration for the heart include but are not limited to AstraZeneca, Bayer, BioCardia, Cardior Pharmaceuticals, Jaan Biotherapeutics, Khloris Biosciences, Mesoblast, Mogrify, Sana Biotechnologies and Xylocor Therapeutics; and</w:t>
      </w:r>
    </w:p>
    <w:p>
      <w:pPr>
        <w:spacing w:after="0" w:line="95" w:lineRule="exact"/>
        <w:rPr>
          <w:rFonts w:ascii="Arial" w:cs="Arial" w:eastAsia="Arial" w:hAnsi="Arial"/>
          <w:sz w:val="25"/>
          <w:szCs w:val="25"/>
          <w:color w:val="auto"/>
          <w:vertAlign w:val="superscript"/>
        </w:rPr>
      </w:pPr>
    </w:p>
    <w:p>
      <w:pPr>
        <w:ind w:left="880" w:right="440" w:hanging="373"/>
        <w:spacing w:after="0" w:line="216" w:lineRule="auto"/>
        <w:tabs>
          <w:tab w:leader="none" w:pos="88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231F20"/>
        </w:rPr>
        <w:t>Precision Medicine platform: Companies known to be pursuing approaches to drug discovery for the heart using disease models based on iPSC-CMs include but are not limited to DiNAQOR and Tara Biosystems.</w:t>
      </w:r>
    </w:p>
    <w:p>
      <w:pPr>
        <w:spacing w:after="0" w:line="230"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231F20"/>
        </w:rPr>
        <w:t>Many of these current and potential competitors have significantly greater financial, manufacturing, marketing, drug development, technical and human resources and commercial expertise than we do. Large pharmaceutical and biotechnology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4" w:name="page45"/>
    <w:bookmarkEnd w:id="44"/>
    <w:p>
      <w:pPr>
        <w:ind w:right="20"/>
        <w:spacing w:after="0" w:line="290" w:lineRule="auto"/>
        <w:rPr>
          <w:sz w:val="20"/>
          <w:szCs w:val="20"/>
          <w:color w:val="auto"/>
        </w:rPr>
      </w:pPr>
      <w:r>
        <w:rPr>
          <w:rFonts w:ascii="Arial" w:cs="Arial" w:eastAsia="Arial" w:hAnsi="Arial"/>
          <w:sz w:val="16"/>
          <w:szCs w:val="16"/>
          <w:color w:val="231F20"/>
        </w:rPr>
        <w:t>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19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231F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3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231F20"/>
        </w:rPr>
        <w:t>Interim, topline and preliminary data from our clinical trials that we announce or publish may change as more patient data become available and are subject to audit and verification procedures that could result in material changes in the final data.</w:t>
      </w:r>
    </w:p>
    <w:p>
      <w:pPr>
        <w:spacing w:after="0" w:line="76"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231F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is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209"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231F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may not be successful in our efforts to utilize our proprietary drug discovery platforms to develop a pipeline of product candidates.</w:t>
      </w:r>
    </w:p>
    <w:p>
      <w:pPr>
        <w:spacing w:after="0" w:line="14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231F20"/>
        </w:rPr>
        <w:t>A key element of our strategy is to leverage our proprietary drug discovery platforms to develop a pipeline of product candidates to treat heart disease. In order to do so, we must continue to invest in our proprietary drug discovery platforms and development capabilities, including our internal disease modeling and capsid engineering efforts, our in-house cassette engineering capabilities to create novel promoters and regulatory elements to support our programs, and targeted drug delivery approaches for efficient uptake of gene therapies for the heart. Although our research and development efforts to date have resulted in a pipeline of product candidates, these product candidates may not be safe and effective. Our capsid engineering, promoter and regulatory elements may not be successful. In addition, although we expect that our proprietary drug discovery platforms and development capabilities will allow us to develop a diverse pipeline of product candidates, we may not prove to be successful at doing so. Furthermore, we may</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231F20"/>
        </w:rPr>
        <w:t>also find that the uses of our proprietary drug discovery platforms are limited because alternative uses of our therapeutics prove not to be safe or effective.</w:t>
      </w:r>
    </w:p>
    <w:p>
      <w:pPr>
        <w:spacing w:after="0" w:line="275"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231F20"/>
        </w:rPr>
        <w:t>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Further, because our product candidates and programs are based on our proprietary drug discovery platforms, adverse developments with respect to one of our programs may have a significant adverse impact on the actual or perceived likelihood of success and value of our other programs.</w:t>
      </w:r>
    </w:p>
    <w:p>
      <w:pPr>
        <w:spacing w:after="0" w:line="215"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231F20"/>
        </w:rPr>
        <w:t>In addition, the biotechnology and pharmaceutical industries are characterized by rapidly advancing technologies. Our future success will depend in part on our ability to maintain a competitive position with our approach. If we fail to stay at the forefront of technological change in utilizing our proprietary drug discovery platforms to create and develop programs and product candidates, we may be unable to compete effectively. Our competitors may render our approach obsolete or limit the commercial value of our product candidates, by advances in existing technological approaches or the development of new or different approaches, potentially eliminating the advantages in our drug discovery process that we believe we derive from our research approach and proprietary technologies. By contrast, adverse developments with respect to other companies that attempt to use a similar approach to our approach may adversely impact the actual or perceived value of our proprietary drug discovery platforms and potential of our programs and product candidates. If any of these events occur, we may be forced to abandon our development efforts for a program or programs, which would have a material adverse effect on our business and could potentially cause us to cease operations.</w:t>
      </w:r>
    </w:p>
    <w:p>
      <w:pPr>
        <w:spacing w:after="0" w:line="370"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b w:val="1"/>
          <w:bCs w:val="1"/>
          <w:i w:val="1"/>
          <w:iCs w:val="1"/>
          <w:color w:val="231F20"/>
        </w:rPr>
        <w:t>The manufacture of drugs is complex, and we or our third-party manufacturers may encounter difficulties in production. If we or any of our third-party manufacturers encounter such difficulties, our ability to provide adequate supply of our product candidates for preclinical studies or clinical trials or our products for patients, if approved, could be delayed or prevented.</w:t>
      </w:r>
    </w:p>
    <w:p>
      <w:pPr>
        <w:spacing w:after="0" w:line="89"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231F20"/>
        </w:rPr>
        <w:t>Manufacturing drugs, especially in large quantities, is complex and may require the use of innovative technologies. Each lot of an approved drug product must undergo thorough testing for safety identity, strength, quality, purity and potency. Manufacturing drugs requires key materials and facilities specifically designed for and validated for this purpose, as well as sophisticated QA and QC procedures. Slight deviations anywhere in the manufacturing process, including manufacturing drug substance, drug product filling, labeling, packaging, storage and shipping and quality control and testing, may result in lot failures or product recalls. When changes are made to the manufacturing process, we may be required to provide preclinical and clinical data showing the comparable quality and efficacy of the products before and after such changes. If we or our third-party manufacturers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385" w:lineRule="exact"/>
        <w:rPr>
          <w:sz w:val="20"/>
          <w:szCs w:val="20"/>
          <w:color w:val="auto"/>
        </w:rPr>
      </w:pPr>
    </w:p>
    <w:p>
      <w:pPr>
        <w:ind w:right="420"/>
        <w:spacing w:after="0" w:line="381" w:lineRule="auto"/>
        <w:rPr>
          <w:sz w:val="20"/>
          <w:szCs w:val="20"/>
          <w:color w:val="auto"/>
        </w:rPr>
      </w:pPr>
      <w:r>
        <w:rPr>
          <w:rFonts w:ascii="Arial" w:cs="Arial" w:eastAsia="Arial" w:hAnsi="Arial"/>
          <w:sz w:val="15"/>
          <w:szCs w:val="15"/>
          <w:b w:val="1"/>
          <w:bCs w:val="1"/>
          <w:i w:val="1"/>
          <w:iCs w:val="1"/>
          <w:color w:val="231F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spacing w:after="0" w:line="6"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231F20"/>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which could delay or prevent the initiation of clinical trials or receipt of regulatory approvals. We may encounter problems achieving adequate quantities and quality of clinical-grade materials that meet FDA, or other comparable applicable foreign regulatory authorities’ standards or specifications with consistent and acceptable production yields and costs.</w:t>
      </w:r>
    </w:p>
    <w:p>
      <w:pPr>
        <w:spacing w:after="0" w:line="208"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231F20"/>
        </w:rPr>
        <w:t>In addition, the FDA and other comparable foreign regulatory authorities may require us to submit samples of any lot of any approved product together with the protocols showing the results of applicable tests at any time. Under some circumstances, the FDA or other comparable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seriously harm our business.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6" w:name="page47"/>
    <w:bookmarkEnd w:id="46"/>
    <w:p>
      <w:pPr>
        <w:ind w:right="80" w:firstLine="510"/>
        <w:spacing w:after="0" w:line="342" w:lineRule="auto"/>
        <w:rPr>
          <w:sz w:val="20"/>
          <w:szCs w:val="20"/>
          <w:color w:val="auto"/>
        </w:rPr>
      </w:pPr>
      <w:r>
        <w:rPr>
          <w:rFonts w:ascii="Arial" w:cs="Arial" w:eastAsia="Arial" w:hAnsi="Arial"/>
          <w:sz w:val="16"/>
          <w:szCs w:val="16"/>
          <w:color w:val="231F20"/>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151"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231F20"/>
        </w:rPr>
        <w:t>Any problems in our manufacturing process or facilities or the facilities with which we contract could make us a less attractive collaborator for potential partners, including larger pharmaceutical companies, which could limit our access to additional attractive development programs. Problems in manufacturing process or facilities also could restrict our ability to meet market demand for our products, if approved. Additionally, should our agreement or agreements with other parties with whom we have manufacturing agreements be terminated for any reason, there are a limited number of manufacturers who would be suitable replacements, and it would take a significant amount of time to transition the manufacturing to a replacement.</w:t>
      </w:r>
    </w:p>
    <w:p>
      <w:pPr>
        <w:spacing w:after="0" w:line="35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231F20"/>
        </w:rPr>
        <w:t>We are in the process of building out a manufacturing facility to support future production of certain of our product candidates. We have no experience in manufacturing, and there can be no assurance that we will be able to complete our manufacturing facility or, if completed, we will be able to successfully manufacture product candidates.</w:t>
      </w:r>
    </w:p>
    <w:p>
      <w:pPr>
        <w:spacing w:after="0" w:line="89"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231F20"/>
        </w:rPr>
        <w:t>We have historically relied on third parties to manufacture supplies of our product candidates. We plan to fully integrate and internalize AAV manufacturing capabilities to support our Gene Therapy and Cellular Regeneration platforms. We have established an in-house Pilot Plant Operation facility that operates at the 200L scale to support all non-clinical studies including IND-enabling pharmacology (efficacy) and toxicology (safety) studies. We have initiated construction of a dedicated cGMP facility for drug product manufacturing in the San Francisco Bay Area that we expect will be operational in the first half of 2022. The facility will initially produce drug product at the 1000L scale to support FIH studies for TN-201, the most advanced product candidate from our MYBPC3 program. To optimize our use of resources and utilize extensive third-party experience in small molecule manufacturing, we intend to work with CDMOs for our small molecule programs. We initiated cGMP manufacturing activities for our HDAC6 inhibitor program, TYA-11631, in October 2021.</w:t>
      </w:r>
    </w:p>
    <w:p>
      <w:pPr>
        <w:spacing w:after="0" w:line="219" w:lineRule="exact"/>
        <w:rPr>
          <w:sz w:val="20"/>
          <w:szCs w:val="20"/>
          <w:color w:val="auto"/>
        </w:rPr>
      </w:pPr>
    </w:p>
    <w:p>
      <w:pPr>
        <w:ind w:firstLine="510"/>
        <w:spacing w:after="0" w:line="307" w:lineRule="auto"/>
        <w:rPr>
          <w:sz w:val="20"/>
          <w:szCs w:val="20"/>
          <w:color w:val="auto"/>
        </w:rPr>
      </w:pPr>
      <w:r>
        <w:rPr>
          <w:rFonts w:ascii="Arial" w:cs="Arial" w:eastAsia="Arial" w:hAnsi="Arial"/>
          <w:sz w:val="15"/>
          <w:szCs w:val="15"/>
          <w:color w:val="231F20"/>
        </w:rPr>
        <w:t>Although some of our employees have experience in the manufacturing of biopharmaceutical products from prior employment at other companies, we as a company have no prior experience in manufacturing. We may face delays or increased costs in the build out of our manufacturing facility or the production of clinical supply at our manufacturing facility, once operational, and cannot guarantee when our facility will be able to produce sufficient quantities of product candidates needed to support our preclinical studies and planned clinical trials. In addition, government approvals will be required for us to operate our manufacturing facility and can be time-consuming to obtain, and there can be no assurance that such approval will be obtained. As a manufacturer of pharmaceutical products, we also will be required to demonstrate and maintain compliance with cGMP requirements related to production processes, quality control and assurance and recordkeeping. Furthermore, establishing and maintaining manufacturing operations may require a reallocation of other resources and management time, as well as potentially significant capital expenditures, particularly in areas relating to operations, quality, regulatory, facilities and information technology. We also may encounter problems hiring and retaining the experienced scientific, quality control and manufacturing personnel needed to operate our manufacturing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spacing w:after="0" w:line="187"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231F20"/>
        </w:rPr>
        <w:t>Any delays in developing our internal manufacturing capabilities may disrupt or delay the supply of our product candidates if we have not maintained a sufficient back-up supply of such product candidates through third-party manufacturers. Moreover, changing manufacturing facilities during the clinical development process may also require that we conduct additional studies, make notifications to regulatory authorities, make additional filings to regulatory authorities, and obtain regulatory authority approval for the new facilities, which may be delayed or which we may never receive.</w:t>
      </w:r>
    </w:p>
    <w:p>
      <w:pPr>
        <w:spacing w:after="0" w:line="184"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231F20"/>
        </w:rPr>
        <w:t>Any failure or delay in the development of our manufacturing facility or capabilities may hamper our ability to further process improvement, maintain quality control, limit our reliance on contract manufacturers and protect our trade secrets and other intellectual property, and could adversely impact the development or commercialization of our product candidates.</w:t>
      </w:r>
    </w:p>
    <w:p>
      <w:pPr>
        <w:spacing w:after="0" w:line="33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231F20"/>
        </w:rPr>
        <w:t>Our manufacturing facilities will be subject to significant government regulations and approvals, which are often costly and could result in adverse consequences to our business if we fail to comply with the regulations or maintain the approvals.</w:t>
      </w:r>
    </w:p>
    <w:p>
      <w:pPr>
        <w:spacing w:after="0" w:line="62" w:lineRule="exact"/>
        <w:rPr>
          <w:sz w:val="20"/>
          <w:szCs w:val="20"/>
          <w:color w:val="auto"/>
        </w:rPr>
      </w:pPr>
    </w:p>
    <w:p>
      <w:pPr>
        <w:jc w:val="both"/>
        <w:ind w:right="120" w:firstLine="510"/>
        <w:spacing w:after="0" w:line="257" w:lineRule="auto"/>
        <w:rPr>
          <w:sz w:val="20"/>
          <w:szCs w:val="20"/>
          <w:color w:val="auto"/>
        </w:rPr>
      </w:pPr>
      <w:r>
        <w:rPr>
          <w:rFonts w:ascii="Arial" w:cs="Arial" w:eastAsia="Arial" w:hAnsi="Arial"/>
          <w:sz w:val="18"/>
          <w:szCs w:val="18"/>
          <w:color w:val="231F20"/>
        </w:rPr>
        <w:t>We will need to comply with the FDA’s and applicable foreign regulatory authorities’ cGMP requirements for the production of product candidates for clinical trials and, if approved, commercial supply. We may encounter difficulties in achieving QC and QA and may experience shortages in qualified personnel. We will be subject to inspections by the FDA and comparable agencies in other jurisdictions to confirm compliance with applicable regulatory requirements. These requirements include the qualification and validation of our manufacturing equipment and processes. Any failure to follow cGMP or other regulatory requirements or delay,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7" w:name="page48"/>
    <w:bookmarkEnd w:id="47"/>
    <w:p>
      <w:pPr>
        <w:ind w:right="20"/>
        <w:spacing w:after="0" w:line="290" w:lineRule="auto"/>
        <w:rPr>
          <w:sz w:val="20"/>
          <w:szCs w:val="20"/>
          <w:color w:val="auto"/>
        </w:rPr>
      </w:pPr>
      <w:r>
        <w:rPr>
          <w:rFonts w:ascii="Arial" w:cs="Arial" w:eastAsia="Arial" w:hAnsi="Arial"/>
          <w:sz w:val="16"/>
          <w:szCs w:val="16"/>
          <w:color w:val="231F20"/>
        </w:rPr>
        <w:t>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31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231F20"/>
        </w:rPr>
        <w:t>We may not be able to successfully manufacture our product candidates in sufficient quality and quantity, which would delay or prevent us from developing our product candidates and commercializing resulting approved products, if any.</w:t>
      </w:r>
    </w:p>
    <w:p>
      <w:pPr>
        <w:spacing w:after="0" w:line="7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231F20"/>
        </w:rPr>
        <w:t>To date, our product candidates have been manufactured in quantities adequate for preclinical studies. In order to conduct clinical trials for a product candidate and for commercialization of the resulting product if that product candidate is approved for sale, we will need to manufacture product candidates in larger quantities.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 If we are unable to successfully manufacture of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Changes in methods of product candidate manufacturing or formulation may result in additional costs or delay.</w:t>
      </w:r>
    </w:p>
    <w:p>
      <w:pPr>
        <w:spacing w:after="0" w:line="131"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231F20"/>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Even if approved, we may not successfully commercialize our product candidates.</w:t>
      </w:r>
    </w:p>
    <w:p>
      <w:pPr>
        <w:spacing w:after="0" w:line="131"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231F20"/>
        </w:rPr>
        <w:t>Our product candidates are subject to the risks of failure inherent in the development of pharmaceutical products based on new technologies, and our failure to develop safe, commercially viable products would severely limit our ability to become profitable or to achieve significant revenues. Even if one or more of our product candidates is approved, we may be unable to successfully commercialize our product candidates for several reasons, including:</w:t>
      </w:r>
    </w:p>
    <w:p>
      <w:pPr>
        <w:spacing w:after="0" w:line="54" w:lineRule="exact"/>
        <w:rPr>
          <w:sz w:val="20"/>
          <w:szCs w:val="20"/>
          <w:color w:val="auto"/>
        </w:rPr>
      </w:pPr>
    </w:p>
    <w:p>
      <w:pPr>
        <w:ind w:left="880" w:right="440" w:hanging="373"/>
        <w:spacing w:after="0" w:line="226" w:lineRule="auto"/>
        <w:tabs>
          <w:tab w:leader="none" w:pos="88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231F20"/>
        </w:rPr>
        <w:t>some or all of our product candidates may be found to be unsafe or ineffective or otherwise fail to meet applicable regulatory standards or receive necessary regulatory clearances; our product candidates, if safe and effective, may nonetheless not be able to be developed into commercially viable products;</w:t>
      </w:r>
    </w:p>
    <w:p>
      <w:pPr>
        <w:spacing w:after="0" w:line="72"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231F20"/>
        </w:rPr>
        <w:t>it may be difficult to manufacture or market our product candidates on a scale that is necessary to ultimately deliver our products to end-users;</w:t>
      </w:r>
    </w:p>
    <w:p>
      <w:pPr>
        <w:spacing w:after="0" w:line="98" w:lineRule="exact"/>
        <w:rPr>
          <w:rFonts w:ascii="Arial" w:cs="Arial" w:eastAsia="Arial" w:hAnsi="Arial"/>
          <w:sz w:val="22"/>
          <w:szCs w:val="22"/>
          <w:color w:val="auto"/>
          <w:vertAlign w:val="superscript"/>
        </w:rPr>
      </w:pPr>
    </w:p>
    <w:p>
      <w:pPr>
        <w:ind w:left="880" w:hanging="373"/>
        <w:spacing w:after="0" w:line="199" w:lineRule="auto"/>
        <w:tabs>
          <w:tab w:leader="none" w:pos="88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231F20"/>
        </w:rPr>
        <w:t>intellectual property and proprietary rights of third parties may preclude us from marketing our product candidates;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231F20"/>
        </w:rPr>
        <w:t>the nature of our indications as rare diseases means that the potential market size may be limited; and</w:t>
      </w:r>
    </w:p>
    <w:p>
      <w:pPr>
        <w:spacing w:after="0" w:line="107" w:lineRule="exact"/>
        <w:rPr>
          <w:rFonts w:ascii="Arial" w:cs="Arial" w:eastAsia="Arial" w:hAnsi="Arial"/>
          <w:sz w:val="25"/>
          <w:szCs w:val="25"/>
          <w:color w:val="auto"/>
          <w:vertAlign w:val="superscript"/>
        </w:rPr>
      </w:pPr>
    </w:p>
    <w:p>
      <w:pPr>
        <w:ind w:left="880" w:right="640" w:hanging="373"/>
        <w:spacing w:after="0" w:line="216" w:lineRule="auto"/>
        <w:tabs>
          <w:tab w:leader="none" w:pos="88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231F20"/>
        </w:rPr>
        <w:t>third parties may market superior or equivalent drugs which could adversely affect the commercial viability and success of our product candidates.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right="660"/>
        <w:spacing w:after="0" w:line="277" w:lineRule="auto"/>
        <w:rPr>
          <w:sz w:val="20"/>
          <w:szCs w:val="20"/>
          <w:color w:val="auto"/>
        </w:rPr>
      </w:pPr>
      <w:r>
        <w:rPr>
          <w:rFonts w:ascii="Arial" w:cs="Arial" w:eastAsia="Arial" w:hAnsi="Arial"/>
          <w:sz w:val="18"/>
          <w:szCs w:val="18"/>
          <w:b w:val="1"/>
          <w:bCs w:val="1"/>
          <w:i w:val="1"/>
          <w:iCs w:val="1"/>
          <w:color w:val="231F20"/>
        </w:rPr>
        <w:t>Our product candidates may not achieve adequate market acceptance among physicians, patients, healthcare payors and others in the medical community necessary for commercial success.</w:t>
      </w:r>
    </w:p>
    <w:p>
      <w:pPr>
        <w:spacing w:after="0" w:line="76" w:lineRule="exact"/>
        <w:rPr>
          <w:sz w:val="20"/>
          <w:szCs w:val="20"/>
          <w:color w:val="auto"/>
        </w:rPr>
      </w:pPr>
    </w:p>
    <w:p>
      <w:pPr>
        <w:jc w:val="both"/>
        <w:ind w:right="140" w:firstLine="510"/>
        <w:spacing w:after="0" w:line="259" w:lineRule="auto"/>
        <w:rPr>
          <w:sz w:val="20"/>
          <w:szCs w:val="20"/>
          <w:color w:val="auto"/>
        </w:rPr>
      </w:pPr>
      <w:r>
        <w:rPr>
          <w:rFonts w:ascii="Arial" w:cs="Arial" w:eastAsia="Arial" w:hAnsi="Arial"/>
          <w:sz w:val="18"/>
          <w:szCs w:val="18"/>
          <w:color w:val="231F20"/>
        </w:rPr>
        <w:t>Even if our product candidates receive regulatory approval, they may not gain adequate market acceptance among physicians, patients, third-party payors and others in the medical community. If we are unable to demonstrate sufficient safety to permit a broader use of our product candidates, we may not generate significant product revenue and we may not become profitable. The degree of market acceptance of any of our approved product candidates will depend on a number of factors, including:</w:t>
      </w:r>
    </w:p>
    <w:p>
      <w:pPr>
        <w:spacing w:after="0" w:line="21" w:lineRule="exact"/>
        <w:rPr>
          <w:sz w:val="20"/>
          <w:szCs w:val="20"/>
          <w:color w:val="auto"/>
        </w:rPr>
      </w:pPr>
    </w:p>
    <w:p>
      <w:pPr>
        <w:ind w:left="880" w:hanging="373"/>
        <w:spacing w:after="0"/>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the efficacy and safety profile as demonstrated in clinical trials compared to alternative treatments;</w:t>
      </w:r>
    </w:p>
    <w:p>
      <w:pPr>
        <w:spacing w:after="0" w:line="107" w:lineRule="exact"/>
        <w:rPr>
          <w:rFonts w:ascii="Arial" w:cs="Arial" w:eastAsia="Arial" w:hAnsi="Arial"/>
          <w:sz w:val="25"/>
          <w:szCs w:val="25"/>
          <w:color w:val="auto"/>
          <w:vertAlign w:val="superscript"/>
        </w:rPr>
      </w:pPr>
    </w:p>
    <w:p>
      <w:pPr>
        <w:ind w:left="880" w:right="220" w:hanging="373"/>
        <w:spacing w:after="0" w:line="216"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the size of the relevant pediatric patient population if approved for a pediatric indication, including challenges associated with diagnosing or identifying pediatric populations with the applicable target disease or condition;</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perceive safety and efficacy profile and ease of use for pediatric patient population if approved for a pediatric indication;</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the timing of market introduction of the product candidate as well as competitive products;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the clinical indications for which a product candidate is approved;</w:t>
      </w:r>
    </w:p>
    <w:p>
      <w:pPr>
        <w:spacing w:after="0" w:line="107" w:lineRule="exact"/>
        <w:rPr>
          <w:rFonts w:ascii="Arial" w:cs="Arial" w:eastAsia="Arial" w:hAnsi="Arial"/>
          <w:sz w:val="25"/>
          <w:szCs w:val="25"/>
          <w:color w:val="auto"/>
          <w:vertAlign w:val="superscript"/>
        </w:rPr>
      </w:pPr>
    </w:p>
    <w:p>
      <w:pPr>
        <w:ind w:left="880" w:right="80" w:hanging="373"/>
        <w:spacing w:after="0" w:line="252" w:lineRule="auto"/>
        <w:tabs>
          <w:tab w:leader="none" w:pos="88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231F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24" w:lineRule="exact"/>
        <w:rPr>
          <w:rFonts w:ascii="Arial" w:cs="Arial" w:eastAsia="Arial" w:hAnsi="Arial"/>
          <w:sz w:val="22"/>
          <w:szCs w:val="22"/>
          <w:color w:val="auto"/>
          <w:vertAlign w:val="superscript"/>
        </w:rPr>
      </w:pPr>
    </w:p>
    <w:p>
      <w:pPr>
        <w:ind w:left="880" w:hanging="373"/>
        <w:spacing w:after="0"/>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physicians, hospitals, treatment centers and patients considering our product candidates as a safe, pure and effective treatment;</w:t>
      </w:r>
    </w:p>
    <w:p>
      <w:pPr>
        <w:spacing w:after="0" w:line="107" w:lineRule="exact"/>
        <w:rPr>
          <w:rFonts w:ascii="Arial" w:cs="Arial" w:eastAsia="Arial" w:hAnsi="Arial"/>
          <w:sz w:val="25"/>
          <w:szCs w:val="25"/>
          <w:color w:val="auto"/>
          <w:vertAlign w:val="superscript"/>
        </w:rPr>
      </w:pPr>
    </w:p>
    <w:p>
      <w:pPr>
        <w:ind w:left="880" w:hanging="373"/>
        <w:spacing w:after="0" w:line="216"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the perceived prevalence and severity of any side effects for our product candidates compared to the prevalence and severity of any side effects for conventional products and other gene therapies;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the potential and perceived advantages of our product candidates over alternative treatments;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the cost of treatment in relation to alternative treatments;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relative convenience and ease of administration;</w:t>
      </w:r>
    </w:p>
    <w:p>
      <w:pPr>
        <w:spacing w:after="0" w:line="99" w:lineRule="exact"/>
        <w:rPr>
          <w:rFonts w:ascii="Arial" w:cs="Arial" w:eastAsia="Arial" w:hAnsi="Arial"/>
          <w:sz w:val="25"/>
          <w:szCs w:val="25"/>
          <w:color w:val="auto"/>
          <w:vertAlign w:val="superscript"/>
        </w:rPr>
      </w:pPr>
    </w:p>
    <w:p>
      <w:pPr>
        <w:ind w:left="880" w:hanging="373"/>
        <w:spacing w:after="0" w:line="207" w:lineRule="auto"/>
        <w:tabs>
          <w:tab w:leader="none" w:pos="88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231F20"/>
        </w:rPr>
        <w:t>the willingness of the target patient population or their caregivers to try new therapies and of physicians to prescribe these therapies;</w:t>
      </w:r>
    </w:p>
    <w:p>
      <w:pPr>
        <w:spacing w:after="0" w:line="99" w:lineRule="exact"/>
        <w:rPr>
          <w:rFonts w:ascii="Arial" w:cs="Arial" w:eastAsia="Arial" w:hAnsi="Arial"/>
          <w:sz w:val="24"/>
          <w:szCs w:val="24"/>
          <w:color w:val="auto"/>
          <w:vertAlign w:val="superscript"/>
        </w:rPr>
      </w:pPr>
    </w:p>
    <w:p>
      <w:pPr>
        <w:ind w:left="880" w:hanging="373"/>
        <w:spacing w:after="0" w:line="199"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the availability of coverage and adequate reimbursement by third-party payors, including government authorities;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patients’ willingness to pay for these therapies in the absence of such coverage and adequate reimbursement;</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the effectiveness of sales and marketing efforts;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support from KOLs and patient advocacy groups;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unfavorable publicity relating to our product candidates; and</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the approval of other new therapies for the same indications.</w:t>
      </w:r>
    </w:p>
    <w:p>
      <w:pPr>
        <w:spacing w:after="0" w:line="243" w:lineRule="exact"/>
        <w:rPr>
          <w:sz w:val="20"/>
          <w:szCs w:val="20"/>
          <w:color w:val="auto"/>
        </w:rPr>
      </w:pPr>
    </w:p>
    <w:p>
      <w:pPr>
        <w:ind w:right="280" w:firstLine="510"/>
        <w:spacing w:after="0" w:line="342" w:lineRule="auto"/>
        <w:rPr>
          <w:sz w:val="20"/>
          <w:szCs w:val="20"/>
          <w:color w:val="auto"/>
        </w:rPr>
      </w:pPr>
      <w:r>
        <w:rPr>
          <w:rFonts w:ascii="Arial" w:cs="Arial" w:eastAsia="Arial" w:hAnsi="Arial"/>
          <w:sz w:val="16"/>
          <w:szCs w:val="16"/>
          <w:color w:val="231F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25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231F20"/>
        </w:rPr>
        <w:t>Adverse public perception or regulatory scrutiny of gene therapy technology or precision medicine for the treatment of heart diseases may negatively impact the developmental progress or commercial success of product candidates that we develop.</w:t>
      </w:r>
    </w:p>
    <w:p>
      <w:pPr>
        <w:spacing w:after="0" w:line="76"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231F20"/>
        </w:rPr>
        <w:t>The developmental and commercial success of product candidates that we develop will depend in part on public acceptance of the use of gene therapy technology, including the use of AAVs, and precision medicine for the prevention or treatment of human diseases. Adverse public perception of gene therapies or precision medicine may negatively impact our ability to raise capital or enter into strategic agreements for the development of product candidates.</w:t>
      </w:r>
    </w:p>
    <w:p>
      <w:pPr>
        <w:spacing w:after="0" w:line="214"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231F20"/>
        </w:rPr>
        <w:t>Gene therapy and precision medicine remain novel technologies. The commercial success of our products, if successfully developed and approved, may be adversely affected by claims that gene therapy or precision medicine is unsafe, unethical or immoral. This may lead to unfavorable public perception and the inability of any of our product candidates to gain the acceptance of the public or the medical community. Unfavorable public perceptions may also adversely impact our ability to enroll clinical trials for our product candidates. Moreover, success in commercializing any product candidates that receive regulatory approval will depend upon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49" w:name="page50"/>
    <w:bookmarkEnd w:id="49"/>
    <w:p>
      <w:pPr>
        <w:ind w:right="260"/>
        <w:spacing w:after="0" w:line="277" w:lineRule="auto"/>
        <w:rPr>
          <w:sz w:val="20"/>
          <w:szCs w:val="20"/>
          <w:color w:val="auto"/>
        </w:rPr>
      </w:pPr>
      <w:r>
        <w:rPr>
          <w:rFonts w:ascii="Arial" w:cs="Arial" w:eastAsia="Arial" w:hAnsi="Arial"/>
          <w:sz w:val="18"/>
          <w:szCs w:val="18"/>
          <w:color w:val="231F20"/>
        </w:rPr>
        <w:t>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spacing w:after="0" w:line="19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231F20"/>
        </w:rPr>
        <w:t>Publicity of any adverse events in, or unfavorable results of, preclinical studies or clinical trials for any current or future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or precision medicine, whether related to our technology or our competitor’s technology, could result in increased governmental regulation, delays in the development and commercialization of product candidates or decreased demand for the resulting products, any of which may seriously harm our business.</w:t>
      </w:r>
    </w:p>
    <w:p>
      <w:pPr>
        <w:spacing w:after="0" w:line="34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231F20"/>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spacing w:after="0" w:line="93"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206"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231F20"/>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32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231F20"/>
        </w:rPr>
        <w:t>Any product candidates we develop may become subject to unfavorable third-party coverage and reimbursement practices, as well as pricing regulations.</w:t>
      </w:r>
    </w:p>
    <w:p>
      <w:pPr>
        <w:spacing w:after="0" w:line="76"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231F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spacing w:after="0" w:line="219"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231F20"/>
        </w:rPr>
        <w:t>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222"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231F20"/>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0" w:name="page51"/>
    <w:bookmarkEnd w:id="50"/>
    <w:p>
      <w:pPr>
        <w:jc w:val="both"/>
        <w:ind w:right="20"/>
        <w:spacing w:after="0" w:line="296" w:lineRule="auto"/>
        <w:rPr>
          <w:sz w:val="20"/>
          <w:szCs w:val="20"/>
          <w:color w:val="auto"/>
        </w:rPr>
      </w:pPr>
      <w:r>
        <w:rPr>
          <w:rFonts w:ascii="Arial" w:cs="Arial" w:eastAsia="Arial" w:hAnsi="Arial"/>
          <w:sz w:val="16"/>
          <w:szCs w:val="16"/>
          <w:color w:val="231F20"/>
        </w:rPr>
        <w:t>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88"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231F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219"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231F20"/>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95"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231F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33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231F20"/>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spacing w:after="0" w:line="89"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231F20"/>
        </w:rPr>
        <w:t>Our business exposes us to significant product liability risks inherent in the development, testing, manufacturing and marketing of therapeutic treatments. We currently have no product liability insurance.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192"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231F20"/>
        </w:rPr>
        <w:t>We may be sued if any of our product candidates cause or are perceived to cause injury or are found to be otherwise unsuitable during clinical testing, manufacturing, marketing, or sale post-approval. Any such product liability claims may include allegations of defects in manufacturing, defects in design, a failure to warn of dangers inherent in the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successful defense would require significant financial and management resources.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1" w:name="page52"/>
    <w:bookmarkEnd w:id="51"/>
    <w:p>
      <w:pPr>
        <w:ind w:left="520"/>
        <w:spacing w:after="0"/>
        <w:rPr>
          <w:sz w:val="20"/>
          <w:szCs w:val="20"/>
          <w:color w:val="auto"/>
        </w:rPr>
      </w:pPr>
      <w:r>
        <w:rPr>
          <w:rFonts w:ascii="Arial" w:cs="Arial" w:eastAsia="Arial" w:hAnsi="Arial"/>
          <w:sz w:val="18"/>
          <w:szCs w:val="18"/>
          <w:color w:val="231F20"/>
        </w:rPr>
        <w:t>Regardless of the merits or eventual outcome, liability claims may result in:</w:t>
      </w:r>
    </w:p>
    <w:p>
      <w:pPr>
        <w:spacing w:after="0" w:line="60" w:lineRule="exact"/>
        <w:rPr>
          <w:sz w:val="20"/>
          <w:szCs w:val="20"/>
          <w:color w:val="auto"/>
        </w:rPr>
      </w:pPr>
    </w:p>
    <w:p>
      <w:pPr>
        <w:ind w:left="880" w:hanging="373"/>
        <w:spacing w:after="0"/>
        <w:tabs>
          <w:tab w:leader="none" w:pos="88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231F20"/>
        </w:rPr>
        <w:t>delays in the development of our product candidates;</w:t>
      </w:r>
    </w:p>
    <w:p>
      <w:pPr>
        <w:spacing w:after="0" w:line="107" w:lineRule="exact"/>
        <w:rPr>
          <w:rFonts w:ascii="Arial" w:cs="Arial" w:eastAsia="Arial" w:hAnsi="Arial"/>
          <w:sz w:val="25"/>
          <w:szCs w:val="25"/>
          <w:color w:val="auto"/>
          <w:vertAlign w:val="superscript"/>
        </w:rPr>
      </w:pPr>
    </w:p>
    <w:p>
      <w:pPr>
        <w:ind w:left="880" w:right="620" w:hanging="373"/>
        <w:spacing w:after="0" w:line="216" w:lineRule="auto"/>
        <w:tabs>
          <w:tab w:leader="none" w:pos="88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231F20"/>
        </w:rPr>
        <w:t>FDA, EMA or other regulatory authority investigation of the safety and effectiveness of our products, our manufacturing processes and facilities or our marketing programs;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231F20"/>
        </w:rPr>
        <w:t>decreased or interrupted demand for our products;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231F20"/>
        </w:rPr>
        <w:t>injury to our reputation;</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231F20"/>
        </w:rPr>
        <w:t>withdrawal of clinical trial participants and inability to continue clinical trials;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231F20"/>
        </w:rPr>
        <w:t>initiation of investigations by regulators;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231F20"/>
        </w:rPr>
        <w:t>costs to defend the related litigation;</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231F20"/>
        </w:rPr>
        <w:t>a diversion of management’s time and our resources;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231F20"/>
        </w:rPr>
        <w:t>substantial monetary awards to trial participants or patients;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231F20"/>
        </w:rPr>
        <w:t>product recalls, withdrawals or labeling, marketing, or promotional restrictions;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231F20"/>
        </w:rPr>
        <w:t>loss of revenue;</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231F20"/>
        </w:rPr>
        <w:t>exhaustion of any available insurance and our capital resources; and</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231F20"/>
        </w:rPr>
        <w:t>the inability to commercialize any products.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Regulatory Approval and Other Legal Compliance Matters</w:t>
      </w:r>
    </w:p>
    <w:p>
      <w:pPr>
        <w:spacing w:after="0" w:line="13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89"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231F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 We cannot provide any assurance that any product candidate we may develop will progress through required clinical testing and obtain the regulatory approvals necessary for us to begin selling them.</w:t>
      </w:r>
    </w:p>
    <w:p>
      <w:pPr>
        <w:spacing w:after="0" w:line="207" w:lineRule="exact"/>
        <w:rPr>
          <w:sz w:val="20"/>
          <w:szCs w:val="20"/>
          <w:color w:val="auto"/>
        </w:rPr>
      </w:pPr>
    </w:p>
    <w:p>
      <w:pPr>
        <w:ind w:right="100" w:firstLine="510"/>
        <w:spacing w:after="0" w:line="308" w:lineRule="auto"/>
        <w:rPr>
          <w:sz w:val="20"/>
          <w:szCs w:val="20"/>
          <w:color w:val="auto"/>
        </w:rPr>
      </w:pPr>
      <w:r>
        <w:rPr>
          <w:rFonts w:ascii="Arial" w:cs="Arial" w:eastAsia="Arial" w:hAnsi="Arial"/>
          <w:sz w:val="17"/>
          <w:szCs w:val="17"/>
          <w:color w:val="231F20"/>
        </w:rPr>
        <w:t>We have not initiated, conducted, managed or completed any clinical trials nor managed the regulatory approval process with the FDA or any other regulatory authority. Applications for our product candidates could fail to receive regulatory approval for many reasons, including the following:</w:t>
      </w:r>
    </w:p>
    <w:p>
      <w:pPr>
        <w:spacing w:after="0" w:line="29" w:lineRule="exact"/>
        <w:rPr>
          <w:sz w:val="20"/>
          <w:szCs w:val="20"/>
          <w:color w:val="auto"/>
        </w:rPr>
      </w:pPr>
    </w:p>
    <w:p>
      <w:pPr>
        <w:ind w:left="880" w:hanging="373"/>
        <w:spacing w:after="0"/>
        <w:tabs>
          <w:tab w:leader="none" w:pos="88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231F20"/>
        </w:rPr>
        <w:t>the FDA, EMA or other comparable foreign regulatory authorities may disagree with the design, implementation or results of our clinical trials;</w:t>
      </w:r>
    </w:p>
    <w:p>
      <w:pPr>
        <w:spacing w:after="0" w:line="107" w:lineRule="exact"/>
        <w:rPr>
          <w:rFonts w:ascii="Arial" w:cs="Arial" w:eastAsia="Arial" w:hAnsi="Arial"/>
          <w:sz w:val="22"/>
          <w:szCs w:val="22"/>
          <w:color w:val="auto"/>
          <w:vertAlign w:val="superscript"/>
        </w:rPr>
      </w:pPr>
    </w:p>
    <w:p>
      <w:pPr>
        <w:ind w:left="880" w:right="320" w:hanging="373"/>
        <w:spacing w:after="0" w:line="226" w:lineRule="auto"/>
        <w:tabs>
          <w:tab w:leader="none" w:pos="88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231F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95" w:lineRule="exact"/>
        <w:rPr>
          <w:rFonts w:ascii="Arial" w:cs="Arial" w:eastAsia="Arial" w:hAnsi="Arial"/>
          <w:sz w:val="25"/>
          <w:szCs w:val="25"/>
          <w:color w:val="auto"/>
          <w:vertAlign w:val="superscript"/>
        </w:rPr>
      </w:pPr>
    </w:p>
    <w:p>
      <w:pPr>
        <w:ind w:left="880" w:right="100" w:hanging="373"/>
        <w:spacing w:after="0" w:line="216" w:lineRule="auto"/>
        <w:tabs>
          <w:tab w:leader="none" w:pos="88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2" w:name="page53"/>
    <w:bookmarkEnd w:id="52"/>
    <w:p>
      <w:pPr>
        <w:ind w:left="880" w:right="440" w:hanging="373"/>
        <w:spacing w:after="0" w:line="216" w:lineRule="auto"/>
        <w:tabs>
          <w:tab w:leader="none" w:pos="88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231F20"/>
        </w:rPr>
        <w:t>the FDA, EMA or other comparable foreign regulatory authorities may disagree with our interpretation of data from preclinical studies or clinical trials;</w:t>
      </w:r>
    </w:p>
    <w:p>
      <w:pPr>
        <w:spacing w:after="0" w:line="94" w:lineRule="exact"/>
        <w:rPr>
          <w:rFonts w:ascii="Arial" w:cs="Arial" w:eastAsia="Arial" w:hAnsi="Arial"/>
          <w:sz w:val="25"/>
          <w:szCs w:val="25"/>
          <w:color w:val="auto"/>
          <w:vertAlign w:val="superscript"/>
        </w:rPr>
      </w:pPr>
    </w:p>
    <w:p>
      <w:pPr>
        <w:ind w:left="880" w:right="20" w:hanging="373"/>
        <w:spacing w:after="0" w:line="216" w:lineRule="auto"/>
        <w:tabs>
          <w:tab w:leader="none" w:pos="88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231F20"/>
        </w:rPr>
        <w:t>we may be unable to demonstrate to the FDA, EMA or other comparable foreign regulatory authorities that our product candidate’s risk-benefit ratio for its proposed indication is acceptable;</w:t>
      </w:r>
    </w:p>
    <w:p>
      <w:pPr>
        <w:spacing w:after="0" w:line="94" w:lineRule="exact"/>
        <w:rPr>
          <w:rFonts w:ascii="Arial" w:cs="Arial" w:eastAsia="Arial" w:hAnsi="Arial"/>
          <w:sz w:val="25"/>
          <w:szCs w:val="25"/>
          <w:color w:val="auto"/>
          <w:vertAlign w:val="superscript"/>
        </w:rPr>
      </w:pPr>
    </w:p>
    <w:p>
      <w:pPr>
        <w:ind w:left="880" w:right="540" w:hanging="373"/>
        <w:spacing w:after="0" w:line="252" w:lineRule="auto"/>
        <w:tabs>
          <w:tab w:leader="none" w:pos="88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231F20"/>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81" w:lineRule="exact"/>
        <w:rPr>
          <w:rFonts w:ascii="Arial" w:cs="Arial" w:eastAsia="Arial" w:hAnsi="Arial"/>
          <w:sz w:val="22"/>
          <w:szCs w:val="22"/>
          <w:color w:val="auto"/>
          <w:vertAlign w:val="superscript"/>
        </w:rPr>
      </w:pPr>
    </w:p>
    <w:p>
      <w:pPr>
        <w:ind w:left="880" w:right="40" w:hanging="373"/>
        <w:spacing w:after="0" w:line="216" w:lineRule="auto"/>
        <w:tabs>
          <w:tab w:leader="none" w:pos="88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230"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231F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21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231F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and EMA approval described above as well as risks attributable to the satisfaction of local regulations in foreign jurisdictions. Moreover, the time required to obtain approval may differ from that required to obtain FDA approval.</w:t>
      </w:r>
    </w:p>
    <w:p>
      <w:pPr>
        <w:spacing w:after="0" w:line="32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231F20"/>
        </w:rPr>
        <w:t>The FDA, EMA and other comparable foreign regulatory authorities may not accept data from trials conducted in locations outside of their jurisdiction.</w:t>
      </w:r>
    </w:p>
    <w:p>
      <w:pPr>
        <w:spacing w:after="0" w:line="6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231F20"/>
        </w:rPr>
        <w:t>We are planning on undertaking clinical trials in the United States and additional clinical trials internationally. The acceptance of study data by the FDA, EMA or other comparable foreign regulatory authority from clinical trials conducted outside of their respective jurisdictions may be subject to certain conditions. In cases where data from U.S. clinical trials are intended to serve as the basis for marketing approval in the foreign countries outside the United States, the standards for clinical trials and approval may be different. There can be no assurance that any U.S.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30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231F20"/>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23"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231F20"/>
        </w:rPr>
        <w:t>Obtaining foreign regulatory approvals and establishing and maintaining compliance with foreign regulatory requirements could result in significant delays, difficulties and costs for us and could delay or prevent the introduction of our products in certain countries.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3" w:name="page54"/>
    <w:bookmarkEnd w:id="53"/>
    <w:p>
      <w:pPr>
        <w:ind w:right="160"/>
        <w:spacing w:after="0" w:line="308" w:lineRule="auto"/>
        <w:rPr>
          <w:sz w:val="20"/>
          <w:szCs w:val="20"/>
          <w:color w:val="auto"/>
        </w:rPr>
      </w:pPr>
      <w:r>
        <w:rPr>
          <w:rFonts w:ascii="Arial" w:cs="Arial" w:eastAsia="Arial" w:hAnsi="Arial"/>
          <w:sz w:val="17"/>
          <w:szCs w:val="17"/>
          <w:color w:val="231F20"/>
        </w:rPr>
        <w:t>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29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231F20"/>
        </w:rPr>
        <w:t>Even if we successfully complete the necessary preclinical studies and clinical trials, we cannot predict when, or if, we will obtain regulatory approval to commercialize a product candidate and the approval may be for a narrower indication than we seek.</w:t>
      </w:r>
    </w:p>
    <w:p>
      <w:pPr>
        <w:spacing w:after="0" w:line="5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231F20"/>
        </w:rPr>
        <w:t>We cannot commercialize a product candidate until the appropriate regulatory authorities have reviewed and approved the product candidate. We have not received approval from regulatory authorities in any jurisdiction to market any of our product candidates. Even if our product candidates meet their safety and efficacy endpoints in clinical trials, the regulatory authorities may not complete their review processes in a timely manner, issue a complete response letter, or ultimately, we may not be able to obtain regulatory approval. In addition, we may experience delays or rejections if an FDA Advisory Committee recommends disapproval or restrictions on use.</w:t>
      </w:r>
    </w:p>
    <w:p>
      <w:pPr>
        <w:spacing w:after="0" w:line="188"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231F20"/>
        </w:rPr>
        <w:t>In addition, we may experience delays or rejections based upon additional government regulation from future legislation or administrative actions, or changes in regulatory authority policy during the period of product development, clinical trials and the review process. Regulatory authorities have substantial discretion in the approval process and may refuse to accept any application or may decide that our data are insufficient for approval and require additional preclinical, clinical or other studies. In addition, varying interpretations of data obtained from preclinical and clinical testing could delay, limit or prevent the receipt of marketing approval for a product candidate.</w:t>
      </w:r>
    </w:p>
    <w:p>
      <w:pPr>
        <w:spacing w:after="0" w:line="215"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231F20"/>
        </w:rPr>
        <w:t>Regulatory authorities also may approve a product candidate for more limited indications than requested or they may impose significant limitations in the form of narrow indications, warnings or other labeling changes. These regulatory authorities may require precautions or contra-indications with respect to conditions of use or they may grant approval subject to the performance of costly post-marketing clinical trials. Regulatory authorities may impose restrictions and conditions on product distribution, prescribing, or dispensing in the form of a REMS or equivalent requirement.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harm our business, financial condition, results of operations and prospects.</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Even if our product candidates receive regulatory approval, they will be subject to significant post- marketing regulatory requirements and oversight.</w:t>
      </w:r>
    </w:p>
    <w:p>
      <w:pPr>
        <w:spacing w:after="0" w:line="165"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231F20"/>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 marketing information and reports, registration, as well as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30" w:lineRule="exact"/>
        <w:rPr>
          <w:sz w:val="20"/>
          <w:szCs w:val="20"/>
          <w:color w:val="auto"/>
        </w:rPr>
      </w:pPr>
    </w:p>
    <w:p>
      <w:pPr>
        <w:ind w:left="880" w:hanging="373"/>
        <w:spacing w:after="0"/>
        <w:tabs>
          <w:tab w:leader="none" w:pos="88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231F20"/>
        </w:rPr>
        <w:t>delays in or the rejection of product approvals;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231F20"/>
        </w:rPr>
        <w:t>restrictions on our ability to conduct clinical trials, including full or partial clinical holds on ongoing or planned trials;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231F20"/>
        </w:rPr>
        <w:t>restrictions on the products, manufacturers or manufacturing process;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231F20"/>
        </w:rPr>
        <w:t>warning or untitled letters;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231F20"/>
        </w:rPr>
        <w:t>civil and criminal penalties;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ind w:left="880" w:hanging="373"/>
        <w:spacing w:after="0"/>
        <w:tabs>
          <w:tab w:leader="none" w:pos="88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231F20"/>
        </w:rPr>
        <w:t>injunctions;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231F20"/>
        </w:rPr>
        <w:t>suspension or withdrawal of regulatory approvals;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231F20"/>
        </w:rPr>
        <w:t>product seizures, detentions or import bans;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231F20"/>
        </w:rPr>
        <w:t>voluntary or mandatory product recalls and publicity requirements;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231F20"/>
        </w:rPr>
        <w:t>total or partial suspension of production; and</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231F20"/>
        </w:rPr>
        <w:t>imposition of restrictions on operations, including costly new manufacturing requirements.</w:t>
      </w:r>
    </w:p>
    <w:p>
      <w:pPr>
        <w:spacing w:after="0" w:line="243" w:lineRule="exact"/>
        <w:rPr>
          <w:sz w:val="20"/>
          <w:szCs w:val="20"/>
          <w:color w:val="auto"/>
        </w:rPr>
      </w:pPr>
    </w:p>
    <w:p>
      <w:pPr>
        <w:jc w:val="both"/>
        <w:ind w:right="120" w:firstLine="510"/>
        <w:spacing w:after="0" w:line="286" w:lineRule="auto"/>
        <w:rPr>
          <w:sz w:val="20"/>
          <w:szCs w:val="20"/>
          <w:color w:val="auto"/>
        </w:rPr>
      </w:pPr>
      <w:r>
        <w:rPr>
          <w:rFonts w:ascii="Arial" w:cs="Arial" w:eastAsia="Arial" w:hAnsi="Arial"/>
          <w:sz w:val="17"/>
          <w:szCs w:val="17"/>
          <w:color w:val="231F20"/>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spacing w:after="0" w:line="31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231F20"/>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2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 However, there can be no assurances that we will be able to obtain orphan designations for our product candidates.</w:t>
      </w:r>
    </w:p>
    <w:p>
      <w:pPr>
        <w:spacing w:after="0" w:line="206"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231F20"/>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spacing w:after="0" w:line="19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231F20"/>
        </w:rPr>
        <w:t>The FDA has granted orphan drug designation for TN-201, the most advanced product candidate from our MYBPC3 program, and we may seek orphan drug designation for other product candidates in the United States, Europe and other jurisdictions. 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2"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231F20"/>
        </w:rPr>
        <w:t>We may face difficulties from changes to current FDA and healthcare regulations and future legislation.</w:t>
      </w:r>
    </w:p>
    <w:p>
      <w:pPr>
        <w:spacing w:after="0" w:line="13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231F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1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231F20"/>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FDA’s ability to engage in oversight and implementation activities in the normal course or constraints on our business operations, including operations of our contractors, our business may be negatively impacted.</w:t>
      </w:r>
    </w:p>
    <w:p>
      <w:pPr>
        <w:spacing w:after="0" w:line="20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judicial and Congressional challenges to certain aspects of the ACA. For example, various portions of the ACA have been the subject of legal and constitutional challenges in the U.S. Supreme Court. In June 2021, the U.S. Supreme Court held that Texas and other challengers had no legal standing to challenge the ACA, dismissing the case without specifically ruling on the constitutionality of the ACA. On January 28, 2021, President Biden issued an executive order to initiate a special enrollment period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We cannot predict how this Supreme Court decision or future litigation will impact our business, or what other healthcare measures and regulations will ultimately be implemented at the federal or state level or the effect of any future legislation or regulation may have on our business.</w:t>
      </w:r>
    </w:p>
    <w:p>
      <w:pPr>
        <w:spacing w:after="0" w:line="206"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231F20"/>
        </w:rPr>
        <w:t>In addition, other legislative changes have been proposed and adopted in the United States since the ACA was enacted. These changes included aggregate reductions to Medicare payments to providers of up to 2% per fiscal year, effective April 1, 2013, which will remain in effect through 2030, with the exception of a temporary suspension implemented under various COVID-19 relief legislation from May 1, 2020 through the end of 2021,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w:t>
      </w:r>
    </w:p>
    <w:p>
      <w:pPr>
        <w:spacing w:after="0" w:line="204" w:lineRule="exact"/>
        <w:rPr>
          <w:sz w:val="20"/>
          <w:szCs w:val="20"/>
          <w:color w:val="auto"/>
        </w:rPr>
      </w:pPr>
    </w:p>
    <w:p>
      <w:pPr>
        <w:ind w:right="160" w:firstLine="510"/>
        <w:spacing w:after="0" w:line="287" w:lineRule="auto"/>
        <w:rPr>
          <w:sz w:val="20"/>
          <w:szCs w:val="20"/>
          <w:color w:val="auto"/>
        </w:rPr>
      </w:pPr>
      <w:r>
        <w:rPr>
          <w:rFonts w:ascii="Arial" w:cs="Arial" w:eastAsia="Arial" w:hAnsi="Arial"/>
          <w:sz w:val="16"/>
          <w:szCs w:val="16"/>
          <w:color w:val="231F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of using step therapy for Part B drugs beginning January 1, 2020. This final rule codified CMS’s policy change that was effective January 1, 2019. At the federal level, the Trump administration used several means to propose or implement drug pricing reform, including through federal budget proposals, executive orders and policy initiatives. For example, in 2020, HHS and CMS issued various rules that are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The impact of these lawsuits as well as legislative, executive, and administrative actions of the Biden administration on us and the pharmaceutical industry as a whole is unclear.</w:t>
      </w:r>
    </w:p>
    <w:p>
      <w:pPr>
        <w:spacing w:after="0" w:line="168"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231F20"/>
        </w:rPr>
        <w:t>In January 2021, the Biden administration issued a “regulatory freeze” memorandum that directs department and agency heads to review new or pending rules of the prior administration. Under the American Rescue Plan Act of 2021, effective January 1, 2024,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56" w:name="page57"/>
    <w:bookmarkEnd w:id="56"/>
    <w:p>
      <w:pPr>
        <w:ind w:right="40"/>
        <w:spacing w:after="0" w:line="266" w:lineRule="auto"/>
        <w:rPr>
          <w:sz w:val="20"/>
          <w:szCs w:val="20"/>
          <w:color w:val="auto"/>
        </w:rPr>
      </w:pPr>
      <w:r>
        <w:rPr>
          <w:rFonts w:ascii="Arial" w:cs="Arial" w:eastAsia="Arial" w:hAnsi="Arial"/>
          <w:sz w:val="17"/>
          <w:szCs w:val="17"/>
          <w:color w:val="231F20"/>
        </w:rPr>
        <w:t>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addition, Congress is considering legislation that, if passed, could have significant impact on prices of prescription drugs covered by Medicare, including limitations on drug price increases.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8"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231F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210"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231F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It is also possible that additional governmental action is taken to address the COVID-19 pandemic.</w:t>
      </w:r>
    </w:p>
    <w:p>
      <w:pPr>
        <w:spacing w:after="0" w:line="203"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31F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33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231F20"/>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9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231F20"/>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spacing w:after="0" w:line="214"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231F20"/>
        </w:rPr>
        <w:t>Outside of the United States, legal requirements relating to the collection, storage, processing and transfer of personal data continue to evolve. For example, the collection and use of health data and other personal data is governed in the European Union by the General Data Protection Regulation (“GDPR”), which extends the geographical scope of EU data protection law to entities and operations outside of the European Union under certain conditions and imposes substantial obligations upon companies and new rights for individuals, and by certain EU member state-level legislation. For example, the GDPR requires data controllers to implement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Failure to comply with the GDPR may result in fines up to €20,000,000 or 4% of the total worldwide annual turnover of the preceding financial year, whichever is higher, and other administrative penalties. The GDPR may increase our responsibility and liability in relation to personal data that we may process, and we may be required to implement additional measures in an effort to comply with the GDPR and with other laws, rules, regulations and standards in the European Union, including those of EU member states, relating to privacy and data protection. This may be onerous and if our efforts to comply with GDPR or other</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57" w:name="page58"/>
    <w:bookmarkEnd w:id="57"/>
    <w:p>
      <w:pPr>
        <w:spacing w:after="0" w:line="268" w:lineRule="auto"/>
        <w:rPr>
          <w:sz w:val="20"/>
          <w:szCs w:val="20"/>
          <w:color w:val="auto"/>
        </w:rPr>
      </w:pPr>
      <w:r>
        <w:rPr>
          <w:rFonts w:ascii="Arial" w:cs="Arial" w:eastAsia="Arial" w:hAnsi="Arial"/>
          <w:sz w:val="17"/>
          <w:szCs w:val="17"/>
          <w:color w:val="231F20"/>
        </w:rPr>
        <w:t>applicable EU laws, rules, regulations and standards are not successful, or are perceived to be unsuccessful, it could adversely affect our business. Further, in July 2020, the European Court of Justice (“ECJ”) invalidated the EU-U.S. Privacy Shield, which had enabled the transfer of personal data from the European Union to the United States for companies that had self-certified to the Privacy Shield. The ECJ decision also raised questions about the continued validity of one of the primary alternatives to the EU-U.S. Privacy Shield, namely the European Commission’s Standard Contractual Clauses, and EU regulators have issued additional guidance regarding considerations and requirements that we and other companies must consider and undertake when using the Standard Contractual Clauses. Although the European Commission has presented a new set of Standard Contractual Clauses, which are required to be implemented, there are few, if any, viable alternatives to the EU-U.S. Privacy Shield and the Standard Contractual Clauses and it remains to be seen whether additional means for lawful data transfers will become available. To the extent that we were to rely on the EU-U.S. or Swiss-U.S. Privacy Shield programs, we will not be able to do so in the future, and the ECJ’s decision and other regulatory guidance or developments may impose additional obligations with respect to the transfer of personal data from the European Union and Switzerland to the United States,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European Union and Switzerland to the United States.</w:t>
      </w:r>
    </w:p>
    <w:p>
      <w:pPr>
        <w:spacing w:after="0" w:line="213"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231F20"/>
        </w:rPr>
        <w:t>Further, the exit of the United Kingdom from the European Union, often referred to as Brexit, has created uncertainty with regard to data protection regulation in the United Kingdom. Specifically, the United Kingdom exited the European Union on January 1, 2020, subject to a transition period that ended December 31, 2020. The United Kingdom has implemented legislation similar to the GDPR, referred to as the UK GDPR, which provides for significant fines of up to the greater of £17.5 million or 4% of global turnover and exposes us to two parallel regimes with potentially divergent enforcement actions for certain violations. With respect to transfers of personal data, on June 28, 2021, the European Commission issued an adequacy decision in respect of the United Kingdom’s data protection framework, enabling data transfers from EU member states to the United Kingdom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 The relationship between the United Kingdom and European Union in relation to aspects of data protection law in the medium and longer term remains unclear, including with respect to cross-border data transfers and the role of the UK Information Commissioner’s Office with respect to the European Union, which exposes us to further compliance risk. We may incur liabilities, expenses, costs, and other operational losses relating to the GDPR, the UK GDPR, and other laws and regulations in the European Union and United Kingdom relating to privacy and data protection, including those of applicable EU member states in connection with any measures we take to comply with them.</w:t>
      </w:r>
    </w:p>
    <w:p>
      <w:pPr>
        <w:spacing w:after="0" w:line="201" w:lineRule="exact"/>
        <w:rPr>
          <w:sz w:val="20"/>
          <w:szCs w:val="20"/>
          <w:color w:val="auto"/>
        </w:rPr>
      </w:pPr>
    </w:p>
    <w:p>
      <w:pPr>
        <w:ind w:right="40" w:firstLine="510"/>
        <w:spacing w:after="0" w:line="284" w:lineRule="auto"/>
        <w:rPr>
          <w:sz w:val="20"/>
          <w:szCs w:val="20"/>
          <w:color w:val="auto"/>
        </w:rPr>
      </w:pPr>
      <w:r>
        <w:rPr>
          <w:rFonts w:ascii="Arial" w:cs="Arial" w:eastAsia="Arial" w:hAnsi="Arial"/>
          <w:sz w:val="16"/>
          <w:szCs w:val="16"/>
          <w:color w:val="231F20"/>
        </w:rPr>
        <w:t xml:space="preserve">Finally, federal, state and foreign laws, rules, regulations and standards may apply generally to the privacy and security of information we maintain, and may differ from each other in significant ways, thus complicating compliance efforts and potentially requiring us to undertake additional measures to comply with them. In the United States, there are a broad variety of data privacy, protection and security laws, rules, regulations and standards that may apply to our activities, such as state data breach notification laws, state personal data privacy laws (for example, the California Consumer Privacy Act of 2018 (“CCPA”)), state health information privacy laws, and federal and state consumer protection laws (for example, Section 5(c) of the Federal Trade Commission Act). A range of enforcement agencies exist at both the state and federal levels that can enforce these laws, rules, regulations and standards. For example, the CCPA, which took effect on January 1, 2020,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information), imposes new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judgements and settlements). Aspects of the CCPA and its interpretation and enforcement remain uncertain. In addition, California voters passed the California Privacy Rights Act of 2020 (“CPRA”) in November 2020, which becomes effective in most material respects on January 1, 2023.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CCPA and CPRA. Although there are limited exemptions for clinical trial data under the CCPA, the CCPA and other similar laws could impact our business activities, depending on their interpretation. Further, laws in all 50 states require businesses to provide notice to customers whose personal data has been disclosed as a result of a data breach. </w:t>
      </w:r>
      <w:r>
        <w:rPr>
          <w:rFonts w:ascii="Arial" w:cs="Arial" w:eastAsia="Arial" w:hAnsi="Arial"/>
          <w:sz w:val="16"/>
          <w:szCs w:val="16"/>
          <w:color w:val="000000"/>
        </w:rPr>
        <w:t>Additionally, other state legislatures have enacted or are currently contemplating, and may pass, their own comprehensive data privacy and</w:t>
      </w:r>
      <w:r>
        <w:rPr>
          <w:rFonts w:ascii="Arial" w:cs="Arial" w:eastAsia="Arial" w:hAnsi="Arial"/>
          <w:sz w:val="16"/>
          <w:szCs w:val="16"/>
          <w:color w:val="231F20"/>
        </w:rPr>
        <w:t xml:space="preserve"> </w:t>
      </w:r>
      <w:r>
        <w:rPr>
          <w:rFonts w:ascii="Arial" w:cs="Arial" w:eastAsia="Arial" w:hAnsi="Arial"/>
          <w:sz w:val="16"/>
          <w:szCs w:val="16"/>
          <w:color w:val="000000"/>
        </w:rPr>
        <w:t>security laws, with potentially greater penalties and more rigorous compliance requirements relevant to our business. For example, in March 2021, Virginia enacted the Virginia Consumer Data Protection Act, or CDPA, which becomes effective on January 1, 2023, and in June 2021, Colorado enacted the Colorado Privacy Act, or CPA, which takes effect on July 1, 2023. The CPA and CDPA share similarities with the CCPA, the CPRA, and legislation proposed in other states.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8" w:name="page59"/>
    <w:bookmarkEnd w:id="58"/>
    <w:p>
      <w:pPr>
        <w:ind w:right="40" w:firstLine="510"/>
        <w:spacing w:after="0" w:line="290" w:lineRule="auto"/>
        <w:rPr>
          <w:sz w:val="20"/>
          <w:szCs w:val="20"/>
          <w:color w:val="auto"/>
        </w:rPr>
      </w:pPr>
      <w:r>
        <w:rPr>
          <w:rFonts w:ascii="Arial" w:cs="Arial" w:eastAsia="Arial" w:hAnsi="Arial"/>
          <w:sz w:val="16"/>
          <w:szCs w:val="16"/>
          <w:color w:val="231F20"/>
        </w:rPr>
        <w:t>With the GDPR, CCPA, CRPA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the CCPA and the GDPR, as well as other applicable data privacy and protection laws and regulations. Additionally, the CPRA and the CCPA may lead other states to pass comparable legislation, with potentially greater penalties and more rigorous compliance requirements relevant to our business. Additionally, if third parties we work with, such as vendors or service providers, violate applicable laws, rules or regulations or our policies, such violations may also put our or our customers’ data, including personal data, at risk, which could in turn have an adverse effect on our business.</w:t>
      </w:r>
    </w:p>
    <w:p>
      <w:pPr>
        <w:spacing w:after="0" w:line="19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231F20"/>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w:t>
      </w:r>
    </w:p>
    <w:p>
      <w:pPr>
        <w:spacing w:after="0" w:line="340" w:lineRule="exact"/>
        <w:rPr>
          <w:sz w:val="20"/>
          <w:szCs w:val="20"/>
          <w:color w:val="auto"/>
        </w:rPr>
      </w:pPr>
    </w:p>
    <w:p>
      <w:pPr>
        <w:ind w:right="280"/>
        <w:spacing w:after="0" w:line="340" w:lineRule="auto"/>
        <w:rPr>
          <w:sz w:val="20"/>
          <w:szCs w:val="20"/>
          <w:color w:val="auto"/>
        </w:rPr>
      </w:pPr>
      <w:r>
        <w:rPr>
          <w:rFonts w:ascii="Arial" w:cs="Arial" w:eastAsia="Arial" w:hAnsi="Arial"/>
          <w:sz w:val="15"/>
          <w:szCs w:val="15"/>
          <w:b w:val="1"/>
          <w:bCs w:val="1"/>
          <w:i w:val="1"/>
          <w:iCs w:val="1"/>
          <w:color w:val="231F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3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31F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U.S.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215" w:lineRule="exact"/>
        <w:rPr>
          <w:sz w:val="20"/>
          <w:szCs w:val="20"/>
          <w:color w:val="auto"/>
        </w:rPr>
      </w:pPr>
    </w:p>
    <w:p>
      <w:pPr>
        <w:ind w:right="280" w:firstLine="510"/>
        <w:spacing w:after="0" w:line="273" w:lineRule="auto"/>
        <w:rPr>
          <w:sz w:val="20"/>
          <w:szCs w:val="20"/>
          <w:color w:val="auto"/>
        </w:rPr>
      </w:pPr>
      <w:r>
        <w:rPr>
          <w:rFonts w:ascii="Arial" w:cs="Arial" w:eastAsia="Arial" w:hAnsi="Arial"/>
          <w:sz w:val="17"/>
          <w:szCs w:val="17"/>
          <w:color w:val="231F20"/>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231F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93" w:lineRule="exact"/>
        <w:rPr>
          <w:sz w:val="20"/>
          <w:szCs w:val="20"/>
          <w:color w:val="auto"/>
        </w:rPr>
      </w:pPr>
    </w:p>
    <w:p>
      <w:pPr>
        <w:ind w:right="320" w:firstLine="510"/>
        <w:spacing w:after="0" w:line="275" w:lineRule="auto"/>
        <w:rPr>
          <w:sz w:val="20"/>
          <w:szCs w:val="20"/>
          <w:color w:val="auto"/>
        </w:rPr>
      </w:pPr>
      <w:r>
        <w:rPr>
          <w:rFonts w:ascii="Arial" w:cs="Arial" w:eastAsia="Arial" w:hAnsi="Arial"/>
          <w:sz w:val="17"/>
          <w:szCs w:val="17"/>
          <w:color w:val="231F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68" w:lineRule="exact"/>
        <w:rPr>
          <w:sz w:val="20"/>
          <w:szCs w:val="20"/>
          <w:color w:val="auto"/>
        </w:rPr>
      </w:pPr>
    </w:p>
    <w:p>
      <w:pPr>
        <w:ind w:left="880" w:right="200" w:hanging="373"/>
        <w:spacing w:after="0" w:line="232" w:lineRule="auto"/>
        <w:tabs>
          <w:tab w:leader="none" w:pos="88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9" w:name="page60"/>
    <w:bookmarkEnd w:id="59"/>
    <w:p>
      <w:pPr>
        <w:ind w:left="880" w:hanging="373"/>
        <w:spacing w:after="0" w:line="232" w:lineRule="auto"/>
        <w:tabs>
          <w:tab w:leader="none" w:pos="88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231F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93" w:lineRule="exact"/>
        <w:rPr>
          <w:rFonts w:ascii="Arial" w:cs="Arial" w:eastAsia="Arial" w:hAnsi="Arial"/>
          <w:sz w:val="25"/>
          <w:szCs w:val="25"/>
          <w:color w:val="auto"/>
          <w:vertAlign w:val="superscript"/>
        </w:rPr>
      </w:pPr>
    </w:p>
    <w:p>
      <w:pPr>
        <w:ind w:left="880" w:right="140" w:hanging="373"/>
        <w:spacing w:after="0" w:line="227" w:lineRule="auto"/>
        <w:tabs>
          <w:tab w:leader="none" w:pos="88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231F20"/>
        </w:rPr>
        <w:t>the federal Health Insurance Portability and Accountability Act of 1996 (“HIPAA”), prohibits, among other things, executing or attempting to execute a scheme to defraud any healthcare benefit program or making false statements relating to healthcare matters;</w:t>
      </w:r>
    </w:p>
    <w:p>
      <w:pPr>
        <w:spacing w:after="0" w:line="94" w:lineRule="exact"/>
        <w:rPr>
          <w:rFonts w:ascii="Arial" w:cs="Arial" w:eastAsia="Arial" w:hAnsi="Arial"/>
          <w:sz w:val="24"/>
          <w:szCs w:val="24"/>
          <w:color w:val="auto"/>
          <w:vertAlign w:val="superscript"/>
        </w:rPr>
      </w:pPr>
    </w:p>
    <w:p>
      <w:pPr>
        <w:ind w:left="880" w:right="40" w:hanging="373"/>
        <w:spacing w:after="0" w:line="235" w:lineRule="auto"/>
        <w:tabs>
          <w:tab w:leader="none" w:pos="88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231F20"/>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95" w:lineRule="exact"/>
        <w:rPr>
          <w:rFonts w:ascii="Arial" w:cs="Arial" w:eastAsia="Arial" w:hAnsi="Arial"/>
          <w:sz w:val="25"/>
          <w:szCs w:val="25"/>
          <w:color w:val="auto"/>
          <w:vertAlign w:val="superscript"/>
        </w:rPr>
      </w:pPr>
    </w:p>
    <w:p>
      <w:pPr>
        <w:ind w:left="880" w:right="500" w:hanging="373"/>
        <w:spacing w:after="0" w:line="268" w:lineRule="auto"/>
        <w:tabs>
          <w:tab w:leader="none" w:pos="88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231F20"/>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spacing w:after="0" w:line="73" w:lineRule="exact"/>
        <w:rPr>
          <w:rFonts w:ascii="Arial" w:cs="Arial" w:eastAsia="Arial" w:hAnsi="Arial"/>
          <w:sz w:val="22"/>
          <w:szCs w:val="22"/>
          <w:color w:val="auto"/>
          <w:vertAlign w:val="superscript"/>
        </w:rPr>
      </w:pPr>
    </w:p>
    <w:p>
      <w:pPr>
        <w:ind w:left="880" w:right="360" w:hanging="373"/>
        <w:spacing w:after="0" w:line="216" w:lineRule="auto"/>
        <w:tabs>
          <w:tab w:leader="none" w:pos="88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231F20"/>
        </w:rPr>
        <w:t>federal consumer protection and unfair competition laws, which broadly regulate marketplace activities and activities that potentially harm consumers;</w:t>
      </w:r>
    </w:p>
    <w:p>
      <w:pPr>
        <w:spacing w:after="0" w:line="94" w:lineRule="exact"/>
        <w:rPr>
          <w:rFonts w:ascii="Arial" w:cs="Arial" w:eastAsia="Arial" w:hAnsi="Arial"/>
          <w:sz w:val="25"/>
          <w:szCs w:val="25"/>
          <w:color w:val="auto"/>
          <w:vertAlign w:val="superscript"/>
        </w:rPr>
      </w:pPr>
    </w:p>
    <w:p>
      <w:pPr>
        <w:ind w:left="880" w:right="20" w:hanging="373"/>
        <w:spacing w:after="0" w:line="274" w:lineRule="auto"/>
        <w:tabs>
          <w:tab w:leader="none" w:pos="88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231F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and teaching hospitals as well as information regarding ownership and investment interests held by physicians and their immediate family members. Beginning with data reporting in 2022, reporting obligations with respect to covered recipients have been expanded to include physician assistants, nurse practitioners, clinical nurse specialists, certified registered nurse anesthetists and anesthesiologist assistants, and certified nurse midwives for payments and transfers of value made during the previous year; and</w:t>
      </w:r>
    </w:p>
    <w:p>
      <w:pPr>
        <w:spacing w:after="0" w:line="70" w:lineRule="exact"/>
        <w:rPr>
          <w:rFonts w:ascii="Arial" w:cs="Arial" w:eastAsia="Arial" w:hAnsi="Arial"/>
          <w:sz w:val="22"/>
          <w:szCs w:val="22"/>
          <w:color w:val="auto"/>
          <w:vertAlign w:val="superscript"/>
        </w:rPr>
      </w:pPr>
    </w:p>
    <w:p>
      <w:pPr>
        <w:ind w:left="880" w:right="20" w:hanging="373"/>
        <w:spacing w:after="0"/>
        <w:tabs>
          <w:tab w:leader="none" w:pos="88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231F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235"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231F20"/>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spacing w:after="0" w:line="308" w:lineRule="auto"/>
        <w:rPr>
          <w:sz w:val="20"/>
          <w:szCs w:val="20"/>
          <w:color w:val="auto"/>
        </w:rPr>
      </w:pPr>
      <w:r>
        <w:rPr>
          <w:rFonts w:ascii="Arial" w:cs="Arial" w:eastAsia="Arial" w:hAnsi="Arial"/>
          <w:sz w:val="17"/>
          <w:szCs w:val="17"/>
          <w:b w:val="1"/>
          <w:bCs w:val="1"/>
          <w:i w:val="1"/>
          <w:iCs w:val="1"/>
          <w:color w:val="231F20"/>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52" w:lineRule="exact"/>
        <w:rPr>
          <w:sz w:val="20"/>
          <w:szCs w:val="20"/>
          <w:color w:val="auto"/>
        </w:rPr>
      </w:pPr>
    </w:p>
    <w:p>
      <w:pPr>
        <w:ind w:right="120" w:firstLine="510"/>
        <w:spacing w:after="0" w:line="268" w:lineRule="auto"/>
        <w:rPr>
          <w:sz w:val="20"/>
          <w:szCs w:val="20"/>
          <w:color w:val="auto"/>
        </w:rPr>
      </w:pPr>
      <w:r>
        <w:rPr>
          <w:rFonts w:ascii="Arial" w:cs="Arial" w:eastAsia="Arial" w:hAnsi="Arial"/>
          <w:sz w:val="17"/>
          <w:szCs w:val="17"/>
          <w:color w:val="231F20"/>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3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231F20"/>
        </w:rPr>
        <w:t>If we fail to comply with environmental, health and safety laws and regulations, we could become subject to fines or penalties or incur costs that could have a material adverse effect on our business.</w:t>
      </w:r>
    </w:p>
    <w:p>
      <w:pPr>
        <w:spacing w:after="0" w:line="76" w:lineRule="exact"/>
        <w:rPr>
          <w:sz w:val="20"/>
          <w:szCs w:val="20"/>
          <w:color w:val="auto"/>
        </w:rPr>
      </w:pPr>
    </w:p>
    <w:p>
      <w:pPr>
        <w:ind w:right="220" w:firstLine="510"/>
        <w:spacing w:after="0" w:line="273" w:lineRule="auto"/>
        <w:rPr>
          <w:sz w:val="20"/>
          <w:szCs w:val="20"/>
          <w:color w:val="auto"/>
        </w:rPr>
      </w:pPr>
      <w:r>
        <w:rPr>
          <w:rFonts w:ascii="Arial" w:cs="Arial" w:eastAsia="Arial" w:hAnsi="Arial"/>
          <w:sz w:val="17"/>
          <w:szCs w:val="17"/>
          <w:color w:val="231F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5"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214"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231F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332"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b w:val="1"/>
          <w:bCs w:val="1"/>
          <w:i w:val="1"/>
          <w:iCs w:val="1"/>
          <w:color w:val="231F20"/>
        </w:rPr>
        <w:t>Our business activities may be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54"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231F20"/>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agents, representatives, business partners, and third-party intermediaries from, directly or indirectly, offering, promising, giving or authorizing others to give anything of value, either directly or indirectly, to recipients in the public or private sector in order to influence official action or otherwise obtain or retain business.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Department of Justice (“DOJ”) have increased their FCPA enforcement activities with respect to biotechnology and pharmaceutical companies.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1" w:name="page62"/>
    <w:bookmarkEnd w:id="61"/>
    <w:p>
      <w:pPr>
        <w:ind w:right="20" w:firstLine="510"/>
        <w:spacing w:after="0" w:line="273" w:lineRule="auto"/>
        <w:rPr>
          <w:sz w:val="20"/>
          <w:szCs w:val="20"/>
          <w:color w:val="auto"/>
        </w:rPr>
      </w:pPr>
      <w:r>
        <w:rPr>
          <w:rFonts w:ascii="Arial" w:cs="Arial" w:eastAsia="Arial" w:hAnsi="Arial"/>
          <w:sz w:val="17"/>
          <w:szCs w:val="17"/>
          <w:color w:val="231F20"/>
        </w:rPr>
        <w:t>We sometimes leverage third parties to assist with the conduct of our business abroad. We, our employees, agents, representatives, business partners and our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and third-party intermediaries will not take actions in violation of applicable law for which we may be ultimately held responsible. As we increase our international sales and business, our risks under these laws may increase.</w:t>
      </w:r>
    </w:p>
    <w:p>
      <w:pPr>
        <w:spacing w:after="0" w:line="20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231F20"/>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While we have policies and procedures to address compliance with such laws, there is no certainty that all of our employees, agents, representatives, business partners and third-party intermediaries, or those of our affiliates, will comply with our policies or applicable laws and regulations, for which we may be ultimately held responsible.</w:t>
      </w:r>
    </w:p>
    <w:p>
      <w:pPr>
        <w:spacing w:after="0" w:line="215"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231F20"/>
        </w:rPr>
        <w:t>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 government contracts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spacing w:after="0" w:line="222"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Changes in tax law could increase the tax burden on our orphan drug programs and adversely affect our business and financial condition.</w:t>
      </w:r>
    </w:p>
    <w:p>
      <w:pPr>
        <w:spacing w:after="0" w:line="14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231F20"/>
        </w:rPr>
        <w:t>In 2017, the U.S. government enacted the Tax Act, which as modified by the CARES Act, includes significant changes to the taxation of business entities. These changes include, among others, a reduction in the orphan drug tax credit from 50% to 25% of qualifying expenditures. When and if we become profitable, this reduction in tax credits may result in an increased federal income tax burden on our orphan drug programs as it may cause us to pay federal income taxes earlier under the revised tax law than under the prior law and may increase our total federal tax liability attributable to such programs. Additionally, the current administration has proposed an increase of the corporate tax rate and other changes, including a global minimum tax, which, if enacted would further increase our total federal tax liability when and if we become profitable.</w:t>
      </w:r>
    </w:p>
    <w:p>
      <w:pPr>
        <w:spacing w:after="0" w:line="205"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231F20"/>
        </w:rPr>
        <w:t>In addition, it is uncertain if and to what extent various states will conform to the Tax Act and proposed tax legislation, and states may enact suspensions or limitations on the use of NOLs and tax credits (including, without limitation, California legislation enacted in 2020 that suspends the use of California NOLs and limits the use of certain California tax credits for certain periods). The impact of the Tax Act and any proposed tax legislation on holders of our common stock is also uncertain and could be adverse. Investors should consult with their legal and tax advisors with respect to the Tax Act and any proposed tax legislation and the potential tax consequences of investing in or holding our common stock.</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231F20"/>
        </w:rPr>
        <w:t>Risks Related to Employee Matters, Managing Our Growth and Other Risks Related to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is highly dependent on our ability to attract and retain highly skilled executive officers and employees.</w:t>
      </w:r>
    </w:p>
    <w:p>
      <w:pPr>
        <w:spacing w:after="0" w:line="13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231F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particularly Faraz Ali, M.B.A., our Chief Executive Officer. Additionally, the effects of the COVID-19 pandemic may interfere with our ability to hire or retain qualified and key personnel. If we do not succeed in attracting and retaining such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spacing w:after="0" w:line="205"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231F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203"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231F20"/>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31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231F20"/>
        </w:rPr>
        <w:t>In order to successfully implement our plans and strategies, we will need to grow the size of our organization, and we may experience difficulties in managing this growth.</w:t>
      </w:r>
    </w:p>
    <w:p>
      <w:pPr>
        <w:spacing w:after="0" w:line="76" w:lineRule="exact"/>
        <w:rPr>
          <w:sz w:val="20"/>
          <w:szCs w:val="20"/>
          <w:color w:val="auto"/>
        </w:rPr>
      </w:pPr>
    </w:p>
    <w:p>
      <w:pPr>
        <w:jc w:val="both"/>
        <w:ind w:right="120" w:firstLine="510"/>
        <w:spacing w:after="0" w:line="311" w:lineRule="auto"/>
        <w:rPr>
          <w:sz w:val="20"/>
          <w:szCs w:val="20"/>
          <w:color w:val="auto"/>
        </w:rPr>
      </w:pPr>
      <w:r>
        <w:rPr>
          <w:rFonts w:ascii="Arial" w:cs="Arial" w:eastAsia="Arial" w:hAnsi="Arial"/>
          <w:sz w:val="16"/>
          <w:szCs w:val="16"/>
          <w:color w:val="231F20"/>
        </w:rPr>
        <w:t>As of September 30, 2021, we had more than 100 full-time employees. In order to successfully implement our development and commercialization plans and strategies, and as we begin to operate as a public company, we expect to need additional managerial, operational, sales, marketing, financial and other personnel. Future growth would impose significant added responsibilities on members of management, including:</w:t>
      </w:r>
    </w:p>
    <w:p>
      <w:pPr>
        <w:ind w:left="880" w:hanging="373"/>
        <w:spacing w:after="0" w:line="226" w:lineRule="auto"/>
        <w:tabs>
          <w:tab w:leader="none" w:pos="88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231F20"/>
        </w:rPr>
        <w:t>identifying, recruiting, integrating, maintaining and motivating additional employees;</w:t>
      </w:r>
    </w:p>
    <w:p>
      <w:pPr>
        <w:spacing w:after="0" w:line="107" w:lineRule="exact"/>
        <w:rPr>
          <w:rFonts w:ascii="Arial" w:cs="Arial" w:eastAsia="Arial" w:hAnsi="Arial"/>
          <w:sz w:val="25"/>
          <w:szCs w:val="25"/>
          <w:color w:val="auto"/>
          <w:vertAlign w:val="superscript"/>
        </w:rPr>
      </w:pPr>
    </w:p>
    <w:p>
      <w:pPr>
        <w:ind w:left="880" w:right="260" w:hanging="373"/>
        <w:spacing w:after="0" w:line="226" w:lineRule="auto"/>
        <w:tabs>
          <w:tab w:leader="none" w:pos="88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231F20"/>
        </w:rPr>
        <w:t>managing our internal development efforts effectively, including the clinical, FDA, EMA and other comparable foreign regulatory agencies’ review process for our product candidates, while complying with any contractual obligations to contractors and other third parties we may have; and</w:t>
      </w:r>
    </w:p>
    <w:p>
      <w:pPr>
        <w:spacing w:after="0" w:line="38"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231F20"/>
        </w:rPr>
        <w:t>improving our operational, financial and management controls, reporting systems and procedures.</w:t>
      </w:r>
    </w:p>
    <w:p>
      <w:pPr>
        <w:spacing w:after="0" w:line="242"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231F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21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231F20"/>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63" w:name="page64"/>
    <w:bookmarkEnd w:id="63"/>
    <w:p>
      <w:pPr>
        <w:ind w:right="60" w:firstLine="510"/>
        <w:spacing w:after="0" w:line="263" w:lineRule="auto"/>
        <w:rPr>
          <w:sz w:val="20"/>
          <w:szCs w:val="20"/>
          <w:color w:val="auto"/>
        </w:rPr>
      </w:pPr>
      <w:r>
        <w:rPr>
          <w:rFonts w:ascii="Arial" w:cs="Arial" w:eastAsia="Arial" w:hAnsi="Arial"/>
          <w:sz w:val="18"/>
          <w:szCs w:val="18"/>
          <w:color w:val="231F20"/>
        </w:rPr>
        <w:t>If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spacing w:after="0" w:line="33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231F20"/>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76"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231F20"/>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214"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231F20"/>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3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231F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9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231F20"/>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consultants and other third parties, such systems are vulnerable to breakdown or other damage or interruption from, among other things, service interruptions, system malfunctions, natural disasters, terrorism, war, telecommunication and electrical failures, security breaches and incidents from inadvertent or intentional actions by our employees, contractors, consultants, business partners, and other third parties, cyber-attacks and other hacking attempts by malicious third parties (including supply chain cyber-attacks or attacks by nation-state or nation-state supported actors, or the deployment of harmful malware, ransomware, distributed denial-of-service (“DDoS”) attacks, phishing attacks, social engineering and other means to affect service reliability and threaten the confidentiality, integrity and availability of information), which may compromise our system infrastructure or lead to the loss, destruction, alteration, prevention of access to, disclosure, dissemination of, or damage or unauthorized access to, our data (including trade secrets or other confidential information, intellectual property, proprietary business information and personal data) or other data that we process or maintain or that is processed or maintained on our behalf, or other assets, which could result in financial, legal, business and reputational harm to us.</w:t>
      </w:r>
    </w:p>
    <w:p>
      <w:pPr>
        <w:spacing w:after="0" w:line="20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We have in the past and may in the future experience phishing attempts, and companies have, in general, experienced an increase in phishing and social engineering attacks from third parties in connection with the COVID-19 pandemic, and the increase in remote working further increases security threats. To the extent that any data breach, disruption or security incident were to result in any loss, destruction, unavailability, alteration, disclosure, dissemination of, or damage or unauthorized access to, our personal data, applications, assets or any other data processed or maintained on our behalf, or for it to be believed or reported that any of the foregoing occurred, we could incur significant liability, including consequential damages, financial harm and reputational damage and the development and commercialization of our product candidates could be delayed. We cannot ensure that our data protection efforts and our investment in information technology, or the efforts or investments of CROs, consultants or other third parties,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4" w:name="page65"/>
    <w:bookmarkEnd w:id="64"/>
    <w:p>
      <w:pPr>
        <w:jc w:val="both"/>
        <w:ind w:right="20"/>
        <w:spacing w:after="0" w:line="259" w:lineRule="auto"/>
        <w:rPr>
          <w:sz w:val="20"/>
          <w:szCs w:val="20"/>
          <w:color w:val="auto"/>
        </w:rPr>
      </w:pPr>
      <w:r>
        <w:rPr>
          <w:rFonts w:ascii="Arial" w:cs="Arial" w:eastAsia="Arial" w:hAnsi="Arial"/>
          <w:sz w:val="18"/>
          <w:szCs w:val="18"/>
          <w:color w:val="231F20"/>
        </w:rPr>
        <w:t>computer systems could also have a material adverse effect on our business. Controls employed by our information technology department and our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w:t>
      </w:r>
    </w:p>
    <w:p>
      <w:pPr>
        <w:spacing w:after="0" w:line="21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If any data breach or other security incident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 any such event that leads to loss, damage, or unauthorized access to, or use, alteration, disclosure or dissemination of, personal data, including personal data regarding our clinical trial subjects or employees, could harm our reputation directly,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 Additionally, we do not currently maintain cybersecurity insurance and therefore the successful assertion of one or more large claims against us in connection with a breach or other cybersecurity-related matter could adversely affect our business, financial condition, results of operations and prospects.</w:t>
      </w:r>
    </w:p>
    <w:p>
      <w:pPr>
        <w:spacing w:after="0" w:line="212"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231F20"/>
        </w:rPr>
        <w:t>Notifications and follow-up actions related to a data breach or other security incident could impact our reputation and cause us to incur significant costs, including significant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data breach, disruption or security incident were to result in any loss, destruction, or alteration of, damage, unauthorized access to or inappropriate or unauthorized disclosure of or dissemination of, our data, including personal data, or other information that is processed or maintained on our behalf, we could be exposed to litigation and governmental investigations and inquiries, the further development and commercialization of our product candidates could be delayed, and we could be subject to significant fines or penalties for any noncompliance with certain state, federal and international privacy and security laws, rules, regulations and standards.</w:t>
      </w:r>
    </w:p>
    <w:p>
      <w:pPr>
        <w:spacing w:after="0" w:line="32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231F20"/>
        </w:rPr>
        <w:t>Our operations are vulnerable to interruption by fire, earthquakes, power loss, telecommunications failure, terrorist activity, pandemics and other events beyond our control, which could harm our business.</w:t>
      </w:r>
    </w:p>
    <w:p>
      <w:pPr>
        <w:spacing w:after="0" w:line="7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231F20"/>
        </w:rPr>
        <w:t>Our facilities are located in the San Francisco Bay Area. We have not undertaken a systematic analysis of the potential consequences to our business and financial results from a major flood, blizzard, wildfire, earthquake,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variety of risks associated with marketing our product candidates internationally could materially adversely affect our business.</w:t>
      </w:r>
    </w:p>
    <w:p>
      <w:pPr>
        <w:spacing w:after="0" w:line="131"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231F20"/>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5" w:lineRule="exact"/>
        <w:rPr>
          <w:sz w:val="20"/>
          <w:szCs w:val="20"/>
          <w:color w:val="auto"/>
        </w:rPr>
      </w:pPr>
    </w:p>
    <w:p>
      <w:pPr>
        <w:ind w:left="880" w:hanging="373"/>
        <w:spacing w:after="0"/>
        <w:tabs>
          <w:tab w:leader="none" w:pos="88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231F20"/>
        </w:rPr>
        <w:t>differing regulatory requirements and reimbursement regimes in foreign countries;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231F20"/>
        </w:rPr>
        <w:t>unexpected changes in tariffs, trade barriers, price and exchange controls and other regulatory requirements;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1"/>
        </w:numPr>
        <w:rPr>
          <w:rFonts w:ascii="Arial" w:cs="Arial" w:eastAsia="Arial" w:hAnsi="Arial"/>
          <w:sz w:val="25"/>
          <w:szCs w:val="25"/>
          <w:color w:val="231F20"/>
          <w:vertAlign w:val="superscript"/>
        </w:rPr>
      </w:pPr>
      <w:r>
        <w:rPr>
          <w:rFonts w:ascii="Arial" w:cs="Arial" w:eastAsia="Arial" w:hAnsi="Arial"/>
          <w:sz w:val="18"/>
          <w:szCs w:val="18"/>
          <w:color w:val="231F20"/>
        </w:rPr>
        <w:t>economic weakness, including inflation, or political instability in particular foreign economies and markets;</w:t>
      </w:r>
    </w:p>
    <w:p>
      <w:pPr>
        <w:spacing w:after="0" w:line="99" w:lineRule="exact"/>
        <w:rPr>
          <w:rFonts w:ascii="Arial" w:cs="Arial" w:eastAsia="Arial" w:hAnsi="Arial"/>
          <w:sz w:val="25"/>
          <w:szCs w:val="25"/>
          <w:color w:val="231F20"/>
          <w:vertAlign w:val="superscript"/>
        </w:rPr>
      </w:pPr>
    </w:p>
    <w:p>
      <w:pPr>
        <w:ind w:left="880" w:hanging="373"/>
        <w:spacing w:after="0" w:line="199" w:lineRule="auto"/>
        <w:tabs>
          <w:tab w:leader="none" w:pos="88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231F20"/>
        </w:rPr>
        <w:t>compliance with tax, employment, immigration and labor laws for employees living or traveling abroad;</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231F20"/>
        </w:rPr>
        <w:t>foreign taxes, including withholding of payroll taxes;</w:t>
      </w:r>
    </w:p>
    <w:p>
      <w:pPr>
        <w:spacing w:after="0" w:line="107" w:lineRule="exact"/>
        <w:rPr>
          <w:rFonts w:ascii="Arial" w:cs="Arial" w:eastAsia="Arial" w:hAnsi="Arial"/>
          <w:sz w:val="25"/>
          <w:szCs w:val="25"/>
          <w:color w:val="auto"/>
          <w:vertAlign w:val="superscript"/>
        </w:rPr>
      </w:pPr>
    </w:p>
    <w:p>
      <w:pPr>
        <w:ind w:left="880" w:right="100" w:hanging="373"/>
        <w:spacing w:after="0" w:line="216" w:lineRule="auto"/>
        <w:tabs>
          <w:tab w:leader="none" w:pos="88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5" w:name="page66"/>
    <w:bookmarkEnd w:id="65"/>
    <w:p>
      <w:pPr>
        <w:ind w:left="880" w:hanging="373"/>
        <w:spacing w:after="0"/>
        <w:tabs>
          <w:tab w:leader="none" w:pos="88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231F20"/>
        </w:rPr>
        <w:t>difficulties staffing and managing foreign operations;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231F20"/>
        </w:rPr>
        <w:t>workforce uncertainty in countries where labor unrest is more common than in the United States;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231F20"/>
        </w:rPr>
        <w:t>potential liability under the FCPA or comparable foreign regulations;</w:t>
      </w:r>
    </w:p>
    <w:p>
      <w:pPr>
        <w:spacing w:after="0" w:line="107" w:lineRule="exact"/>
        <w:rPr>
          <w:rFonts w:ascii="Arial" w:cs="Arial" w:eastAsia="Arial" w:hAnsi="Arial"/>
          <w:sz w:val="25"/>
          <w:szCs w:val="25"/>
          <w:color w:val="auto"/>
          <w:vertAlign w:val="superscript"/>
        </w:rPr>
      </w:pPr>
    </w:p>
    <w:p>
      <w:pPr>
        <w:ind w:left="880" w:right="420" w:hanging="373"/>
        <w:spacing w:after="0" w:line="227" w:lineRule="auto"/>
        <w:tabs>
          <w:tab w:leader="none" w:pos="880" w:val="left"/>
        </w:tabs>
        <w:numPr>
          <w:ilvl w:val="0"/>
          <w:numId w:val="42"/>
        </w:numPr>
        <w:rPr>
          <w:rFonts w:ascii="Arial" w:cs="Arial" w:eastAsia="Arial" w:hAnsi="Arial"/>
          <w:sz w:val="24"/>
          <w:szCs w:val="24"/>
          <w:color w:val="auto"/>
          <w:vertAlign w:val="superscript"/>
        </w:rPr>
      </w:pPr>
      <w:r>
        <w:rPr>
          <w:rFonts w:ascii="Arial" w:cs="Arial" w:eastAsia="Arial" w:hAnsi="Arial"/>
          <w:sz w:val="17"/>
          <w:szCs w:val="17"/>
          <w:color w:val="231F20"/>
        </w:rPr>
        <w:t>challenges obtaining, maintaining, protecting, defending and enforcing our contractual and intellectual property rights, especially in those foreign countries that do not respect and protect intellectual property rights to the same extent as the United States;</w:t>
      </w:r>
    </w:p>
    <w:p>
      <w:pPr>
        <w:spacing w:after="0" w:line="36" w:lineRule="exact"/>
        <w:rPr>
          <w:rFonts w:ascii="Arial" w:cs="Arial" w:eastAsia="Arial" w:hAnsi="Arial"/>
          <w:sz w:val="24"/>
          <w:szCs w:val="24"/>
          <w:color w:val="auto"/>
          <w:vertAlign w:val="superscript"/>
        </w:rPr>
      </w:pPr>
    </w:p>
    <w:p>
      <w:pPr>
        <w:ind w:left="880" w:hanging="373"/>
        <w:spacing w:after="0"/>
        <w:tabs>
          <w:tab w:leader="none" w:pos="88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231F20"/>
        </w:rPr>
        <w:t>business interruptions resulting from geo-political actions, including war and terrorism.</w:t>
      </w:r>
    </w:p>
    <w:p>
      <w:pPr>
        <w:spacing w:after="0" w:line="243"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231F20"/>
        </w:rPr>
        <w:t>These and other risks associated with our international operations may materially adversely affect our ability to attain or maintain profitable operations.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Intellectual Property</w:t>
      </w:r>
    </w:p>
    <w:p>
      <w:pPr>
        <w:spacing w:after="0" w:line="13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b w:val="1"/>
          <w:bCs w:val="1"/>
          <w:i w:val="1"/>
          <w:iCs w:val="1"/>
          <w:color w:val="231F20"/>
        </w:rPr>
        <w:t>We have in-licensed one issued U.S. patent, own one issued U.S. patent, and own one allowed U.S. patent application relating to our technology and product candidates. 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63"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231F20"/>
        </w:rPr>
        <w:t>Our commercial success depends in large part on our ability to obtain, maintain, protect, defend and enforce patents, trade secrets and other intellectual property for our product candidates and proprietary technologies and their uses, as well as our ability to operate without infringing, misappropriating or otherwise violating the intellectual property and proprietary rights of others. We rely on patent, copyright, trade secret and trademark laws in the United States and certain other countries to protect our proprietary technology, and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 but the efforts we and our licensors take to protect our intellectual property may provide only limited protection. In particular, the development of our product candidates and technology is at an early stage and consequently, our patent portfolio is also at an early stage. Presently, we own one issued U.S. patent, one allowed U.S. patent application and one other pending non-provisional U.S. patent application, seven non- expired Patent Cooperation Treaty (“PCT”) applications, nine pending foreign patent applications and at least five pending provisional U.S. patent applications. There can be no assurance that we or our licensors will obtain any additional issued patents or that any issued patents we or our licensors obtain will provide us with any competitive advantage. Any failure to obtain adequate patent protection for our product candidates and technology would have a material adverse effect on our business, financial condition, results of operations and prospects.</w:t>
      </w:r>
    </w:p>
    <w:p>
      <w:pPr>
        <w:spacing w:after="0" w:line="213"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231F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infringed, designed around, or invalidated by third parties.</w:t>
      </w:r>
    </w:p>
    <w:p>
      <w:pPr>
        <w:spacing w:after="0" w:line="215"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231F20"/>
        </w:rPr>
        <w:t>Even issued patents may later be found invalid or unenforceable or may be modified, narrowed in scope, or revoked in proceedings instituted by third parties before various patent offices or in courts in the United States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w:t>
      </w:r>
    </w:p>
    <w:p>
      <w:pPr>
        <w:spacing w:after="0" w:line="203"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231F20"/>
        </w:rPr>
        <w:t>We cannot be certain that the claims in our U.S. pending patent applications, corresponding international patent applications and patent applications in certain foreign jurisdictions, or those of our licensors, will be considered patentable by the United States Patent and Trademark Office (“USPTO”), courts in the United States or by the patent offices and courts in foreign countries, nor can we be certain that any issued claims will not be found invalid or unenforceable if challenged. Additionally, our provisional applications may never result in issued patents. A U.S. provisional patent application expires twelve months from its filing date, and its subject matter can only be claimed in an issued patent if, among other things, we file a non-provisional patent application making a valid priority claim to that provisional patent application before it expires. If we do not timely file a non-provisional patent application, we may lose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66" w:name="page67"/>
    <w:bookmarkEnd w:id="66"/>
    <w:p>
      <w:pPr>
        <w:spacing w:after="0" w:line="287" w:lineRule="auto"/>
        <w:rPr>
          <w:sz w:val="20"/>
          <w:szCs w:val="20"/>
          <w:color w:val="auto"/>
        </w:rPr>
      </w:pPr>
      <w:r>
        <w:rPr>
          <w:rFonts w:ascii="Arial" w:cs="Arial" w:eastAsia="Arial" w:hAnsi="Arial"/>
          <w:sz w:val="16"/>
          <w:szCs w:val="16"/>
          <w:color w:val="231F20"/>
        </w:rPr>
        <w:t>the benefit of the priority dates of our provisional patent application, and intervening prior art may jeopardize patent protection on the inventions disclosed in such a provisional patent application. While we intend to timely file non-provisional patent applications claiming the benefit of the priority dates of our provisional patent applications, and otherwise diligently prosecute our patent rights, we cannot predict whether any of our future patent applications for our technology and product candidates will result in the issuance of patents that effectively protect our technology and product candidates. Additionally, our owned pending PCT patent applications are not eligible to become issued patents until, among other things, we file a national stage patent application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If we or our licensors do not successfully obtain patent protection, or if the scope of the patent protection we or our licensors obtain is not sufficiently broad, valid, and enforceable, we may be unable to prevent others from using our technology, developing or commercializing similar or identical technology and products, or marketing competing products and technologies. Any failure to obtain or maintain patent protection with respect to our technology and product candidates would have a material adverse effect on our business, financial condition, results of operations and prospects.</w:t>
      </w:r>
    </w:p>
    <w:p>
      <w:pPr>
        <w:spacing w:after="0" w:line="199"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231F20"/>
        </w:rPr>
        <w:t>The patent application process is subject to numerous risks and uncertainties, and there can be no assurance that we or any of our potential future licensors or collaborators will be successful in protecting our product candidates by obtaining and defending adequate patent coverage. These risks and uncertainties include the following:</w:t>
      </w:r>
    </w:p>
    <w:p>
      <w:pPr>
        <w:spacing w:after="0" w:line="76" w:lineRule="exact"/>
        <w:rPr>
          <w:sz w:val="20"/>
          <w:szCs w:val="20"/>
          <w:color w:val="auto"/>
        </w:rPr>
      </w:pPr>
    </w:p>
    <w:p>
      <w:pPr>
        <w:jc w:val="both"/>
        <w:ind w:left="880" w:right="60" w:hanging="373"/>
        <w:spacing w:after="0" w:line="226" w:lineRule="auto"/>
        <w:tabs>
          <w:tab w:leader="none" w:pos="88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38"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231F20"/>
        </w:rPr>
        <w:t>patent applications may not result in any patents being issued;</w:t>
      </w:r>
    </w:p>
    <w:p>
      <w:pPr>
        <w:spacing w:after="0" w:line="107" w:lineRule="exact"/>
        <w:rPr>
          <w:rFonts w:ascii="Arial" w:cs="Arial" w:eastAsia="Arial" w:hAnsi="Arial"/>
          <w:sz w:val="25"/>
          <w:szCs w:val="25"/>
          <w:color w:val="auto"/>
          <w:vertAlign w:val="superscript"/>
        </w:rPr>
      </w:pPr>
    </w:p>
    <w:p>
      <w:pPr>
        <w:ind w:left="880" w:right="120" w:hanging="373"/>
        <w:spacing w:after="0" w:line="216" w:lineRule="auto"/>
        <w:tabs>
          <w:tab w:leader="none" w:pos="880" w:val="left"/>
        </w:tabs>
        <w:numPr>
          <w:ilvl w:val="0"/>
          <w:numId w:val="43"/>
        </w:numPr>
        <w:rPr>
          <w:rFonts w:ascii="Arial" w:cs="Arial" w:eastAsia="Arial" w:hAnsi="Arial"/>
          <w:sz w:val="25"/>
          <w:szCs w:val="25"/>
          <w:color w:val="231F20"/>
          <w:vertAlign w:val="superscript"/>
        </w:rPr>
      </w:pPr>
      <w:r>
        <w:rPr>
          <w:rFonts w:ascii="Arial" w:cs="Arial" w:eastAsia="Arial" w:hAnsi="Arial"/>
          <w:sz w:val="18"/>
          <w:szCs w:val="18"/>
          <w:color w:val="231F20"/>
        </w:rPr>
        <w:t>patents may be challenged, invalidated, modified, revoked, circumvented, found to be unenforceable, narrowed in scope or otherwise may not provide any competitive advantage;</w:t>
      </w:r>
    </w:p>
    <w:p>
      <w:pPr>
        <w:spacing w:after="0" w:line="94" w:lineRule="exact"/>
        <w:rPr>
          <w:rFonts w:ascii="Arial" w:cs="Arial" w:eastAsia="Arial" w:hAnsi="Arial"/>
          <w:sz w:val="25"/>
          <w:szCs w:val="25"/>
          <w:color w:val="231F20"/>
          <w:vertAlign w:val="superscript"/>
        </w:rPr>
      </w:pPr>
    </w:p>
    <w:p>
      <w:pPr>
        <w:ind w:left="880" w:right="80" w:hanging="373"/>
        <w:spacing w:after="0" w:line="226" w:lineRule="auto"/>
        <w:tabs>
          <w:tab w:leader="none" w:pos="880" w:val="left"/>
        </w:tabs>
        <w:numPr>
          <w:ilvl w:val="0"/>
          <w:numId w:val="43"/>
        </w:numPr>
        <w:rPr>
          <w:rFonts w:ascii="Arial" w:cs="Arial" w:eastAsia="Arial" w:hAnsi="Arial"/>
          <w:sz w:val="25"/>
          <w:szCs w:val="25"/>
          <w:color w:val="231F20"/>
          <w:vertAlign w:val="superscript"/>
        </w:rPr>
      </w:pPr>
      <w:r>
        <w:rPr>
          <w:rFonts w:ascii="Arial" w:cs="Arial" w:eastAsia="Arial" w:hAnsi="Arial"/>
          <w:sz w:val="18"/>
          <w:szCs w:val="18"/>
          <w:color w:val="231F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95" w:lineRule="exact"/>
        <w:rPr>
          <w:rFonts w:ascii="Arial" w:cs="Arial" w:eastAsia="Arial" w:hAnsi="Arial"/>
          <w:sz w:val="25"/>
          <w:szCs w:val="25"/>
          <w:color w:val="231F20"/>
          <w:vertAlign w:val="superscript"/>
        </w:rPr>
      </w:pPr>
    </w:p>
    <w:p>
      <w:pPr>
        <w:ind w:left="880" w:right="280" w:hanging="373"/>
        <w:spacing w:after="0" w:line="226" w:lineRule="auto"/>
        <w:tabs>
          <w:tab w:leader="none" w:pos="88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231F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95" w:lineRule="exact"/>
        <w:rPr>
          <w:rFonts w:ascii="Arial" w:cs="Arial" w:eastAsia="Arial" w:hAnsi="Arial"/>
          <w:sz w:val="25"/>
          <w:szCs w:val="25"/>
          <w:color w:val="auto"/>
          <w:vertAlign w:val="superscript"/>
        </w:rPr>
      </w:pPr>
    </w:p>
    <w:p>
      <w:pPr>
        <w:ind w:left="880" w:right="420" w:hanging="373"/>
        <w:spacing w:after="0" w:line="226" w:lineRule="auto"/>
        <w:tabs>
          <w:tab w:leader="none" w:pos="88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231F20"/>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spacing w:after="0" w:line="230"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231F20"/>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disclosures in the public domain.</w:t>
      </w:r>
    </w:p>
    <w:p>
      <w:pPr>
        <w:spacing w:after="0" w:line="215"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231F20"/>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Consequently, we may not be able to prevent any third parties, including our competitors, from using any of our technology that is in the public domain to compete with our technology and product candidates.</w:t>
      </w:r>
    </w:p>
    <w:p>
      <w:pPr>
        <w:spacing w:after="0" w:line="203"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231F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7" w:name="page68"/>
    <w:bookmarkEnd w:id="67"/>
    <w:p>
      <w:pPr>
        <w:ind w:right="40"/>
        <w:spacing w:after="0" w:line="277" w:lineRule="auto"/>
        <w:rPr>
          <w:sz w:val="20"/>
          <w:szCs w:val="20"/>
          <w:color w:val="auto"/>
        </w:rPr>
      </w:pPr>
      <w:r>
        <w:rPr>
          <w:rFonts w:ascii="Arial" w:cs="Arial" w:eastAsia="Arial" w:hAnsi="Arial"/>
          <w:sz w:val="18"/>
          <w:szCs w:val="18"/>
          <w:b w:val="1"/>
          <w:bCs w:val="1"/>
          <w:i w:val="1"/>
          <w:iCs w:val="1"/>
          <w:color w:val="231F20"/>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76"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231F20"/>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 or otherwise provide any commercial advantage.</w:t>
      </w:r>
    </w:p>
    <w:p>
      <w:pPr>
        <w:spacing w:after="0" w:line="198" w:lineRule="exact"/>
        <w:rPr>
          <w:sz w:val="20"/>
          <w:szCs w:val="20"/>
          <w:color w:val="auto"/>
        </w:rPr>
      </w:pPr>
    </w:p>
    <w:p>
      <w:pPr>
        <w:ind w:right="100" w:firstLine="510"/>
        <w:spacing w:after="0" w:line="288" w:lineRule="auto"/>
        <w:rPr>
          <w:sz w:val="20"/>
          <w:szCs w:val="20"/>
          <w:color w:val="auto"/>
        </w:rPr>
      </w:pPr>
      <w:r>
        <w:rPr>
          <w:rFonts w:ascii="Arial" w:cs="Arial" w:eastAsia="Arial" w:hAnsi="Arial"/>
          <w:sz w:val="16"/>
          <w:szCs w:val="16"/>
          <w:color w:val="231F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 Our competitors or other third parties may be able to circumvent our potential future patents or the patents of our licensors by developing similar or alternative technologies or products in a non-infringing manner which could materially adversely affect our business, financial condition, results of operations and prospects.</w:t>
      </w:r>
    </w:p>
    <w:p>
      <w:pPr>
        <w:spacing w:after="0" w:line="195"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231F20"/>
        </w:rPr>
        <w:t>While we believe our intellectual property allows us to pursue our current development programs, several companies and academic institutions are pursuing alternate approaches to gene therapy and have built intellectual property around these approaches and methods. In addition, we may not be aware of all third-party intellectual property rights potentially relating to our technology and product candidates. Publications of discoveries in the scientific literature often lag the actual discoveries, and patent applications in the United States and other jurisdictions are typically not published until 18 months after filing or, in some cases, not at all. Therefore, we cannot be certain that we were the first to make the inventions claimed in any owned or any licensed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Furthermore, applications filed before November 29, 2000 and certain applications filed after that date that will not be filed outside the United States may remain confidential until a patent issues.</w:t>
      </w:r>
    </w:p>
    <w:p>
      <w:pPr>
        <w:spacing w:after="0" w:line="193" w:lineRule="exact"/>
        <w:rPr>
          <w:sz w:val="20"/>
          <w:szCs w:val="20"/>
          <w:color w:val="auto"/>
        </w:rPr>
      </w:pPr>
    </w:p>
    <w:p>
      <w:pPr>
        <w:ind w:right="40" w:firstLine="510"/>
        <w:spacing w:after="0" w:line="267" w:lineRule="auto"/>
        <w:rPr>
          <w:sz w:val="20"/>
          <w:szCs w:val="20"/>
          <w:color w:val="auto"/>
        </w:rPr>
      </w:pPr>
      <w:r>
        <w:rPr>
          <w:rFonts w:ascii="Arial" w:cs="Arial" w:eastAsia="Arial" w:hAnsi="Arial"/>
          <w:sz w:val="17"/>
          <w:szCs w:val="17"/>
          <w:color w:val="231F20"/>
        </w:rPr>
        <w:t>The issuance of a patent is not conclusive as to its inventorship, scope, validity or enforceability, and the inventorship, scope, validity or enforceability of our potential future patents or the patents of our licensors may be challenged in the courts or patent offices in the United States and abroad. For example, we may be subject to a third-party pre-issuance submission of prior art to the USPTO, or become involved in opposition, derivation, revocation, reexamination, post-grant review (“PGR”) and inter partes review (“IPR”), or other similar proceedings challenging any patents that we may own or in-license. Such submissions may also be made prior to a patent’s issuance, precluding the granting of a patent based on one of our owned or licensed pending patent applications. A third party may also claim that our potential future owned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potential future owned patents or licensed patent rights, allow third parties to commercialize our product candidates and compete directly with us, without payment to us, or result in our inability to manufacture or commercialize products without infringing third-party patent rights. Moreover, our potential future patents or the patents of our licensors may become subject to post-grant challenge proceedings, such as oppositions in a foreign patent office, that challenge our priority of invention or other features of patentability with respect to our potential future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potential future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231F20"/>
        </w:rPr>
        <w:t>Intellectual property rights do not necessarily address all potential threats to our competitive advantage.</w:t>
      </w:r>
    </w:p>
    <w:p>
      <w:pPr>
        <w:spacing w:after="0" w:line="131" w:lineRule="exact"/>
        <w:rPr>
          <w:sz w:val="20"/>
          <w:szCs w:val="20"/>
          <w:color w:val="auto"/>
        </w:rPr>
      </w:pPr>
    </w:p>
    <w:p>
      <w:pPr>
        <w:ind w:right="600" w:firstLine="510"/>
        <w:spacing w:after="0" w:line="308" w:lineRule="auto"/>
        <w:rPr>
          <w:sz w:val="20"/>
          <w:szCs w:val="20"/>
          <w:color w:val="auto"/>
        </w:rPr>
      </w:pPr>
      <w:r>
        <w:rPr>
          <w:rFonts w:ascii="Arial" w:cs="Arial" w:eastAsia="Arial" w:hAnsi="Arial"/>
          <w:sz w:val="17"/>
          <w:szCs w:val="17"/>
          <w:color w:val="231F20"/>
        </w:rPr>
        <w:t>The degree of current and future protection afforded by our intellectual property rights is uncertain because intellectual property rights have limitations and may not adequately protect our business or permit us to maintain our competitive advantage. For example:</w:t>
      </w:r>
    </w:p>
    <w:p>
      <w:pPr>
        <w:spacing w:after="0" w:line="38" w:lineRule="exact"/>
        <w:rPr>
          <w:sz w:val="20"/>
          <w:szCs w:val="20"/>
          <w:color w:val="auto"/>
        </w:rPr>
      </w:pPr>
    </w:p>
    <w:p>
      <w:pPr>
        <w:ind w:left="880" w:right="800" w:hanging="373"/>
        <w:spacing w:after="0" w:line="216" w:lineRule="auto"/>
        <w:tabs>
          <w:tab w:leader="none" w:pos="880" w:val="left"/>
        </w:tabs>
        <w:numPr>
          <w:ilvl w:val="0"/>
          <w:numId w:val="44"/>
        </w:numPr>
        <w:rPr>
          <w:rFonts w:ascii="Arial" w:cs="Arial" w:eastAsia="Arial" w:hAnsi="Arial"/>
          <w:sz w:val="25"/>
          <w:szCs w:val="25"/>
          <w:color w:val="231F20"/>
          <w:vertAlign w:val="superscript"/>
        </w:rPr>
      </w:pPr>
      <w:r>
        <w:rPr>
          <w:rFonts w:ascii="Arial" w:cs="Arial" w:eastAsia="Arial" w:hAnsi="Arial"/>
          <w:sz w:val="18"/>
          <w:szCs w:val="18"/>
          <w:color w:val="231F20"/>
        </w:rPr>
        <w:t>others may be able to develop products that are similar to our product candidates but that are not covered by the claims of the patent applications that we own or license;</w:t>
      </w:r>
    </w:p>
    <w:p>
      <w:pPr>
        <w:spacing w:after="0" w:line="94" w:lineRule="exact"/>
        <w:rPr>
          <w:rFonts w:ascii="Arial" w:cs="Arial" w:eastAsia="Arial" w:hAnsi="Arial"/>
          <w:sz w:val="25"/>
          <w:szCs w:val="25"/>
          <w:color w:val="231F20"/>
          <w:vertAlign w:val="superscript"/>
        </w:rPr>
      </w:pPr>
    </w:p>
    <w:p>
      <w:pPr>
        <w:ind w:left="880" w:right="220" w:hanging="373"/>
        <w:spacing w:after="0" w:line="216" w:lineRule="auto"/>
        <w:tabs>
          <w:tab w:leader="none" w:pos="88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231F20"/>
        </w:rPr>
        <w:t>we or our current or future licensors or collaborators might not have been the first to make the inventions covered by the patent applications that we own or license now or may own or license in the future;</w:t>
      </w:r>
    </w:p>
    <w:p>
      <w:pPr>
        <w:spacing w:after="0" w:line="72"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231F20"/>
        </w:rPr>
        <w:t>we or our current or future licensors or collaborators might not have been the first to file patent applications covering certain of our inventions;</w:t>
      </w:r>
    </w:p>
    <w:p>
      <w:pPr>
        <w:spacing w:after="0" w:line="107" w:lineRule="exact"/>
        <w:rPr>
          <w:rFonts w:ascii="Arial" w:cs="Arial" w:eastAsia="Arial" w:hAnsi="Arial"/>
          <w:sz w:val="22"/>
          <w:szCs w:val="22"/>
          <w:color w:val="auto"/>
          <w:vertAlign w:val="superscript"/>
        </w:rPr>
      </w:pPr>
    </w:p>
    <w:p>
      <w:pPr>
        <w:ind w:left="880" w:right="200" w:hanging="373"/>
        <w:spacing w:after="0" w:line="216" w:lineRule="auto"/>
        <w:tabs>
          <w:tab w:leader="none" w:pos="88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231F20"/>
        </w:rPr>
        <w:t>it is possible that the pending patent applications we own or license will not lead to issued patents;</w:t>
      </w:r>
    </w:p>
    <w:p>
      <w:pPr>
        <w:spacing w:after="0" w:line="107" w:lineRule="exact"/>
        <w:rPr>
          <w:rFonts w:ascii="Arial" w:cs="Arial" w:eastAsia="Arial" w:hAnsi="Arial"/>
          <w:sz w:val="25"/>
          <w:szCs w:val="25"/>
          <w:color w:val="auto"/>
          <w:vertAlign w:val="superscript"/>
        </w:rPr>
      </w:pPr>
    </w:p>
    <w:p>
      <w:pPr>
        <w:ind w:left="880" w:right="100" w:hanging="373"/>
        <w:spacing w:after="0" w:line="216" w:lineRule="auto"/>
        <w:tabs>
          <w:tab w:leader="none" w:pos="88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231F20"/>
        </w:rPr>
        <w:t>issued patents that we may hold rights to may be held invalid or unenforceable, including as a result of legal challenges by our competitors or other third parties;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231F20"/>
        </w:rPr>
        <w:t>others may have access to the same intellectual property rights licensed to us in the future on a nonexclusive basis;</w:t>
      </w:r>
    </w:p>
    <w:p>
      <w:pPr>
        <w:spacing w:after="0" w:line="107" w:lineRule="exact"/>
        <w:rPr>
          <w:rFonts w:ascii="Arial" w:cs="Arial" w:eastAsia="Arial" w:hAnsi="Arial"/>
          <w:sz w:val="25"/>
          <w:szCs w:val="25"/>
          <w:color w:val="auto"/>
          <w:vertAlign w:val="superscript"/>
        </w:rPr>
      </w:pPr>
    </w:p>
    <w:p>
      <w:pPr>
        <w:ind w:left="880" w:right="800" w:hanging="373"/>
        <w:spacing w:after="0" w:line="227" w:lineRule="auto"/>
        <w:tabs>
          <w:tab w:leader="none" w:pos="880" w:val="left"/>
        </w:tabs>
        <w:numPr>
          <w:ilvl w:val="0"/>
          <w:numId w:val="44"/>
        </w:numPr>
        <w:rPr>
          <w:rFonts w:ascii="Arial" w:cs="Arial" w:eastAsia="Arial" w:hAnsi="Arial"/>
          <w:sz w:val="24"/>
          <w:szCs w:val="24"/>
          <w:color w:val="auto"/>
          <w:vertAlign w:val="superscript"/>
        </w:rPr>
      </w:pPr>
      <w:r>
        <w:rPr>
          <w:rFonts w:ascii="Arial" w:cs="Arial" w:eastAsia="Arial" w:hAnsi="Arial"/>
          <w:sz w:val="17"/>
          <w:szCs w:val="17"/>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6" w:lineRule="exact"/>
        <w:rPr>
          <w:rFonts w:ascii="Arial" w:cs="Arial" w:eastAsia="Arial" w:hAnsi="Arial"/>
          <w:sz w:val="24"/>
          <w:szCs w:val="24"/>
          <w:color w:val="auto"/>
          <w:vertAlign w:val="superscript"/>
        </w:rPr>
      </w:pPr>
    </w:p>
    <w:p>
      <w:pPr>
        <w:ind w:left="880" w:hanging="373"/>
        <w:spacing w:after="0"/>
        <w:tabs>
          <w:tab w:leader="none" w:pos="88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231F20"/>
        </w:rPr>
        <w:t>we may not develop additional proprietary technologies that are patentable;</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231F20"/>
        </w:rPr>
        <w:t>the patents of others may have an adverse effect on our business; and</w:t>
      </w:r>
    </w:p>
    <w:p>
      <w:pPr>
        <w:spacing w:after="0" w:line="107" w:lineRule="exact"/>
        <w:rPr>
          <w:rFonts w:ascii="Arial" w:cs="Arial" w:eastAsia="Arial" w:hAnsi="Arial"/>
          <w:sz w:val="25"/>
          <w:szCs w:val="25"/>
          <w:color w:val="auto"/>
          <w:vertAlign w:val="superscript"/>
        </w:rPr>
      </w:pPr>
    </w:p>
    <w:p>
      <w:pPr>
        <w:ind w:left="880" w:right="320" w:hanging="373"/>
        <w:spacing w:after="0" w:line="216" w:lineRule="auto"/>
        <w:tabs>
          <w:tab w:leader="none" w:pos="88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231F20"/>
        </w:rPr>
        <w:t>we may choose not to file a patent in order to maintain certain trade secrets or know-how, and a third- party may subsequently file a patent covering such intellectual property.</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Should any of these events occur, it could significantly harm our business, results of operations and prospects.</w:t>
      </w:r>
    </w:p>
    <w:p>
      <w:pPr>
        <w:spacing w:after="0" w:line="36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231F20"/>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77"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231F20"/>
        </w:rPr>
        <w:t>Our commercial success depends in part on avoiding infringement, misappropriation or other violation of the patents, intellectual property and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biotechnology industry, including patent infringement lawsuits, oppositions, reexaminations, IPR proceedings and PGR proceedings before the USPTO and corresponding foreign patent offices. Numerous third-party U.S. and foreign issued patents and pending patent applications exist in the fields in which we are developing product candidates. There are and in the future may be third-party patents or patent applications with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spacing w:after="0" w:line="209"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231F20"/>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 not infringed. However, if such third-party patent rights were asserted against us and found to be valid, enforceable and infringed, we could be liable for damages and be required to obtain a license to such patent rights prior to commercializing TN-201 in the United States,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to such assertions, however such defenses may not be successful and we could be liable for damages and need to secure a license to such patent rights, which may not be available on commercially reasonable terms or</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69" w:name="page70"/>
    <w:bookmarkEnd w:id="69"/>
    <w:p>
      <w:pPr>
        <w:ind w:right="80"/>
        <w:spacing w:after="0" w:line="277" w:lineRule="auto"/>
        <w:rPr>
          <w:sz w:val="20"/>
          <w:szCs w:val="20"/>
          <w:color w:val="auto"/>
        </w:rPr>
      </w:pPr>
      <w:r>
        <w:rPr>
          <w:rFonts w:ascii="Arial" w:cs="Arial" w:eastAsia="Arial" w:hAnsi="Arial"/>
          <w:sz w:val="18"/>
          <w:szCs w:val="18"/>
          <w:color w:val="231F20"/>
        </w:rPr>
        <w:t>at all. In the event any of the foregoing were to occur, we may be prevented from further developing and commercializing any affected product candidates, including TN-201.</w:t>
      </w:r>
    </w:p>
    <w:p>
      <w:pPr>
        <w:spacing w:after="0" w:line="19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231F20"/>
        </w:rPr>
        <w:t>As the biotechnology industry expands and more patents are issued, the risk increases that our product candidates may be subject to claims of infringement, misappropriation or other violation of the patent or other intellectual property rights of third parties. If any third-party claims that we infringe any of the above-referenced patent rights or any other patent rights, such claims would be time consuming and could:</w:t>
      </w:r>
    </w:p>
    <w:p>
      <w:pPr>
        <w:spacing w:after="0" w:line="18" w:lineRule="exact"/>
        <w:rPr>
          <w:sz w:val="20"/>
          <w:szCs w:val="20"/>
          <w:color w:val="auto"/>
        </w:rPr>
      </w:pPr>
    </w:p>
    <w:p>
      <w:pPr>
        <w:ind w:left="880" w:hanging="373"/>
        <w:spacing w:after="0"/>
        <w:tabs>
          <w:tab w:leader="none" w:pos="88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231F20"/>
        </w:rPr>
        <w:t>result in costly litigation that may cause negative publicity;</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231F20"/>
        </w:rPr>
        <w:t>divert the time and attention of our technical personnel and management;</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231F20"/>
        </w:rPr>
        <w:t>cause development delays;</w:t>
      </w:r>
    </w:p>
    <w:p>
      <w:pPr>
        <w:spacing w:after="0" w:line="107" w:lineRule="exact"/>
        <w:rPr>
          <w:rFonts w:ascii="Arial" w:cs="Arial" w:eastAsia="Arial" w:hAnsi="Arial"/>
          <w:sz w:val="25"/>
          <w:szCs w:val="25"/>
          <w:color w:val="auto"/>
          <w:vertAlign w:val="superscript"/>
        </w:rPr>
      </w:pPr>
    </w:p>
    <w:p>
      <w:pPr>
        <w:ind w:left="880" w:right="200" w:hanging="373"/>
        <w:spacing w:after="0" w:line="216" w:lineRule="auto"/>
        <w:tabs>
          <w:tab w:leader="none" w:pos="88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231F20"/>
        </w:rPr>
        <w:t>prevent us from commercializing any of our product candidates until the asserted patent expires or is held finally invalid or not infringed in a court of law;</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231F20"/>
        </w:rPr>
        <w:t>require us to develop non-infringing technology, which may not be possible on a cost-effective basis;</w:t>
      </w:r>
    </w:p>
    <w:p>
      <w:pPr>
        <w:spacing w:after="0" w:line="107" w:lineRule="exact"/>
        <w:rPr>
          <w:rFonts w:ascii="Arial" w:cs="Arial" w:eastAsia="Arial" w:hAnsi="Arial"/>
          <w:sz w:val="25"/>
          <w:szCs w:val="25"/>
          <w:color w:val="auto"/>
          <w:vertAlign w:val="superscript"/>
        </w:rPr>
      </w:pPr>
    </w:p>
    <w:p>
      <w:pPr>
        <w:ind w:left="880" w:right="660" w:hanging="373"/>
        <w:spacing w:after="0" w:line="216" w:lineRule="auto"/>
        <w:tabs>
          <w:tab w:leader="none" w:pos="88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231F20"/>
        </w:rPr>
        <w:t>subject us to significant liability and damages to third parties, including treble damages if we are found to willfully infringe third-party intellectual property; or</w:t>
      </w:r>
    </w:p>
    <w:p>
      <w:pPr>
        <w:spacing w:after="0" w:line="94" w:lineRule="exact"/>
        <w:rPr>
          <w:rFonts w:ascii="Arial" w:cs="Arial" w:eastAsia="Arial" w:hAnsi="Arial"/>
          <w:sz w:val="25"/>
          <w:szCs w:val="25"/>
          <w:color w:val="auto"/>
          <w:vertAlign w:val="superscript"/>
        </w:rPr>
      </w:pPr>
    </w:p>
    <w:p>
      <w:pPr>
        <w:ind w:left="880" w:right="460" w:hanging="373"/>
        <w:spacing w:after="0" w:line="216" w:lineRule="auto"/>
        <w:tabs>
          <w:tab w:leader="none" w:pos="88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23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231F20"/>
        </w:rPr>
        <w:t>Although no third party has asserted a claim of patent infringement against us as of the date of this periodic report, there can be no assurance that we will not be subject to claims of patent or other intellectual property infringement in the future that could prevent our product candidates from being marketed. Furthermore, we may fail to identify relevant patents or patent applications or may identify pending patent applications of potential interest but incorrectly predict the likelihood that such patent applications may issue with claims of relevance to our technology. In addition, we may incorrectly conclude that a third-party patent is invalid, unenforceable or not infringed by our activities. Additionally,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w:t>
      </w:r>
    </w:p>
    <w:p>
      <w:pPr>
        <w:spacing w:after="0" w:line="18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231F20"/>
        </w:rPr>
        <w:t>Third parties may assert patent infringement claims against us directed at any of our product candidates based on our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In addition, even if we or our future strategic partners were able to obtain a license, the rights may be nonexclusive, which could result in our competitors gaining access to the same intellectual property. Moreover, we cannot be certain that we could redesign our product candidates, treatment indications, or processes to avoid infringement, if necessary, and we could encounter delays in our product introductions while we attempt to develop alternative technology and product candidates to avoid infringing third-party intellectual property rights.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211" w:lineRule="exact"/>
        <w:rPr>
          <w:sz w:val="20"/>
          <w:szCs w:val="20"/>
          <w:color w:val="auto"/>
        </w:rPr>
      </w:pPr>
    </w:p>
    <w:p>
      <w:pPr>
        <w:ind w:right="520" w:firstLine="510"/>
        <w:spacing w:after="0" w:line="308" w:lineRule="auto"/>
        <w:rPr>
          <w:sz w:val="20"/>
          <w:szCs w:val="20"/>
          <w:color w:val="auto"/>
        </w:rPr>
      </w:pPr>
      <w:r>
        <w:rPr>
          <w:rFonts w:ascii="Arial" w:cs="Arial" w:eastAsia="Arial" w:hAnsi="Arial"/>
          <w:sz w:val="17"/>
          <w:szCs w:val="17"/>
          <w:color w:val="231F20"/>
        </w:rPr>
        <w:t>Parties making claims against us may be able to sustain the costs of complex patent litigation more effectively than we can because they have substantially greater resources. Furthermore, because of the substantial amount of discovery required in connection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ind w:right="160"/>
        <w:spacing w:after="0" w:line="286" w:lineRule="auto"/>
        <w:rPr>
          <w:sz w:val="20"/>
          <w:szCs w:val="20"/>
          <w:color w:val="auto"/>
        </w:rPr>
      </w:pPr>
      <w:r>
        <w:rPr>
          <w:rFonts w:ascii="Arial" w:cs="Arial" w:eastAsia="Arial" w:hAnsi="Arial"/>
          <w:sz w:val="17"/>
          <w:szCs w:val="17"/>
          <w:color w:val="231F20"/>
        </w:rPr>
        <w:t>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92" w:lineRule="exact"/>
        <w:rPr>
          <w:sz w:val="20"/>
          <w:szCs w:val="20"/>
          <w:color w:val="auto"/>
        </w:rPr>
      </w:pPr>
    </w:p>
    <w:p>
      <w:pPr>
        <w:ind w:right="160" w:firstLine="510"/>
        <w:spacing w:after="0" w:line="269" w:lineRule="auto"/>
        <w:rPr>
          <w:sz w:val="20"/>
          <w:szCs w:val="20"/>
          <w:color w:val="auto"/>
        </w:rPr>
      </w:pPr>
      <w:r>
        <w:rPr>
          <w:rFonts w:ascii="Arial" w:cs="Arial" w:eastAsia="Arial" w:hAnsi="Arial"/>
          <w:sz w:val="17"/>
          <w:szCs w:val="17"/>
          <w:color w:val="231F20"/>
        </w:rPr>
        <w:t>Because of the inevitable uncertainty in intellectual property litigation, we could lose a patent infringement or other action asserted against us regardless of our perception of the merits of the case. 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p>
    <w:p>
      <w:pPr>
        <w:spacing w:after="0" w:line="21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231F20"/>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193"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31F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may not be successful in obtaining or maintaining necessary rights to our product candidates through acquisitions and in-licenses.</w:t>
      </w:r>
    </w:p>
    <w:p>
      <w:pPr>
        <w:spacing w:after="0" w:line="129"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231F20"/>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future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for future products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1" w:name="page72"/>
    <w:bookmarkEnd w:id="71"/>
    <w:p>
      <w:pPr>
        <w:ind w:right="140"/>
        <w:spacing w:after="0" w:line="375" w:lineRule="auto"/>
        <w:rPr>
          <w:sz w:val="20"/>
          <w:szCs w:val="20"/>
          <w:color w:val="auto"/>
        </w:rPr>
      </w:pPr>
      <w:r>
        <w:rPr>
          <w:rFonts w:ascii="Arial" w:cs="Arial" w:eastAsia="Arial" w:hAnsi="Arial"/>
          <w:sz w:val="15"/>
          <w:szCs w:val="15"/>
          <w:b w:val="1"/>
          <w:bCs w:val="1"/>
          <w:i w:val="1"/>
          <w:iCs w:val="1"/>
          <w:color w:val="231F20"/>
        </w:rPr>
        <w:t>We may be involved in lawsuits to protect or enforce our potential future patents or our licensors’ patents, which could be expensive, time consuming and unsuccessful. Further, our potential future patents or our licensors’ patents could be found invalid or unenforceable if challenged in court.</w:t>
      </w:r>
    </w:p>
    <w:p>
      <w:pPr>
        <w:spacing w:after="0" w:line="1"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231F20"/>
        </w:rPr>
        <w:t>Competitors and other third parties may infringe, misappropriate or otherwise violate our intellectual property rights. To prevent infringement, misappropriation, unauthorized use or other violation, we may be required to file infringement claims, which can be expensive and time-consuming. In addition, our potential future patents also may become involved in inventorship, priority or validity disputes. In a patent infringement proceeding, a court may decide that a patent we may own or in-license is not valid, is unenforceable or is not infringed, or may refuse to stop the other party from using the technology at issue on the grounds that our potential future patents do not cover such technology. If we or any of our potential future collaborators were to initiate legal proceedings against a third party to enforce a patent directed at one of our product candidates, the defendant could counterclaim that our potential future patent or the patent of our licensor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8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231F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or cancellation of or amendment to our potential future patents in such a way that they no longer cover our technology or product candidates or prevent third parties from competing with our technology or product candidates. The outcome following legal assertions of invalidity and unenforceability is unpredictable. With respect to the validity question, for example, we cannot be certain that there is no invalidating prior art, of which we, our licensor, and the patent examiners are unaware during prosecution. There is also no assurance that there is not prior art of which we are aware, but which we do not believe affects the validity or enforceability of a claim in our potential future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proprietary drug discovery platform, or any product candidates that we may develop. Such a loss of patent protection would have a material adverse impact on our business, financial condition, results of operations and prospects.</w:t>
      </w:r>
    </w:p>
    <w:p>
      <w:pPr>
        <w:spacing w:after="0" w:line="209" w:lineRule="exact"/>
        <w:rPr>
          <w:sz w:val="20"/>
          <w:szCs w:val="20"/>
          <w:color w:val="auto"/>
        </w:rPr>
      </w:pPr>
    </w:p>
    <w:p>
      <w:pPr>
        <w:ind w:right="380" w:firstLine="510"/>
        <w:spacing w:after="0" w:line="342" w:lineRule="auto"/>
        <w:rPr>
          <w:sz w:val="20"/>
          <w:szCs w:val="20"/>
          <w:color w:val="auto"/>
        </w:rPr>
      </w:pPr>
      <w:r>
        <w:rPr>
          <w:rFonts w:ascii="Arial" w:cs="Arial" w:eastAsia="Arial" w:hAnsi="Arial"/>
          <w:sz w:val="16"/>
          <w:szCs w:val="16"/>
          <w:color w:val="231F20"/>
        </w:rPr>
        <w:t>In addition, if the breadth or strength of protection provided by our patent applications or the patents and patent applications of our licensors is threatened, it could dissuade companies from collaborating with us to license, develop or commercialize current or future product candidates.</w:t>
      </w:r>
    </w:p>
    <w:p>
      <w:pPr>
        <w:spacing w:after="0" w:line="151"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231F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92"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231F20"/>
        </w:rPr>
        <w:t>In addition, the issuance of a patent does not give us the right to practice the patented invention. Third parties may have blocking patents that could prevent us from marketing our own potential future patented product and practicing our own potential future patented technology.</w:t>
      </w:r>
    </w:p>
    <w:p>
      <w:pPr>
        <w:spacing w:after="0" w:line="2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231F20"/>
        </w:rPr>
        <w:t>Intellectual property litigation may lead to unfavorable publicity that harms our reputation and causes the market price of our common shares to decline.</w:t>
      </w:r>
    </w:p>
    <w:p>
      <w:pPr>
        <w:spacing w:after="0" w:line="76"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231F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72" w:name="page73"/>
    <w:bookmarkEnd w:id="72"/>
    <w:p>
      <w:pPr>
        <w:ind w:right="260"/>
        <w:spacing w:after="0" w:line="277" w:lineRule="auto"/>
        <w:rPr>
          <w:sz w:val="20"/>
          <w:szCs w:val="20"/>
          <w:color w:val="auto"/>
        </w:rPr>
      </w:pPr>
      <w:r>
        <w:rPr>
          <w:rFonts w:ascii="Arial" w:cs="Arial" w:eastAsia="Arial" w:hAnsi="Arial"/>
          <w:sz w:val="18"/>
          <w:szCs w:val="18"/>
          <w:b w:val="1"/>
          <w:bCs w:val="1"/>
          <w:i w:val="1"/>
          <w:iCs w:val="1"/>
          <w:color w:val="231F20"/>
        </w:rPr>
        <w:t>Derivation proceedings may be necessary to determine priority of inventions, and an unfavorable outcome may require us to cease using the related technology or to attempt to license rights from the prevailing party.</w:t>
      </w:r>
    </w:p>
    <w:p>
      <w:pPr>
        <w:spacing w:after="0" w:line="76"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231F20"/>
        </w:rPr>
        <w:t>Derivation proceedings provoked by third parties or brought by us or declared by the USPTO may be necessary to determine the priority of inventions with respect to our patent applications or the patents or patent applications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30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231F20"/>
        </w:rPr>
        <w:t>Changes in U.S. patent law, or laws in other countries, could diminish the value of patents in general, thereby impairing our ability to protect our product candidates.</w:t>
      </w:r>
    </w:p>
    <w:p>
      <w:pPr>
        <w:spacing w:after="0" w:line="62"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231F20"/>
        </w:rPr>
        <w:t>As is the case with other biotechnology and pharmaceutical companies, our success is heavily dependent on intellectual property, particularly patents. Obtaining and enforcing patents in the biotechnology and pharmaceutical industries involve a high degree of technological and legal complexity. Therefore, obtaining and enforcing biotechnology and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potential future patents or in third-party patents. In addition, the U.S. Congress or other foreign legislative bodies may pass patent reform legislation that is unfavorable to us.</w:t>
      </w:r>
    </w:p>
    <w:p>
      <w:pPr>
        <w:spacing w:after="0" w:line="204"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231F20"/>
        </w:rPr>
        <w:t xml:space="preserve">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 inventor-to-file system, allow third-party submission of prior art to the USPTO during patent prosecution and set forth additional procedures to attack the validity of a patent by the USPTO administered post grant proceedings, including post-grant review, </w:t>
      </w:r>
      <w:r>
        <w:rPr>
          <w:rFonts w:ascii="Arial" w:cs="Arial" w:eastAsia="Arial" w:hAnsi="Arial"/>
          <w:sz w:val="16"/>
          <w:szCs w:val="16"/>
          <w:i w:val="1"/>
          <w:iCs w:val="1"/>
          <w:color w:val="231F20"/>
        </w:rPr>
        <w:t>inter partes</w:t>
      </w:r>
      <w:r>
        <w:rPr>
          <w:rFonts w:ascii="Arial" w:cs="Arial" w:eastAsia="Arial" w:hAnsi="Arial"/>
          <w:sz w:val="16"/>
          <w:szCs w:val="16"/>
          <w:color w:val="231F20"/>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Leahy-Smith Act, and many of the substantive changes to patent law associated with the Leahy-Smith Act, and in particular, the first-to-file provisions, became effective in 2013.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 In addition, patent reform legislation may pass in the future that could lead to additional uncertainties and increased costs surrounding the prosecution, enforcement and defense of our patent applications.</w:t>
      </w:r>
    </w:p>
    <w:p>
      <w:pPr>
        <w:spacing w:after="0" w:line="20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231F20"/>
        </w:rPr>
        <w:t>Furthermore, the U.S. Supreme Court and the U.S. Court of Appeals for the Federal Circuit have made, and will likely continue to make, changes in how patent laws in the United States are interpreted.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3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231F20"/>
        </w:rPr>
        <w:t>We may be subject to claims challenging the inventorship or ownership of our owned patent applications or in-licensed patent rights and other intellectual property.</w:t>
      </w:r>
    </w:p>
    <w:p>
      <w:pPr>
        <w:spacing w:after="0" w:line="76"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231F20"/>
        </w:rPr>
        <w:t>We or our licensors may be subject to claims that former employees or other third parties have an ownership interest in our owned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current or future products. Litigation may be necessary to defend against these and other claims challenging inventorship or ownership of our patent applications or our licensors’ owned or in-licensed patents, trade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73" w:name="page74"/>
    <w:bookmarkEnd w:id="73"/>
    <w:p>
      <w:pPr>
        <w:ind w:right="40"/>
        <w:spacing w:after="0" w:line="293" w:lineRule="auto"/>
        <w:rPr>
          <w:sz w:val="20"/>
          <w:szCs w:val="20"/>
          <w:color w:val="auto"/>
        </w:rPr>
      </w:pPr>
      <w:r>
        <w:rPr>
          <w:rFonts w:ascii="Arial" w:cs="Arial" w:eastAsia="Arial" w:hAnsi="Arial"/>
          <w:sz w:val="16"/>
          <w:szCs w:val="16"/>
          <w:color w:val="231F20"/>
        </w:rPr>
        <w:t>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current or future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our reputation or affect our ability to hire employees or contract with independent contractors.</w:t>
      </w:r>
    </w:p>
    <w:p>
      <w:pPr>
        <w:spacing w:after="0" w:line="191"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231F20"/>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Patent terms may be inadequate to protect our competitive position on our product candidates for an adequate amount of time.</w:t>
      </w:r>
    </w:p>
    <w:p>
      <w:pPr>
        <w:spacing w:after="0" w:line="13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231F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do not obtain patent term extension for our product candidates, our business may be materially harmed.</w:t>
      </w:r>
    </w:p>
    <w:p>
      <w:pPr>
        <w:spacing w:after="0" w:line="13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231F20"/>
        </w:rPr>
        <w:t>Depending upon the timing, duration and specifics of FDA marketing approval of our product candidates, one or more of our U.S. patents or those of our licensors may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w:t>
      </w:r>
    </w:p>
    <w:p>
      <w:pPr>
        <w:spacing w:after="0" w:line="204"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231F20"/>
        </w:rPr>
        <w:t>We may not be granted any extensions for which we apply in the United States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 Any of the foregoing could have a material adverse effect on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protect our intellectual property rights throughout the world.</w:t>
      </w:r>
    </w:p>
    <w:p>
      <w:pPr>
        <w:spacing w:after="0" w:line="13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31F20"/>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 where we do pursue patent protection. Consequently, we may not be able to prevent third parties from practicing our or our licensors’ inventions in all countries outside the United States, even in jurisdictions where we or our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4" w:name="page75"/>
    <w:bookmarkEnd w:id="74"/>
    <w:p>
      <w:pPr>
        <w:ind w:right="20"/>
        <w:spacing w:after="0" w:line="257" w:lineRule="auto"/>
        <w:rPr>
          <w:sz w:val="20"/>
          <w:szCs w:val="20"/>
          <w:color w:val="auto"/>
        </w:rPr>
      </w:pPr>
      <w:r>
        <w:rPr>
          <w:rFonts w:ascii="Arial" w:cs="Arial" w:eastAsia="Arial" w:hAnsi="Arial"/>
          <w:sz w:val="18"/>
          <w:szCs w:val="18"/>
          <w:color w:val="231F20"/>
        </w:rPr>
        <w:t>licensors due pursue patent protection,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potential future patents, the patents of our licensors, or other intellectual property rights may not be effective or sufficient to prevent them from competing.</w:t>
      </w:r>
    </w:p>
    <w:p>
      <w:pPr>
        <w:spacing w:after="0" w:line="215"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231F20"/>
        </w:rPr>
        <w:t>Many companies have encountered significant problems in protecting and defending intellectual property rights in foreign jurisdictions. The legal systems of many foreign countries, particularly certain developing countries, do not favor the enforcement of patents, trade secrets and other intellectual property protection, which could make it difficult for us to stop the infringement of our potential future patents or our licensor’s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potential future patents or the patents of our licensors at risk of being invalidated or interpreted narrowly and our patent applications or the patent applications of our licensors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31F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33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89" w:lineRule="exact"/>
        <w:rPr>
          <w:sz w:val="20"/>
          <w:szCs w:val="20"/>
          <w:color w:val="auto"/>
        </w:rPr>
      </w:pPr>
    </w:p>
    <w:p>
      <w:pPr>
        <w:ind w:right="120" w:firstLine="510"/>
        <w:spacing w:after="0" w:line="289" w:lineRule="auto"/>
        <w:rPr>
          <w:sz w:val="20"/>
          <w:szCs w:val="20"/>
          <w:color w:val="auto"/>
        </w:rPr>
      </w:pPr>
      <w:r>
        <w:rPr>
          <w:rFonts w:ascii="Arial" w:cs="Arial" w:eastAsia="Arial" w:hAnsi="Arial"/>
          <w:sz w:val="16"/>
          <w:szCs w:val="16"/>
          <w:color w:val="231F20"/>
        </w:rPr>
        <w:t>Periodic maintenance fees, renewal fees, annuity fees and various other governmental fees on patents and/or patent applications will be due to the USPTO and various foreign patent offices outside of the United States at various points over the lifetime of our potential future patents and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spacing w:after="0" w:line="30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We intend to use registered or unregistered trademarks or trade names to brand and market ourselves and our products, but we do not yet own a U.S. registered trademark for our corporate name, “Tenaya”. Our future trademark applications in the United States and in foreign jurisdictions may not be allowed or may subsequently be opposed.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5" w:name="page76"/>
    <w:bookmarkEnd w:id="75"/>
    <w:p>
      <w:pPr>
        <w:ind w:right="140" w:firstLine="510"/>
        <w:spacing w:after="0" w:line="271" w:lineRule="auto"/>
        <w:rPr>
          <w:sz w:val="20"/>
          <w:szCs w:val="20"/>
          <w:color w:val="auto"/>
        </w:rPr>
      </w:pPr>
      <w:r>
        <w:rPr>
          <w:rFonts w:ascii="Arial" w:cs="Arial" w:eastAsia="Arial" w:hAnsi="Arial"/>
          <w:sz w:val="17"/>
          <w:szCs w:val="17"/>
          <w:color w:val="231F20"/>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would be harmed.</w:t>
      </w:r>
    </w:p>
    <w:p>
      <w:pPr>
        <w:spacing w:after="0" w:line="131"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231F20"/>
        </w:rPr>
        <w:t>In addition to seeking patent protection to protect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and any of these parties may breach such agreements and disclose our proprietary information, including our trade secrets, and we may not be able to obtain adequate remedies for such breaches. We may not be able to prevent the unauthorized disclosure or use of our technical know-how or other trade secrets by the parties to these agreements.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9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Moreover, third parties may still obtain this information or may come upon this or similar information independently, and we would have no right to prevent them from using that technology or information to compete with us.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 We also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3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231F20"/>
        </w:rPr>
        <w:t>We may be subject to claims that we or our employees, consultants, advisors or contractors have wrongfully used or disclosed alleged confidential information or trade secrets.</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212"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231F20"/>
        </w:rPr>
        <w:t>Parties making claims against us may be able to sustain the costs of complex intellectual property litigation more effectively than we can because they have substantially greater resources. Furthermore, because of the substantial amount of discovery required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76" w:name="page77"/>
    <w:bookmarkEnd w:id="76"/>
    <w:p>
      <w:pPr>
        <w:jc w:val="both"/>
        <w:spacing w:after="0" w:line="263" w:lineRule="auto"/>
        <w:rPr>
          <w:sz w:val="20"/>
          <w:szCs w:val="20"/>
          <w:color w:val="auto"/>
        </w:rPr>
      </w:pPr>
      <w:r>
        <w:rPr>
          <w:rFonts w:ascii="Arial" w:cs="Arial" w:eastAsia="Arial" w:hAnsi="Arial"/>
          <w:sz w:val="18"/>
          <w:szCs w:val="18"/>
          <w:color w:val="231F20"/>
        </w:rPr>
        <w:t>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33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231F20"/>
        </w:rPr>
        <w:t>We may be subject to claims that we have wrongfully hired an employee from our competitors or that we or our employees have wrongfully used or disclosed alleged confidential information or trade secrets of their former employers.</w:t>
      </w:r>
    </w:p>
    <w:p>
      <w:pPr>
        <w:spacing w:after="0" w:line="76"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231F20"/>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3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31F20"/>
        </w:rPr>
        <w:t>Our rights to develop and commercialize our technology and product candidates may be subject, in part, to the terms and conditions of licenses granted to us by others.</w:t>
      </w:r>
    </w:p>
    <w:p>
      <w:pPr>
        <w:spacing w:after="0" w:line="76"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231F20"/>
        </w:rPr>
        <w:t>We have entered into a license agreement with UTSW pursuant to which we have acquired the exclusive right to certain patents and patent applications relating to therapeutics overexpressing the peptide named Dwarf Open Reading Frame, and have entered into various other license agreements with other third parties. We may enter into additional license agreements in the future with other third parties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188"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231F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219"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231F20"/>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214"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231F20"/>
        </w:rPr>
        <w:t>Additionally, our licenses may be subject to certain rights of third parties, and, as a result, our current and future licenses may not provide us with exclusive rights to use the licensed intellectual property and technology. For example, the intellectual property we license from UTSW is subject to certain non-commercial rights reserved by UTSW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91"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231F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ind w:right="40"/>
        <w:spacing w:after="0" w:line="277" w:lineRule="auto"/>
        <w:rPr>
          <w:sz w:val="20"/>
          <w:szCs w:val="20"/>
          <w:color w:val="auto"/>
        </w:rPr>
      </w:pPr>
      <w:r>
        <w:rPr>
          <w:rFonts w:ascii="Arial" w:cs="Arial" w:eastAsia="Arial" w:hAnsi="Arial"/>
          <w:sz w:val="18"/>
          <w:szCs w:val="18"/>
          <w:color w:val="231F20"/>
        </w:rPr>
        <w:t>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97"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231F20"/>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current or future licenses terminate, or if the underlying patents fail to provide the intended exclusivity, competitors or other third parties may gain the freedom to seek regulatory approval of, and to market, products identical to ours.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w:t>
      </w:r>
    </w:p>
    <w:p>
      <w:pPr>
        <w:spacing w:after="0" w:line="212"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231F20"/>
        </w:rPr>
        <w:t>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310" w:lineRule="exact"/>
        <w:rPr>
          <w:sz w:val="20"/>
          <w:szCs w:val="20"/>
          <w:color w:val="auto"/>
        </w:rPr>
      </w:pPr>
    </w:p>
    <w:p>
      <w:pPr>
        <w:ind w:right="760"/>
        <w:spacing w:after="0" w:line="375" w:lineRule="auto"/>
        <w:rPr>
          <w:sz w:val="20"/>
          <w:szCs w:val="20"/>
          <w:color w:val="auto"/>
        </w:rPr>
      </w:pPr>
      <w:r>
        <w:rPr>
          <w:rFonts w:ascii="Arial" w:cs="Arial" w:eastAsia="Arial" w:hAnsi="Arial"/>
          <w:sz w:val="15"/>
          <w:szCs w:val="15"/>
          <w:b w:val="1"/>
          <w:bCs w:val="1"/>
          <w:i w:val="1"/>
          <w:iCs w:val="1"/>
          <w:color w:val="231F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231F20"/>
        </w:rPr>
        <w:t>Disputes may arise between us and our current or future licensors regarding intellectual property subject to a license agreement, including:</w:t>
      </w:r>
    </w:p>
    <w:p>
      <w:pPr>
        <w:spacing w:after="0" w:line="71" w:lineRule="exact"/>
        <w:rPr>
          <w:sz w:val="20"/>
          <w:szCs w:val="20"/>
          <w:color w:val="auto"/>
        </w:rPr>
      </w:pPr>
    </w:p>
    <w:p>
      <w:pPr>
        <w:ind w:left="880" w:hanging="373"/>
        <w:spacing w:after="0"/>
        <w:tabs>
          <w:tab w:leader="none" w:pos="88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231F20"/>
        </w:rPr>
        <w:t>the scope of rights granted under the license agreement and other interpretation-related issues;</w:t>
      </w:r>
    </w:p>
    <w:p>
      <w:pPr>
        <w:spacing w:after="0" w:line="107" w:lineRule="exact"/>
        <w:rPr>
          <w:rFonts w:ascii="Arial" w:cs="Arial" w:eastAsia="Arial" w:hAnsi="Arial"/>
          <w:sz w:val="25"/>
          <w:szCs w:val="25"/>
          <w:color w:val="auto"/>
          <w:vertAlign w:val="superscript"/>
        </w:rPr>
      </w:pPr>
    </w:p>
    <w:p>
      <w:pPr>
        <w:ind w:left="880" w:hanging="373"/>
        <w:spacing w:after="0" w:line="216" w:lineRule="auto"/>
        <w:tabs>
          <w:tab w:leader="none" w:pos="88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231F20"/>
        </w:rPr>
        <w:t>whether and the extent to which our technology and processes infringe on intellectual property of the licensor that is not subject to the licensing agreement;</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231F20"/>
        </w:rPr>
        <w:t>our right to sublicense patents and other rights to third parties;</w:t>
      </w:r>
    </w:p>
    <w:p>
      <w:pPr>
        <w:spacing w:after="0" w:line="107" w:lineRule="exact"/>
        <w:rPr>
          <w:rFonts w:ascii="Arial" w:cs="Arial" w:eastAsia="Arial" w:hAnsi="Arial"/>
          <w:sz w:val="25"/>
          <w:szCs w:val="25"/>
          <w:color w:val="auto"/>
          <w:vertAlign w:val="superscript"/>
        </w:rPr>
      </w:pPr>
    </w:p>
    <w:p>
      <w:pPr>
        <w:ind w:left="880" w:right="560" w:hanging="373"/>
        <w:spacing w:after="0" w:line="216" w:lineRule="auto"/>
        <w:tabs>
          <w:tab w:leader="none" w:pos="88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231F20"/>
        </w:rPr>
        <w:t>whether third parties are entitled to compensation or equitable relief, such as an injunction, for our use of the intellectual property rights without their authorization;</w:t>
      </w:r>
    </w:p>
    <w:p>
      <w:pPr>
        <w:spacing w:after="0" w:line="94" w:lineRule="exact"/>
        <w:rPr>
          <w:rFonts w:ascii="Arial" w:cs="Arial" w:eastAsia="Arial" w:hAnsi="Arial"/>
          <w:sz w:val="25"/>
          <w:szCs w:val="25"/>
          <w:color w:val="auto"/>
          <w:vertAlign w:val="superscript"/>
        </w:rPr>
      </w:pPr>
    </w:p>
    <w:p>
      <w:pPr>
        <w:ind w:left="880" w:right="460" w:hanging="373"/>
        <w:spacing w:after="0" w:line="216" w:lineRule="auto"/>
        <w:tabs>
          <w:tab w:leader="none" w:pos="88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231F20"/>
        </w:rPr>
        <w:t>our involvement or lack of involvement in the prosecution, defense, and enforcement of licensed patents and our licensors’ overall patent enforcement strategy;</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231F20"/>
        </w:rPr>
        <w:t>our diligence obligations under the license agreement and what activities satisfy those diligence obligations;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231F20"/>
        </w:rPr>
        <w:t>the amounts of royalties, milestones or other payments due under the license agreement;</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231F20"/>
        </w:rPr>
        <w:t>our right to transfer or assign the license;</w:t>
      </w:r>
    </w:p>
    <w:p>
      <w:pPr>
        <w:spacing w:after="0" w:line="107" w:lineRule="exact"/>
        <w:rPr>
          <w:rFonts w:ascii="Arial" w:cs="Arial" w:eastAsia="Arial" w:hAnsi="Arial"/>
          <w:sz w:val="25"/>
          <w:szCs w:val="25"/>
          <w:color w:val="auto"/>
          <w:vertAlign w:val="superscript"/>
        </w:rPr>
      </w:pPr>
    </w:p>
    <w:p>
      <w:pPr>
        <w:ind w:left="880" w:right="260" w:hanging="373"/>
        <w:spacing w:after="0" w:line="216" w:lineRule="auto"/>
        <w:tabs>
          <w:tab w:leader="none" w:pos="88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231F20"/>
        </w:rPr>
        <w:t>the inventorship and ownership of inventions and know-how resulting from the joint creation or use of intellectual property by our licensors and us and our partners; and</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231F20"/>
        </w:rPr>
        <w:t>the priority of invention of patented technology.</w:t>
      </w:r>
    </w:p>
    <w:p>
      <w:pPr>
        <w:spacing w:after="0" w:line="242" w:lineRule="exact"/>
        <w:rPr>
          <w:sz w:val="20"/>
          <w:szCs w:val="20"/>
          <w:color w:val="auto"/>
        </w:rPr>
      </w:pPr>
    </w:p>
    <w:p>
      <w:pPr>
        <w:ind w:right="240" w:firstLine="510"/>
        <w:spacing w:after="0" w:line="271" w:lineRule="auto"/>
        <w:rPr>
          <w:sz w:val="20"/>
          <w:szCs w:val="20"/>
          <w:color w:val="auto"/>
        </w:rPr>
      </w:pPr>
      <w:r>
        <w:rPr>
          <w:rFonts w:ascii="Arial" w:cs="Arial" w:eastAsia="Arial" w:hAnsi="Arial"/>
          <w:sz w:val="17"/>
          <w:szCs w:val="17"/>
          <w:color w:val="231F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8" w:name="page79"/>
    <w:bookmarkEnd w:id="78"/>
    <w:p>
      <w:pPr>
        <w:ind w:right="220" w:firstLine="510"/>
        <w:spacing w:after="0" w:line="275" w:lineRule="auto"/>
        <w:rPr>
          <w:sz w:val="20"/>
          <w:szCs w:val="20"/>
          <w:color w:val="auto"/>
        </w:rPr>
      </w:pPr>
      <w:r>
        <w:rPr>
          <w:rFonts w:ascii="Arial" w:cs="Arial" w:eastAsia="Arial" w:hAnsi="Arial"/>
          <w:sz w:val="17"/>
          <w:szCs w:val="17"/>
          <w:color w:val="231F20"/>
        </w:rPr>
        <w:t>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patent protection and patent prosecution for some of our product candidates may be dependent on third parties.</w:t>
      </w:r>
    </w:p>
    <w:p>
      <w:pPr>
        <w:spacing w:after="0" w:line="131" w:lineRule="exact"/>
        <w:rPr>
          <w:sz w:val="20"/>
          <w:szCs w:val="20"/>
          <w:color w:val="auto"/>
        </w:rPr>
      </w:pPr>
    </w:p>
    <w:p>
      <w:pPr>
        <w:ind w:right="160" w:firstLine="510"/>
        <w:spacing w:after="0" w:line="270" w:lineRule="auto"/>
        <w:rPr>
          <w:sz w:val="20"/>
          <w:szCs w:val="20"/>
          <w:color w:val="auto"/>
        </w:rPr>
      </w:pPr>
      <w:r>
        <w:rPr>
          <w:rFonts w:ascii="Arial" w:cs="Arial" w:eastAsia="Arial" w:hAnsi="Arial"/>
          <w:sz w:val="17"/>
          <w:szCs w:val="17"/>
          <w:color w:val="231F20"/>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 potential licensors or collaboration partners. If any of our licensor, potential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31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231F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89"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231F20"/>
        </w:rPr>
        <w:t>We have in-licensed certain patents and patent applications that were generated through the use of U.S. government funding or grants,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For example, the intellectual property we license from UTSW is subject to certain rights retained by the U.S. government, including march-in rights. If the U.S. government exercises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Dependence on Third Parties</w:t>
      </w:r>
    </w:p>
    <w:p>
      <w:pPr>
        <w:spacing w:after="0" w:line="13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231F20"/>
        </w:rPr>
        <w:t>We rely on third parties to conduct our preclinical studies, and plan to rely on third parties to conduct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89"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231F20"/>
        </w:rPr>
        <w:t>We utilize and depend upon independent investigators and collaborators, such as medical institutions, CROs and strategic partners to conduct and support our preclinical studies and plan to continue to do so for our future clinical trials. These third parties have had and will continue to have a significant role in the conduct of our preclinical studies and planned clinical trials and the subsequent collection and analysis of data.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79" w:name="page80"/>
    <w:bookmarkEnd w:id="79"/>
    <w:p>
      <w:pPr>
        <w:ind w:firstLine="510"/>
        <w:spacing w:after="0" w:line="270" w:lineRule="auto"/>
        <w:rPr>
          <w:sz w:val="20"/>
          <w:szCs w:val="20"/>
          <w:color w:val="auto"/>
        </w:rPr>
      </w:pPr>
      <w:r>
        <w:rPr>
          <w:rFonts w:ascii="Arial" w:cs="Arial" w:eastAsia="Arial" w:hAnsi="Arial"/>
          <w:sz w:val="17"/>
          <w:szCs w:val="17"/>
          <w:color w:val="231F20"/>
        </w:rPr>
        <w:t>These third parties are not our employees, and except for remedies available to us under our agreements with such third parties, we have limited ability to control the amount or timing of resources that any such third party will devote to our preclinical studies or our planned clinical trials. Furthermore, the competition for third parties has increased as a result of the COVID-19 pandemic.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which may result in delays to our development timelines and increased costs. If we need to enter into alternative arrangements with, or replace or add any third parties, it would involve substantial cost and require extensive management time and focus, or involve a transition period, and may delay our drug development activities, as well as materially impact our ability to meet our desired clinical development timelines.</w:t>
      </w:r>
    </w:p>
    <w:p>
      <w:pPr>
        <w:spacing w:after="0" w:line="208"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231F20"/>
        </w:rPr>
        <w:t>Our heavy reliance on these third parties for such drug development activities will reduce our control over these activities. As a result, we will have less direct control over the conduct, timing and completion of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applicable protocol, legal and regulatory requirements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GCP regulations. In addition, our clinical trials must be conducted with product produced under current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03"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231F20"/>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31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231F20"/>
        </w:rPr>
        <w:t>We contract with third parties for the production of our product candidates for preclinical studies and expect to continue to do so for additional preclinical studies, clinical trials and ultimately for commercialization for certain of our product candidates. This reliance on third parties increases the risk that we will not have sufficient quality and quantities of our product candidates or such quantities at an acceptable cost, which could delay, prevent or impair our development or commercialization efforts.</w:t>
      </w:r>
    </w:p>
    <w:p>
      <w:pPr>
        <w:spacing w:after="0" w:line="79"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231F20"/>
        </w:rPr>
        <w:t>We do not currently have the infrastructure or internal capability to manufacture supplies of our product candidates for use in development and commercialization. We plan to fully integrate and internalize AAV manufacturing capabilities to support our Gene Therapy and Cellular Regeneration platforms and have initiated construction of a cGMP manufacturing facility. Until our manufacturing facility is complete and operational, we will continue to rely on third-party manufacturers for our Gene Therapy and Cellular Regeneration platforms. Moreover, to optimize our use of resources and utilize extensive third-party experience in small molecule manufacturing, we intend to continue to rely on third-party manufacturers for our small molecule programs.</w:t>
      </w:r>
    </w:p>
    <w:p>
      <w:pPr>
        <w:spacing w:after="0" w:line="219"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231F20"/>
        </w:rPr>
        <w:t>Competition for third-party manufacturers and supplies has increased as a result of the COVID-19 pandemic. Changing third-party manufacturers could result in delays in our manufacturing supply chain which could delay or otherwise impact development of our programs and result in increased costs.</w:t>
      </w:r>
    </w:p>
    <w:p>
      <w:pPr>
        <w:spacing w:after="0" w:line="151"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231F20"/>
        </w:rPr>
        <w:t>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our product candidates for any reason, whether as a result of manufacturing, supply or storage issues or otherwise, we could experience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80" w:name="page81"/>
    <w:bookmarkEnd w:id="80"/>
    <w:p>
      <w:pPr>
        <w:spacing w:after="0"/>
        <w:rPr>
          <w:sz w:val="20"/>
          <w:szCs w:val="20"/>
          <w:color w:val="auto"/>
        </w:rPr>
      </w:pPr>
      <w:r>
        <w:rPr>
          <w:rFonts w:ascii="Arial" w:cs="Arial" w:eastAsia="Arial" w:hAnsi="Arial"/>
          <w:sz w:val="17"/>
          <w:szCs w:val="17"/>
          <w:color w:val="231F20"/>
        </w:rPr>
        <w:t>delays, disruptions, suspensions or terminations of, or be required to restart or repeat, any pending or ongoing preclinical studies or clinical trials.</w:t>
      </w:r>
    </w:p>
    <w:p>
      <w:pPr>
        <w:spacing w:after="0" w:line="264" w:lineRule="exact"/>
        <w:rPr>
          <w:sz w:val="20"/>
          <w:szCs w:val="20"/>
          <w:color w:val="auto"/>
        </w:rPr>
      </w:pPr>
    </w:p>
    <w:p>
      <w:pPr>
        <w:ind w:right="100" w:firstLine="510"/>
        <w:spacing w:after="0" w:line="308" w:lineRule="auto"/>
        <w:rPr>
          <w:sz w:val="20"/>
          <w:szCs w:val="20"/>
          <w:color w:val="auto"/>
        </w:rPr>
      </w:pPr>
      <w:r>
        <w:rPr>
          <w:rFonts w:ascii="Arial" w:cs="Arial" w:eastAsia="Arial" w:hAnsi="Arial"/>
          <w:sz w:val="17"/>
          <w:szCs w:val="17"/>
          <w:color w:val="231F20"/>
        </w:rPr>
        <w:t>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38" w:lineRule="exact"/>
        <w:rPr>
          <w:sz w:val="20"/>
          <w:szCs w:val="20"/>
          <w:color w:val="auto"/>
        </w:rPr>
      </w:pPr>
    </w:p>
    <w:p>
      <w:pPr>
        <w:ind w:left="880" w:hanging="373"/>
        <w:spacing w:after="0" w:line="226" w:lineRule="auto"/>
        <w:tabs>
          <w:tab w:leader="none" w:pos="88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231F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49"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color w:val="231F20"/>
        </w:rPr>
        <w:t>the termination or nonrenewal of arrangements or agreements by our third-party contractors at a time that is costly or inconvenient for us;</w:t>
      </w:r>
    </w:p>
    <w:p>
      <w:pPr>
        <w:spacing w:after="0" w:line="98" w:lineRule="exact"/>
        <w:rPr>
          <w:rFonts w:ascii="Arial" w:cs="Arial" w:eastAsia="Arial" w:hAnsi="Arial"/>
          <w:sz w:val="24"/>
          <w:szCs w:val="24"/>
          <w:color w:val="auto"/>
          <w:vertAlign w:val="superscript"/>
        </w:rPr>
      </w:pPr>
    </w:p>
    <w:p>
      <w:pPr>
        <w:ind w:left="880" w:hanging="373"/>
        <w:spacing w:after="0" w:line="199" w:lineRule="auto"/>
        <w:tabs>
          <w:tab w:leader="none" w:pos="88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231F20"/>
        </w:rPr>
        <w:t>the breach by the third-party contractors of our agreements with them;</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231F20"/>
        </w:rPr>
        <w:t>the failure of third-party contractors to comply with applicable regulatory requirements, including cGMPs;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231F20"/>
        </w:rPr>
        <w:t>the failure of the third party to manufacture our product candidates according to our specifications;</w:t>
      </w:r>
    </w:p>
    <w:p>
      <w:pPr>
        <w:spacing w:after="0" w:line="107" w:lineRule="exact"/>
        <w:rPr>
          <w:rFonts w:ascii="Arial" w:cs="Arial" w:eastAsia="Arial" w:hAnsi="Arial"/>
          <w:sz w:val="25"/>
          <w:szCs w:val="25"/>
          <w:color w:val="auto"/>
          <w:vertAlign w:val="superscript"/>
        </w:rPr>
      </w:pPr>
    </w:p>
    <w:p>
      <w:pPr>
        <w:ind w:left="880" w:hanging="373"/>
        <w:spacing w:after="0" w:line="216" w:lineRule="auto"/>
        <w:tabs>
          <w:tab w:leader="none" w:pos="88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94" w:lineRule="exact"/>
        <w:rPr>
          <w:rFonts w:ascii="Arial" w:cs="Arial" w:eastAsia="Arial" w:hAnsi="Arial"/>
          <w:sz w:val="25"/>
          <w:szCs w:val="25"/>
          <w:color w:val="auto"/>
          <w:vertAlign w:val="superscript"/>
        </w:rPr>
      </w:pPr>
    </w:p>
    <w:p>
      <w:pPr>
        <w:ind w:left="880" w:right="180" w:hanging="373"/>
        <w:spacing w:after="0" w:line="216" w:lineRule="auto"/>
        <w:tabs>
          <w:tab w:leader="none" w:pos="88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94" w:lineRule="exact"/>
        <w:rPr>
          <w:rFonts w:ascii="Arial" w:cs="Arial" w:eastAsia="Arial" w:hAnsi="Arial"/>
          <w:sz w:val="25"/>
          <w:szCs w:val="25"/>
          <w:color w:val="auto"/>
          <w:vertAlign w:val="superscript"/>
        </w:rPr>
      </w:pPr>
    </w:p>
    <w:p>
      <w:pPr>
        <w:ind w:left="880" w:right="320" w:hanging="373"/>
        <w:spacing w:after="0" w:line="216" w:lineRule="auto"/>
        <w:tabs>
          <w:tab w:leader="none" w:pos="88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231F20"/>
        </w:rPr>
        <w:t>the infringement, misappropriation or other violation of our intellectual property or proprietary information, including our trade secrets and know-how.</w:t>
      </w:r>
    </w:p>
    <w:p>
      <w:pPr>
        <w:spacing w:after="0" w:line="230"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231F20"/>
        </w:rPr>
        <w:t>We do not have complete control over all aspects of the manufacturing process of our CDMOs and are dependent on these CDMOs for compliance with cGMP regulations for manufacturing active pharmaceutical ingredients (“API”), drug substance and finished drug products. We are in the process of developing our supply chain for each of our product candidates and intend to put in place framework agreements under which CDMOs will generally provide us with necessary quantities of API, drug substance and drug product on a project-by-project basis based on our development needs. As we advance our product candidates through development, we will consider our lack of redundant supply for the API, drug substance and drug product for each of our product candidates to protect against any potential supply disruptions. However, we may be unsuccessful in putting in place such framework agreements or protecting against potential supply disruptions.</w:t>
      </w:r>
    </w:p>
    <w:p>
      <w:pPr>
        <w:spacing w:after="0" w:line="204"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231F20"/>
        </w:rPr>
        <w:t>Third-party manufacturers may not be able to comply with cGMP regulations or similar regulatory requirements outside of the United States. If our CDMOs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CDMOs to maintain adequate QC, QA, facilities, equipment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209"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231F20"/>
        </w:rPr>
        <w:t>We rely on third-party suppliers for the raw materials required for the production of our product candidates for all of our programs. Our reliance on third-party supplies will continue even after we operationalize our cGMP manufacturing facility to support our Gene Therapy and Cellular Regeneration platforms.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especially in light of the supply chain issues caused by the effects of the COVID-19 pandemic, that we require or satisfy our anticipated specifications and quality requirements. Any interruption in supply of raw materials could materially harm our ability to manufacture our product candidates until a new source of supply, if any, could be identified and qualified. We may be unable to find a sufficient alternative supplier in a reasonable time or on commercially reasonable terms. Any performance failure 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1" w:name="page82"/>
    <w:bookmarkEnd w:id="81"/>
    <w:p>
      <w:pPr>
        <w:ind w:right="80"/>
        <w:spacing w:after="0" w:line="277" w:lineRule="auto"/>
        <w:rPr>
          <w:sz w:val="20"/>
          <w:szCs w:val="20"/>
          <w:color w:val="auto"/>
        </w:rPr>
      </w:pPr>
      <w:r>
        <w:rPr>
          <w:rFonts w:ascii="Arial" w:cs="Arial" w:eastAsia="Arial" w:hAnsi="Arial"/>
          <w:sz w:val="18"/>
          <w:szCs w:val="18"/>
          <w:color w:val="231F20"/>
        </w:rPr>
        <w:t>the part of our suppliers could delay the development and potential commercialization of our product candidates, including limiting supplies necessary for clinical trials and regulatory approvals, which would seriously harm our business.</w:t>
      </w:r>
    </w:p>
    <w:p>
      <w:pPr>
        <w:spacing w:after="0" w:line="197" w:lineRule="exact"/>
        <w:rPr>
          <w:sz w:val="20"/>
          <w:szCs w:val="20"/>
          <w:color w:val="auto"/>
        </w:rPr>
      </w:pPr>
    </w:p>
    <w:p>
      <w:pPr>
        <w:ind w:right="360" w:firstLine="510"/>
        <w:spacing w:after="0" w:line="308" w:lineRule="auto"/>
        <w:rPr>
          <w:sz w:val="20"/>
          <w:szCs w:val="20"/>
          <w:color w:val="auto"/>
        </w:rPr>
      </w:pPr>
      <w:r>
        <w:rPr>
          <w:rFonts w:ascii="Arial" w:cs="Arial" w:eastAsia="Arial" w:hAnsi="Arial"/>
          <w:sz w:val="17"/>
          <w:szCs w:val="17"/>
          <w:color w:val="231F20"/>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2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231F20"/>
        </w:rPr>
        <w:t>Our reliance on third parties may require us to share our trade secrets, which increases the possibility that our competitors will discover them or that our trade secrets will be misappropriated or disclosed.</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Because we currently rely on third parties in the course of our business, we may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invention assignment or other similar agreements with our collaborators, advisors, employees, consultants and other third parties prior to beginning research or disclosing trade secrets or proprietary information. These agreements typically limit the rights of the third parties to use or disclose our trade secrets and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spacing w:after="0" w:line="31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If we engage in future acquisitions or strategic partnerships, this may increase our capital requirements, dilute our stockholders, cause us to incur debt or assume contingent liabilities, and subject us to other risks.</w:t>
      </w:r>
    </w:p>
    <w:p>
      <w:pPr>
        <w:spacing w:after="0" w:line="76"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231F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ind w:left="880" w:hanging="373"/>
        <w:spacing w:after="0" w:line="205" w:lineRule="auto"/>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increased operating expenses and cash requirements;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the assumption of additional indebtedness or contingent liabilities;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the issuance of our equity securities;</w:t>
      </w:r>
    </w:p>
    <w:p>
      <w:pPr>
        <w:spacing w:after="0" w:line="107" w:lineRule="exact"/>
        <w:rPr>
          <w:rFonts w:ascii="Arial" w:cs="Arial" w:eastAsia="Arial" w:hAnsi="Arial"/>
          <w:sz w:val="25"/>
          <w:szCs w:val="25"/>
          <w:color w:val="auto"/>
          <w:vertAlign w:val="superscript"/>
        </w:rPr>
      </w:pPr>
    </w:p>
    <w:p>
      <w:pPr>
        <w:ind w:left="880" w:right="260" w:hanging="373"/>
        <w:spacing w:after="0" w:line="216" w:lineRule="auto"/>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49"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8"/>
        </w:numPr>
        <w:rPr>
          <w:rFonts w:ascii="Arial" w:cs="Arial" w:eastAsia="Arial" w:hAnsi="Arial"/>
          <w:sz w:val="24"/>
          <w:szCs w:val="24"/>
          <w:color w:val="auto"/>
          <w:vertAlign w:val="superscript"/>
        </w:rPr>
      </w:pPr>
      <w:r>
        <w:rPr>
          <w:rFonts w:ascii="Arial" w:cs="Arial" w:eastAsia="Arial" w:hAnsi="Arial"/>
          <w:sz w:val="17"/>
          <w:szCs w:val="17"/>
          <w:color w:val="231F20"/>
        </w:rPr>
        <w:t>the diversion of our management’s attention from our existing programs and initiatives in pursuing such a strategic merger or acquisition;</w:t>
      </w:r>
    </w:p>
    <w:p>
      <w:pPr>
        <w:spacing w:after="0" w:line="98" w:lineRule="exact"/>
        <w:rPr>
          <w:rFonts w:ascii="Arial" w:cs="Arial" w:eastAsia="Arial" w:hAnsi="Arial"/>
          <w:sz w:val="24"/>
          <w:szCs w:val="24"/>
          <w:color w:val="auto"/>
          <w:vertAlign w:val="superscript"/>
        </w:rPr>
      </w:pPr>
    </w:p>
    <w:p>
      <w:pPr>
        <w:ind w:left="880" w:hanging="373"/>
        <w:spacing w:after="0" w:line="199" w:lineRule="auto"/>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107" w:lineRule="exact"/>
        <w:rPr>
          <w:rFonts w:ascii="Arial" w:cs="Arial" w:eastAsia="Arial" w:hAnsi="Arial"/>
          <w:sz w:val="25"/>
          <w:szCs w:val="25"/>
          <w:color w:val="auto"/>
          <w:vertAlign w:val="superscript"/>
        </w:rPr>
      </w:pPr>
    </w:p>
    <w:p>
      <w:pPr>
        <w:ind w:left="880" w:right="100" w:hanging="373"/>
        <w:spacing w:after="0" w:line="216" w:lineRule="auto"/>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marketing approvals;</w:t>
      </w:r>
    </w:p>
    <w:p>
      <w:pPr>
        <w:spacing w:after="0" w:line="94" w:lineRule="exact"/>
        <w:rPr>
          <w:rFonts w:ascii="Arial" w:cs="Arial" w:eastAsia="Arial" w:hAnsi="Arial"/>
          <w:sz w:val="25"/>
          <w:szCs w:val="25"/>
          <w:color w:val="auto"/>
          <w:vertAlign w:val="superscript"/>
        </w:rPr>
      </w:pPr>
    </w:p>
    <w:p>
      <w:pPr>
        <w:ind w:left="880" w:right="160" w:hanging="373"/>
        <w:spacing w:after="0" w:line="216" w:lineRule="auto"/>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 and</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our inability to realize anticipated efficiencies and strategic benefits from such acquisitions or strategic partnerships.</w:t>
      </w:r>
    </w:p>
    <w:p>
      <w:pPr>
        <w:spacing w:after="0" w:line="215" w:lineRule="exact"/>
        <w:rPr>
          <w:sz w:val="20"/>
          <w:szCs w:val="20"/>
          <w:color w:val="auto"/>
        </w:rPr>
      </w:pPr>
    </w:p>
    <w:p>
      <w:pPr>
        <w:jc w:val="both"/>
        <w:ind w:right="360" w:firstLine="510"/>
        <w:spacing w:after="0" w:line="277" w:lineRule="auto"/>
        <w:rPr>
          <w:sz w:val="20"/>
          <w:szCs w:val="20"/>
          <w:color w:val="auto"/>
        </w:rPr>
      </w:pPr>
      <w:r>
        <w:rPr>
          <w:rFonts w:ascii="Arial" w:cs="Arial" w:eastAsia="Arial" w:hAnsi="Arial"/>
          <w:sz w:val="18"/>
          <w:szCs w:val="18"/>
          <w:color w:val="231F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3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If we decide to establish collaborations, but are not able to establish those collaborations on commercially reasonable terms, we may have to alter our development and commercialization plans.</w:t>
      </w:r>
    </w:p>
    <w:p>
      <w:pPr>
        <w:spacing w:after="0" w:line="76" w:lineRule="exact"/>
        <w:rPr>
          <w:sz w:val="20"/>
          <w:szCs w:val="20"/>
          <w:color w:val="auto"/>
        </w:rPr>
      </w:pPr>
    </w:p>
    <w:p>
      <w:pPr>
        <w:jc w:val="both"/>
        <w:ind w:right="360" w:firstLine="510"/>
        <w:spacing w:after="0" w:line="263" w:lineRule="auto"/>
        <w:rPr>
          <w:sz w:val="20"/>
          <w:szCs w:val="20"/>
          <w:color w:val="auto"/>
        </w:rPr>
      </w:pPr>
      <w:r>
        <w:rPr>
          <w:rFonts w:ascii="Arial" w:cs="Arial" w:eastAsia="Arial" w:hAnsi="Arial"/>
          <w:sz w:val="18"/>
          <w:szCs w:val="18"/>
          <w:color w:val="231F20"/>
        </w:rPr>
        <w:t>Our drug development programs and the potential commercialization of our product candidates will require substantial additional cash to fund expenses. We strategically evaluate collaborations and partnerships with biopharmaceutical companies that may have more robust and complementary capabilities and resources to accelerate the development and maximize the availability and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2" w:name="page83"/>
    <w:bookmarkEnd w:id="82"/>
    <w:p>
      <w:pPr>
        <w:ind w:right="120"/>
        <w:spacing w:after="0" w:line="342" w:lineRule="auto"/>
        <w:rPr>
          <w:sz w:val="20"/>
          <w:szCs w:val="20"/>
          <w:color w:val="auto"/>
        </w:rPr>
      </w:pPr>
      <w:r>
        <w:rPr>
          <w:rFonts w:ascii="Arial" w:cs="Arial" w:eastAsia="Arial" w:hAnsi="Arial"/>
          <w:sz w:val="16"/>
          <w:szCs w:val="16"/>
          <w:color w:val="231F20"/>
        </w:rPr>
        <w:t>potential of our product candidates, particularly for more prevalent indications. The relationships may require us to incur non-recurring and other charges, increase our near- and long-term expenditures, issue securities that dilute our existing stockholders, or disrupt our management and business.</w:t>
      </w:r>
    </w:p>
    <w:p>
      <w:pPr>
        <w:spacing w:after="0" w:line="151"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231F20"/>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19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231F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211"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231F20"/>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31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231F20"/>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76"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231F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79" w:lineRule="exact"/>
        <w:rPr>
          <w:sz w:val="20"/>
          <w:szCs w:val="20"/>
          <w:color w:val="auto"/>
        </w:rPr>
      </w:pPr>
    </w:p>
    <w:p>
      <w:pPr>
        <w:ind w:left="880" w:right="80" w:hanging="373"/>
        <w:spacing w:after="0" w:line="216" w:lineRule="auto"/>
        <w:tabs>
          <w:tab w:leader="none" w:pos="8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231F20"/>
        </w:rPr>
        <w:t>collaborators have significant discretion in determining the efforts and resources that they will apply to, and the manner in which they perform their obligations under, these collaborations and may not</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231F20"/>
        </w:rPr>
        <w:t>perform their obligations as expected;</w:t>
      </w:r>
    </w:p>
    <w:p>
      <w:pPr>
        <w:spacing w:after="0" w:line="107" w:lineRule="exact"/>
        <w:rPr>
          <w:rFonts w:ascii="Arial" w:cs="Arial" w:eastAsia="Arial" w:hAnsi="Arial"/>
          <w:sz w:val="25"/>
          <w:szCs w:val="25"/>
          <w:color w:val="auto"/>
          <w:vertAlign w:val="superscript"/>
        </w:rPr>
      </w:pPr>
    </w:p>
    <w:p>
      <w:pPr>
        <w:ind w:left="880" w:right="80" w:hanging="373"/>
        <w:spacing w:after="0" w:line="232" w:lineRule="auto"/>
        <w:tabs>
          <w:tab w:leader="none" w:pos="8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231F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93" w:lineRule="exact"/>
        <w:rPr>
          <w:rFonts w:ascii="Arial" w:cs="Arial" w:eastAsia="Arial" w:hAnsi="Arial"/>
          <w:sz w:val="25"/>
          <w:szCs w:val="25"/>
          <w:color w:val="auto"/>
          <w:vertAlign w:val="superscript"/>
        </w:rPr>
      </w:pPr>
    </w:p>
    <w:p>
      <w:pPr>
        <w:ind w:left="880" w:right="580" w:hanging="373"/>
        <w:spacing w:after="0" w:line="227" w:lineRule="auto"/>
        <w:tabs>
          <w:tab w:leader="none" w:pos="880" w:val="left"/>
        </w:tabs>
        <w:numPr>
          <w:ilvl w:val="0"/>
          <w:numId w:val="49"/>
        </w:numPr>
        <w:rPr>
          <w:rFonts w:ascii="Arial" w:cs="Arial" w:eastAsia="Arial" w:hAnsi="Arial"/>
          <w:sz w:val="24"/>
          <w:szCs w:val="24"/>
          <w:color w:val="auto"/>
          <w:vertAlign w:val="superscript"/>
        </w:rPr>
      </w:pPr>
      <w:r>
        <w:rPr>
          <w:rFonts w:ascii="Arial" w:cs="Arial" w:eastAsia="Arial" w:hAnsi="Arial"/>
          <w:sz w:val="17"/>
          <w:szCs w:val="17"/>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94" w:lineRule="exact"/>
        <w:rPr>
          <w:rFonts w:ascii="Arial" w:cs="Arial" w:eastAsia="Arial" w:hAnsi="Arial"/>
          <w:sz w:val="24"/>
          <w:szCs w:val="24"/>
          <w:color w:val="auto"/>
          <w:vertAlign w:val="superscript"/>
        </w:rPr>
      </w:pPr>
    </w:p>
    <w:p>
      <w:pPr>
        <w:ind w:left="880" w:right="140" w:hanging="373"/>
        <w:spacing w:after="0" w:line="226" w:lineRule="auto"/>
        <w:tabs>
          <w:tab w:leader="none" w:pos="8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231F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95" w:lineRule="exact"/>
        <w:rPr>
          <w:rFonts w:ascii="Arial" w:cs="Arial" w:eastAsia="Arial" w:hAnsi="Arial"/>
          <w:sz w:val="25"/>
          <w:szCs w:val="25"/>
          <w:color w:val="auto"/>
          <w:vertAlign w:val="superscript"/>
        </w:rPr>
      </w:pPr>
    </w:p>
    <w:p>
      <w:pPr>
        <w:ind w:left="880" w:hanging="373"/>
        <w:spacing w:after="0" w:line="216" w:lineRule="auto"/>
        <w:tabs>
          <w:tab w:leader="none" w:pos="8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231F20"/>
        </w:rPr>
        <w:t>a collaborator with marketing and distribution rights to multiple products may not commit sufficient resources to the marketing and distribution of our product relative to other products;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231F20"/>
        </w:rPr>
        <w:t>we may grant exclusive rights to our collaborators that would prevent us from collaborating with others;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3" w:name="page84"/>
    <w:bookmarkEnd w:id="83"/>
    <w:p>
      <w:pPr>
        <w:ind w:left="880" w:right="20" w:hanging="373"/>
        <w:spacing w:after="0" w:line="232" w:lineRule="auto"/>
        <w:tabs>
          <w:tab w:leader="none" w:pos="88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231F20"/>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spacing w:after="0" w:line="93" w:lineRule="exact"/>
        <w:rPr>
          <w:rFonts w:ascii="Arial" w:cs="Arial" w:eastAsia="Arial" w:hAnsi="Arial"/>
          <w:sz w:val="25"/>
          <w:szCs w:val="25"/>
          <w:color w:val="auto"/>
          <w:vertAlign w:val="superscript"/>
        </w:rPr>
      </w:pPr>
    </w:p>
    <w:p>
      <w:pPr>
        <w:ind w:left="880" w:hanging="373"/>
        <w:spacing w:after="0" w:line="252" w:lineRule="auto"/>
        <w:tabs>
          <w:tab w:leader="none" w:pos="880" w:val="left"/>
        </w:tabs>
        <w:numPr>
          <w:ilvl w:val="0"/>
          <w:numId w:val="50"/>
        </w:numPr>
        <w:rPr>
          <w:rFonts w:ascii="Arial" w:cs="Arial" w:eastAsia="Arial" w:hAnsi="Arial"/>
          <w:sz w:val="22"/>
          <w:szCs w:val="22"/>
          <w:color w:val="auto"/>
          <w:vertAlign w:val="superscript"/>
        </w:rPr>
      </w:pPr>
      <w:r>
        <w:rPr>
          <w:rFonts w:ascii="Arial" w:cs="Arial" w:eastAsia="Arial" w:hAnsi="Arial"/>
          <w:sz w:val="16"/>
          <w:szCs w:val="16"/>
          <w:color w:val="231F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81" w:lineRule="exact"/>
        <w:rPr>
          <w:rFonts w:ascii="Arial" w:cs="Arial" w:eastAsia="Arial" w:hAnsi="Arial"/>
          <w:sz w:val="22"/>
          <w:szCs w:val="22"/>
          <w:color w:val="auto"/>
          <w:vertAlign w:val="superscript"/>
        </w:rPr>
      </w:pPr>
    </w:p>
    <w:p>
      <w:pPr>
        <w:ind w:left="880" w:right="1140" w:hanging="373"/>
        <w:spacing w:after="0" w:line="216" w:lineRule="auto"/>
        <w:tabs>
          <w:tab w:leader="none" w:pos="880" w:val="left"/>
        </w:tabs>
        <w:numPr>
          <w:ilvl w:val="0"/>
          <w:numId w:val="50"/>
        </w:numPr>
        <w:rPr>
          <w:rFonts w:ascii="Arial" w:cs="Arial" w:eastAsia="Arial" w:hAnsi="Arial"/>
          <w:sz w:val="25"/>
          <w:szCs w:val="25"/>
          <w:color w:val="231F20"/>
          <w:vertAlign w:val="superscript"/>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49" w:lineRule="exact"/>
        <w:rPr>
          <w:rFonts w:ascii="Arial" w:cs="Arial" w:eastAsia="Arial" w:hAnsi="Arial"/>
          <w:sz w:val="25"/>
          <w:szCs w:val="25"/>
          <w:color w:val="231F20"/>
          <w:vertAlign w:val="superscript"/>
        </w:rPr>
      </w:pPr>
    </w:p>
    <w:p>
      <w:pPr>
        <w:ind w:left="880" w:hanging="373"/>
        <w:spacing w:after="0"/>
        <w:tabs>
          <w:tab w:leader="none" w:pos="880" w:val="left"/>
        </w:tabs>
        <w:numPr>
          <w:ilvl w:val="0"/>
          <w:numId w:val="50"/>
        </w:numPr>
        <w:rPr>
          <w:rFonts w:ascii="Arial" w:cs="Arial" w:eastAsia="Arial" w:hAnsi="Arial"/>
          <w:sz w:val="24"/>
          <w:szCs w:val="24"/>
          <w:color w:val="231F20"/>
          <w:vertAlign w:val="superscript"/>
        </w:rPr>
      </w:pPr>
      <w:r>
        <w:rPr>
          <w:rFonts w:ascii="Arial" w:cs="Arial" w:eastAsia="Arial" w:hAnsi="Arial"/>
          <w:sz w:val="17"/>
          <w:szCs w:val="17"/>
          <w:color w:val="231F20"/>
        </w:rPr>
        <w:t>collaboration agreements may not lead to development or commercialization of product candidates in the most efficient manner or at all;</w:t>
      </w:r>
    </w:p>
    <w:p>
      <w:pPr>
        <w:spacing w:after="0" w:line="107" w:lineRule="exact"/>
        <w:rPr>
          <w:rFonts w:ascii="Arial" w:cs="Arial" w:eastAsia="Arial" w:hAnsi="Arial"/>
          <w:sz w:val="24"/>
          <w:szCs w:val="24"/>
          <w:color w:val="231F20"/>
          <w:vertAlign w:val="superscript"/>
        </w:rPr>
      </w:pPr>
    </w:p>
    <w:p>
      <w:pPr>
        <w:jc w:val="both"/>
        <w:ind w:left="880" w:right="200" w:hanging="373"/>
        <w:spacing w:after="0" w:line="226" w:lineRule="auto"/>
        <w:tabs>
          <w:tab w:leader="none" w:pos="88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231F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95" w:lineRule="exact"/>
        <w:rPr>
          <w:rFonts w:ascii="Arial" w:cs="Arial" w:eastAsia="Arial" w:hAnsi="Arial"/>
          <w:sz w:val="25"/>
          <w:szCs w:val="25"/>
          <w:color w:val="auto"/>
          <w:vertAlign w:val="superscript"/>
        </w:rPr>
      </w:pPr>
    </w:p>
    <w:p>
      <w:pPr>
        <w:ind w:left="880" w:right="160" w:hanging="373"/>
        <w:spacing w:after="0" w:line="216" w:lineRule="auto"/>
        <w:tabs>
          <w:tab w:leader="none" w:pos="88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231F20"/>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94" w:lineRule="exact"/>
        <w:rPr>
          <w:rFonts w:ascii="Arial" w:cs="Arial" w:eastAsia="Arial" w:hAnsi="Arial"/>
          <w:sz w:val="25"/>
          <w:szCs w:val="25"/>
          <w:color w:val="auto"/>
          <w:vertAlign w:val="superscript"/>
        </w:rPr>
      </w:pPr>
    </w:p>
    <w:p>
      <w:pPr>
        <w:ind w:left="880" w:right="160" w:hanging="373"/>
        <w:spacing w:after="0" w:line="216" w:lineRule="auto"/>
        <w:tabs>
          <w:tab w:leader="none" w:pos="88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231F20"/>
        </w:rPr>
        <w:t>a collaborator’s sales and marketing activities or other operations may not be in compliance with applicable laws resulting in civil or criminal proceedings.</w:t>
      </w:r>
    </w:p>
    <w:p>
      <w:pPr>
        <w:spacing w:after="0" w:line="230"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231F20"/>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3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231F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29" w:lineRule="exact"/>
        <w:rPr>
          <w:sz w:val="20"/>
          <w:szCs w:val="20"/>
          <w:color w:val="auto"/>
        </w:rPr>
      </w:pPr>
    </w:p>
    <w:p>
      <w:pPr>
        <w:ind w:right="400" w:firstLine="510"/>
        <w:spacing w:after="0" w:line="301" w:lineRule="auto"/>
        <w:rPr>
          <w:sz w:val="20"/>
          <w:szCs w:val="20"/>
          <w:color w:val="auto"/>
        </w:rPr>
      </w:pPr>
      <w:r>
        <w:rPr>
          <w:rFonts w:ascii="Arial" w:cs="Arial" w:eastAsia="Arial" w:hAnsi="Arial"/>
          <w:sz w:val="16"/>
          <w:szCs w:val="16"/>
          <w:color w:val="231F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collaborators for, some of our product candidates if and when they are approved.</w:t>
      </w:r>
    </w:p>
    <w:p>
      <w:pPr>
        <w:spacing w:after="0" w:line="184"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231F20"/>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Factors that may inhibit our efforts to commercialize any approved product on our own include:</w:t>
      </w:r>
    </w:p>
    <w:p>
      <w:pPr>
        <w:spacing w:after="0" w:line="117" w:lineRule="exact"/>
        <w:rPr>
          <w:sz w:val="20"/>
          <w:szCs w:val="20"/>
          <w:color w:val="auto"/>
        </w:rPr>
      </w:pPr>
    </w:p>
    <w:p>
      <w:pPr>
        <w:ind w:left="880" w:right="20" w:hanging="373"/>
        <w:spacing w:after="0" w:line="216" w:lineRule="auto"/>
        <w:tabs>
          <w:tab w:leader="none" w:pos="88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231F20"/>
        </w:rPr>
        <w:t>our inability to recruit and retain adequate numbers of effective sales, marketing, reimbursement, compliance, customer service, medical affairs and other support personnel;</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231F20"/>
        </w:rPr>
        <w:t>our inability to recruit and build a commercial infrastructure due to the impacts of the COVID-19 pandemic;</w:t>
      </w:r>
    </w:p>
    <w:p>
      <w:pPr>
        <w:spacing w:after="0" w:line="107" w:lineRule="exact"/>
        <w:rPr>
          <w:rFonts w:ascii="Arial" w:cs="Arial" w:eastAsia="Arial" w:hAnsi="Arial"/>
          <w:sz w:val="25"/>
          <w:szCs w:val="25"/>
          <w:color w:val="auto"/>
          <w:vertAlign w:val="superscript"/>
        </w:rPr>
      </w:pPr>
    </w:p>
    <w:p>
      <w:pPr>
        <w:ind w:left="880" w:right="380" w:hanging="373"/>
        <w:spacing w:after="0" w:line="216" w:lineRule="auto"/>
        <w:tabs>
          <w:tab w:leader="none" w:pos="88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231F20"/>
        </w:rPr>
        <w:t>the inability of sales personnel to obtain access to physicians or persuade adequate numbers of physicians to prescribe any future approved products;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84" w:name="page85"/>
    <w:bookmarkEnd w:id="84"/>
    <w:p>
      <w:pPr>
        <w:ind w:left="880" w:hanging="373"/>
        <w:spacing w:after="0"/>
        <w:tabs>
          <w:tab w:leader="none" w:pos="880" w:val="left"/>
        </w:tabs>
        <w:numPr>
          <w:ilvl w:val="0"/>
          <w:numId w:val="52"/>
        </w:numPr>
        <w:rPr>
          <w:rFonts w:ascii="Arial" w:cs="Arial" w:eastAsia="Arial" w:hAnsi="Arial"/>
          <w:sz w:val="22"/>
          <w:szCs w:val="22"/>
          <w:color w:val="auto"/>
          <w:vertAlign w:val="superscript"/>
        </w:rPr>
      </w:pPr>
      <w:r>
        <w:rPr>
          <w:rFonts w:ascii="Arial" w:cs="Arial" w:eastAsia="Arial" w:hAnsi="Arial"/>
          <w:sz w:val="16"/>
          <w:szCs w:val="16"/>
          <w:color w:val="231F20"/>
        </w:rPr>
        <w:t>the inability of reimbursement professionals to negotiate arrangements for formulary access, reimbursement, and other acceptance by payors;</w:t>
      </w:r>
    </w:p>
    <w:p>
      <w:pPr>
        <w:spacing w:after="0" w:line="98" w:lineRule="exact"/>
        <w:rPr>
          <w:rFonts w:ascii="Arial" w:cs="Arial" w:eastAsia="Arial" w:hAnsi="Arial"/>
          <w:sz w:val="22"/>
          <w:szCs w:val="22"/>
          <w:color w:val="auto"/>
          <w:vertAlign w:val="superscript"/>
        </w:rPr>
      </w:pPr>
    </w:p>
    <w:p>
      <w:pPr>
        <w:ind w:left="880" w:hanging="373"/>
        <w:spacing w:after="0" w:line="199" w:lineRule="auto"/>
        <w:tabs>
          <w:tab w:leader="none" w:pos="88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231F20"/>
        </w:rPr>
        <w:t>the inability to price our products at a sufficient price point to ensure an adequate and attractive level of profitability;</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231F20"/>
        </w:rPr>
        <w:t>restricted or closed distribution channels that make it difficult to distribute our products to segments of the patient population;</w:t>
      </w:r>
    </w:p>
    <w:p>
      <w:pPr>
        <w:spacing w:after="0" w:line="107" w:lineRule="exact"/>
        <w:rPr>
          <w:rFonts w:ascii="Arial" w:cs="Arial" w:eastAsia="Arial" w:hAnsi="Arial"/>
          <w:sz w:val="25"/>
          <w:szCs w:val="25"/>
          <w:color w:val="auto"/>
          <w:vertAlign w:val="superscript"/>
        </w:rPr>
      </w:pPr>
    </w:p>
    <w:p>
      <w:pPr>
        <w:ind w:left="880" w:right="320" w:hanging="373"/>
        <w:spacing w:after="0" w:line="216" w:lineRule="auto"/>
        <w:tabs>
          <w:tab w:leader="none" w:pos="88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231F20"/>
        </w:rPr>
        <w:t>the lack of complementary products to be offered by sales personnel, which may put us at a competitive disadvantage relative to companies with more extensive product lines; and</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231F20"/>
        </w:rPr>
        <w:t>unforeseen costs and expenses associated with creating an independent commercialization organization.</w:t>
      </w:r>
    </w:p>
    <w:p>
      <w:pPr>
        <w:spacing w:after="0" w:line="24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231F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the Securities Market and Ownership of Our Common Stock</w:t>
      </w:r>
    </w:p>
    <w:p>
      <w:pPr>
        <w:spacing w:after="0" w:line="13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231F20"/>
        </w:rPr>
        <w:t>An active, liquid and orderly trading market may not continue to be developed or sustained for our common stock and as a result it may be difficult for you to sell your shares of our common stock.</w:t>
      </w:r>
    </w:p>
    <w:p>
      <w:pPr>
        <w:spacing w:after="0" w:line="76"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231F20"/>
        </w:rPr>
        <w:t xml:space="preserve">Prior to our initial public offering, no market for shares of our common stock existed. </w:t>
      </w:r>
      <w:r>
        <w:rPr>
          <w:rFonts w:ascii="Arial" w:cs="Arial" w:eastAsia="Arial" w:hAnsi="Arial"/>
          <w:sz w:val="18"/>
          <w:szCs w:val="18"/>
          <w:color w:val="000000"/>
        </w:rPr>
        <w:t>The trading market for our common stock on the Nasdaq</w:t>
      </w:r>
      <w:r>
        <w:rPr>
          <w:rFonts w:ascii="Arial" w:cs="Arial" w:eastAsia="Arial" w:hAnsi="Arial"/>
          <w:sz w:val="18"/>
          <w:szCs w:val="18"/>
          <w:color w:val="231F20"/>
        </w:rPr>
        <w:t xml:space="preserve"> </w:t>
      </w:r>
      <w:r>
        <w:rPr>
          <w:rFonts w:ascii="Arial" w:cs="Arial" w:eastAsia="Arial" w:hAnsi="Arial"/>
          <w:sz w:val="18"/>
          <w:szCs w:val="18"/>
          <w:color w:val="000000"/>
        </w:rPr>
        <w:t xml:space="preserve">Global Select Market has been limited </w:t>
      </w:r>
      <w:r>
        <w:rPr>
          <w:rFonts w:ascii="Arial" w:cs="Arial" w:eastAsia="Arial" w:hAnsi="Arial"/>
          <w:sz w:val="18"/>
          <w:szCs w:val="18"/>
          <w:color w:val="231F20"/>
        </w:rPr>
        <w:t>and an active trading market for our shares may not be sustained. The lack of an active market may also reduce the</w:t>
      </w:r>
      <w:r>
        <w:rPr>
          <w:rFonts w:ascii="Arial" w:cs="Arial" w:eastAsia="Arial" w:hAnsi="Arial"/>
          <w:sz w:val="18"/>
          <w:szCs w:val="18"/>
          <w:color w:val="000000"/>
        </w:rPr>
        <w:t xml:space="preserve"> </w:t>
      </w:r>
      <w:r>
        <w:rPr>
          <w:rFonts w:ascii="Arial" w:cs="Arial" w:eastAsia="Arial" w:hAnsi="Arial"/>
          <w:sz w:val="18"/>
          <w:szCs w:val="18"/>
          <w:color w:val="231F20"/>
        </w:rPr>
        <w:t>fair market value of your shares of common stock.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price of our stock may be volatile, and you could lose all or part of your investment.</w:t>
      </w:r>
    </w:p>
    <w:p>
      <w:pPr>
        <w:spacing w:after="0" w:line="131"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231F20"/>
        </w:rPr>
        <w:t>The trading price of our common stock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92"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231F20"/>
        </w:rPr>
        <w:t>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spacing w:after="0" w:line="62" w:lineRule="exact"/>
        <w:rPr>
          <w:sz w:val="20"/>
          <w:szCs w:val="20"/>
          <w:color w:val="auto"/>
        </w:rPr>
      </w:pPr>
    </w:p>
    <w:p>
      <w:pPr>
        <w:ind w:left="880" w:right="600" w:hanging="373"/>
        <w:spacing w:after="0" w:line="216" w:lineRule="auto"/>
        <w:tabs>
          <w:tab w:leader="none" w:pos="880" w:val="left"/>
        </w:tabs>
        <w:numPr>
          <w:ilvl w:val="0"/>
          <w:numId w:val="53"/>
        </w:numPr>
        <w:rPr>
          <w:rFonts w:ascii="Arial" w:cs="Arial" w:eastAsia="Arial" w:hAnsi="Arial"/>
          <w:sz w:val="25"/>
          <w:szCs w:val="25"/>
          <w:color w:val="231F20"/>
          <w:vertAlign w:val="superscript"/>
        </w:rPr>
      </w:pPr>
      <w:r>
        <w:rPr>
          <w:rFonts w:ascii="Arial" w:cs="Arial" w:eastAsia="Arial" w:hAnsi="Arial"/>
          <w:sz w:val="18"/>
          <w:szCs w:val="18"/>
          <w:color w:val="231F20"/>
        </w:rPr>
        <w:t>the timing and results of preclinical studies and clinical trials of our product candidates, those conducted by third parties or those of our competitors;</w:t>
      </w:r>
    </w:p>
    <w:p>
      <w:pPr>
        <w:spacing w:after="0" w:line="37" w:lineRule="exact"/>
        <w:rPr>
          <w:rFonts w:ascii="Arial" w:cs="Arial" w:eastAsia="Arial" w:hAnsi="Arial"/>
          <w:sz w:val="25"/>
          <w:szCs w:val="25"/>
          <w:color w:val="231F20"/>
          <w:vertAlign w:val="superscript"/>
        </w:rPr>
      </w:pPr>
    </w:p>
    <w:p>
      <w:pPr>
        <w:ind w:left="880" w:hanging="373"/>
        <w:spacing w:after="0"/>
        <w:tabs>
          <w:tab w:leader="none" w:pos="88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231F20"/>
        </w:rPr>
        <w:t>the success of competitive products or announcements by potential competitors of their product development efforts;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231F20"/>
        </w:rPr>
        <w:t>regulatory actions with respect to our products or our competitors’ products;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231F20"/>
        </w:rPr>
        <w:t>actual or anticipated changes in our growth rate relative to our competitors;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231F20"/>
        </w:rPr>
        <w:t>regulatory or legal developments in the United States and other countries;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231F20"/>
        </w:rPr>
        <w:t>developments or disputes concerning patent applications, issued patents or other intellectual property or proprietary rights;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231F20"/>
        </w:rPr>
        <w:t>the recruitment or departure of key personnel;</w:t>
      </w:r>
    </w:p>
    <w:p>
      <w:pPr>
        <w:spacing w:after="0" w:line="107" w:lineRule="exact"/>
        <w:rPr>
          <w:rFonts w:ascii="Arial" w:cs="Arial" w:eastAsia="Arial" w:hAnsi="Arial"/>
          <w:sz w:val="25"/>
          <w:szCs w:val="25"/>
          <w:color w:val="auto"/>
          <w:vertAlign w:val="superscript"/>
        </w:rPr>
      </w:pPr>
    </w:p>
    <w:p>
      <w:pPr>
        <w:ind w:left="880" w:right="860" w:hanging="373"/>
        <w:spacing w:after="0" w:line="216" w:lineRule="auto"/>
        <w:tabs>
          <w:tab w:leader="none" w:pos="88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231F20"/>
        </w:rPr>
        <w:t>announcements by us or our competitors of significant acquisitions, strategic collaborations, joint ventures, collaborations or capital commitments;</w:t>
      </w:r>
    </w:p>
    <w:p>
      <w:pPr>
        <w:spacing w:after="0" w:line="49"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53"/>
        </w:numPr>
        <w:rPr>
          <w:rFonts w:ascii="Arial" w:cs="Arial" w:eastAsia="Arial" w:hAnsi="Arial"/>
          <w:sz w:val="24"/>
          <w:szCs w:val="24"/>
          <w:color w:val="auto"/>
          <w:vertAlign w:val="superscript"/>
        </w:rPr>
      </w:pPr>
      <w:r>
        <w:rPr>
          <w:rFonts w:ascii="Arial" w:cs="Arial" w:eastAsia="Arial" w:hAnsi="Arial"/>
          <w:sz w:val="17"/>
          <w:szCs w:val="17"/>
          <w:color w:val="231F20"/>
        </w:rPr>
        <w:t>actual or anticipated changes in estimates as to financial results, development timelines or recommendations by securities analysts;</w:t>
      </w:r>
    </w:p>
    <w:p>
      <w:pPr>
        <w:spacing w:after="0" w:line="98" w:lineRule="exact"/>
        <w:rPr>
          <w:rFonts w:ascii="Arial" w:cs="Arial" w:eastAsia="Arial" w:hAnsi="Arial"/>
          <w:sz w:val="24"/>
          <w:szCs w:val="24"/>
          <w:color w:val="auto"/>
          <w:vertAlign w:val="superscript"/>
        </w:rPr>
      </w:pPr>
    </w:p>
    <w:p>
      <w:pPr>
        <w:ind w:left="880" w:hanging="373"/>
        <w:spacing w:after="0" w:line="199" w:lineRule="auto"/>
        <w:tabs>
          <w:tab w:leader="none" w:pos="88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231F20"/>
        </w:rPr>
        <w:t>fluctuations in the valuation of companies perceived by investors to be comparable to us;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85" w:name="page86"/>
    <w:bookmarkEnd w:id="85"/>
    <w:p>
      <w:pPr>
        <w:ind w:left="880" w:hanging="373"/>
        <w:spacing w:after="0"/>
        <w:tabs>
          <w:tab w:leader="none" w:pos="88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231F20"/>
        </w:rPr>
        <w:t>market conditions in the pharmaceutical and biotechnology sector;</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231F20"/>
        </w:rPr>
        <w:t>changes in the structure of healthcare payment systems;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231F20"/>
        </w:rPr>
        <w:t>share price and volume fluctuations attributable to inconsistent trading volume levels of our shares;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231F20"/>
        </w:rPr>
        <w:t>announcement or expectation of additional financing efforts;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231F20"/>
        </w:rPr>
        <w:t>sales of our common stock by us, our insiders or our other stockholders;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231F20"/>
        </w:rPr>
        <w:t>expiration of market stand-off or lock-up agreements;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231F20"/>
        </w:rPr>
        <w:t>the impact of any natural disasters or public health emergencies, such as the COVID-19 pandemic;</w:t>
      </w:r>
    </w:p>
    <w:p>
      <w:pPr>
        <w:spacing w:after="0" w:line="107" w:lineRule="exact"/>
        <w:rPr>
          <w:rFonts w:ascii="Arial" w:cs="Arial" w:eastAsia="Arial" w:hAnsi="Arial"/>
          <w:sz w:val="25"/>
          <w:szCs w:val="25"/>
          <w:color w:val="auto"/>
          <w:vertAlign w:val="superscript"/>
        </w:rPr>
      </w:pPr>
    </w:p>
    <w:p>
      <w:pPr>
        <w:ind w:left="880" w:right="60" w:hanging="373"/>
        <w:spacing w:after="0" w:line="216" w:lineRule="auto"/>
        <w:tabs>
          <w:tab w:leader="none" w:pos="88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231F20"/>
        </w:rPr>
        <w:t>the availability of fiscal and monetary stimulus measures to counteract the impact of natural disasters or public health emergencies, such as the COVID-19 pandemic;</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231F20"/>
        </w:rPr>
        <w:t>fluctuations in interest rates and inflation rates; and</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231F20"/>
        </w:rPr>
        <w:t>general economic, political, industry and market conditions.</w:t>
      </w:r>
    </w:p>
    <w:p>
      <w:pPr>
        <w:spacing w:after="0" w:line="243"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231F20"/>
        </w:rPr>
        <w:t>The realization of any of the above risks or any of a broad range of other risks, including those described in this “Risk Factors” section, could have a dramatic and adverse impact on the market price of our common stock.</w:t>
      </w:r>
    </w:p>
    <w:p>
      <w:pPr>
        <w:spacing w:after="0" w:line="3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31F20"/>
        </w:rPr>
        <w:t>Our operating results may fluctuate significantly, which makes our future operating results difficult to predict and could cause our operating results to fall below expectations or our guidance.</w:t>
      </w:r>
    </w:p>
    <w:p>
      <w:pPr>
        <w:spacing w:after="0" w:line="76"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231F20"/>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215" w:lineRule="exact"/>
        <w:rPr>
          <w:sz w:val="20"/>
          <w:szCs w:val="20"/>
          <w:color w:val="auto"/>
        </w:rPr>
      </w:pPr>
    </w:p>
    <w:p>
      <w:pPr>
        <w:jc w:val="both"/>
        <w:ind w:right="60" w:firstLine="510"/>
        <w:spacing w:after="0" w:line="259" w:lineRule="auto"/>
        <w:rPr>
          <w:sz w:val="20"/>
          <w:szCs w:val="20"/>
          <w:color w:val="auto"/>
        </w:rPr>
      </w:pPr>
      <w:r>
        <w:rPr>
          <w:rFonts w:ascii="Arial" w:cs="Arial" w:eastAsia="Arial" w:hAnsi="Arial"/>
          <w:sz w:val="18"/>
          <w:szCs w:val="18"/>
          <w:color w:val="231F20"/>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214"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231F20"/>
        </w:rPr>
        <w:t>Furthermore, our operating results may fluctuate due to a variety of other factors, many of which are outside of our control and may be difficult to predict, including the following:</w:t>
      </w:r>
    </w:p>
    <w:p>
      <w:pPr>
        <w:spacing w:after="0" w:line="62" w:lineRule="exact"/>
        <w:rPr>
          <w:sz w:val="20"/>
          <w:szCs w:val="20"/>
          <w:color w:val="auto"/>
        </w:rPr>
      </w:pPr>
    </w:p>
    <w:p>
      <w:pPr>
        <w:ind w:left="880" w:right="300" w:hanging="373"/>
        <w:spacing w:after="0" w:line="216" w:lineRule="auto"/>
        <w:tabs>
          <w:tab w:leader="none" w:pos="88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231F20"/>
        </w:rPr>
        <w:t>the timing and cost of, and level of investment in, research and development activities relating to our programs, product candidates and any future programs and product candidates, which will change from time to time;</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231F20"/>
        </w:rPr>
        <w:t>our ability to enroll patients in clinical trials and the timing of enrollment;</w:t>
      </w:r>
    </w:p>
    <w:p>
      <w:pPr>
        <w:spacing w:after="0" w:line="107" w:lineRule="exact"/>
        <w:rPr>
          <w:rFonts w:ascii="Arial" w:cs="Arial" w:eastAsia="Arial" w:hAnsi="Arial"/>
          <w:sz w:val="25"/>
          <w:szCs w:val="25"/>
          <w:color w:val="auto"/>
          <w:vertAlign w:val="superscript"/>
        </w:rPr>
      </w:pPr>
    </w:p>
    <w:p>
      <w:pPr>
        <w:ind w:left="880" w:right="260" w:hanging="373"/>
        <w:spacing w:after="0" w:line="226" w:lineRule="auto"/>
        <w:tabs>
          <w:tab w:leader="none" w:pos="88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231F20"/>
        </w:rPr>
        <w:t>the cost of establishing and operating a manufacturing facility and manufacturing our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38"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231F20"/>
        </w:rPr>
        <w:t>expenditures that we will or may incur to acquire or develop additional product candidates and technologies or other assets;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231F20"/>
        </w:rPr>
        <w:t>the timing and outcomes of clinical trials for our product candidates, or competing product candidates;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231F20"/>
        </w:rPr>
        <w:t>the need to conduct unanticipated clinical trials or trials that are larger or more complex than anticipated;</w:t>
      </w:r>
    </w:p>
    <w:p>
      <w:pPr>
        <w:spacing w:after="0" w:line="107" w:lineRule="exact"/>
        <w:rPr>
          <w:rFonts w:ascii="Arial" w:cs="Arial" w:eastAsia="Arial" w:hAnsi="Arial"/>
          <w:sz w:val="25"/>
          <w:szCs w:val="25"/>
          <w:color w:val="auto"/>
          <w:vertAlign w:val="superscript"/>
        </w:rPr>
      </w:pPr>
    </w:p>
    <w:p>
      <w:pPr>
        <w:ind w:left="880" w:right="880" w:hanging="373"/>
        <w:spacing w:after="0" w:line="216" w:lineRule="auto"/>
        <w:tabs>
          <w:tab w:leader="none" w:pos="88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231F20"/>
        </w:rPr>
        <w:t>competition from existing and potential future products that compete with our programs and product candidates, and changes in the competitive landscape of our industry, including consolidation among our competitors or partners;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231F20"/>
        </w:rPr>
        <w:t>any delays in regulatory review or approval of our product candidates;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231F20"/>
        </w:rPr>
        <w:t>the level of demand for our product candidates, if approved, which may fluctuate significantly and be difficult to predict;</w:t>
      </w:r>
    </w:p>
    <w:p>
      <w:pPr>
        <w:spacing w:after="0" w:line="107" w:lineRule="exact"/>
        <w:rPr>
          <w:rFonts w:ascii="Arial" w:cs="Arial" w:eastAsia="Arial" w:hAnsi="Arial"/>
          <w:sz w:val="25"/>
          <w:szCs w:val="25"/>
          <w:color w:val="auto"/>
          <w:vertAlign w:val="superscript"/>
        </w:rPr>
      </w:pPr>
    </w:p>
    <w:p>
      <w:pPr>
        <w:ind w:left="880" w:right="180" w:hanging="373"/>
        <w:spacing w:after="0" w:line="216" w:lineRule="auto"/>
        <w:tabs>
          <w:tab w:leader="none" w:pos="88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231F20"/>
        </w:rPr>
        <w:t>the risk/benefit profile, cost and reimbursement policies with respect to our product candidates, if approved, and existing and potential future products that compete with any of our product candidates;</w:t>
      </w:r>
    </w:p>
    <w:p>
      <w:pPr>
        <w:spacing w:after="0" w:line="94" w:lineRule="exact"/>
        <w:rPr>
          <w:rFonts w:ascii="Arial" w:cs="Arial" w:eastAsia="Arial" w:hAnsi="Arial"/>
          <w:sz w:val="25"/>
          <w:szCs w:val="25"/>
          <w:color w:val="auto"/>
          <w:vertAlign w:val="superscript"/>
        </w:rPr>
      </w:pPr>
    </w:p>
    <w:p>
      <w:pPr>
        <w:ind w:left="880" w:right="580" w:hanging="373"/>
        <w:spacing w:after="0" w:line="216" w:lineRule="auto"/>
        <w:tabs>
          <w:tab w:leader="none" w:pos="88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231F20"/>
        </w:rPr>
        <w:t>our ability to commercialize any of our product candidates, if approved, inside and outside of the United States, either independently or working with third parties;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2" w:right="359" w:bottom="1440" w:gutter="0" w:footer="0" w:header="0"/>
        </w:sectPr>
      </w:pPr>
    </w:p>
    <w:bookmarkStart w:id="86" w:name="page87"/>
    <w:bookmarkEnd w:id="86"/>
    <w:p>
      <w:pPr>
        <w:ind w:left="880" w:hanging="373"/>
        <w:spacing w:after="0"/>
        <w:tabs>
          <w:tab w:leader="none" w:pos="88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231F20"/>
        </w:rPr>
        <w:t>our ability to establish and maintain collaborations, licensing or other arrangements;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231F20"/>
        </w:rPr>
        <w:t>our ability to adequately support future growth;</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231F20"/>
        </w:rPr>
        <w:t>potential unforeseen business disruptions that increase our costs or expenses;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231F20"/>
        </w:rPr>
        <w:t>future accounting pronouncements or changes in our accounting policies;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231F20"/>
        </w:rPr>
        <w:t>the changing and volatile global economic and political environment; and</w:t>
      </w:r>
    </w:p>
    <w:p>
      <w:pPr>
        <w:spacing w:after="0" w:line="107" w:lineRule="exact"/>
        <w:rPr>
          <w:rFonts w:ascii="Arial" w:cs="Arial" w:eastAsia="Arial" w:hAnsi="Arial"/>
          <w:sz w:val="25"/>
          <w:szCs w:val="25"/>
          <w:color w:val="auto"/>
          <w:vertAlign w:val="superscript"/>
        </w:rPr>
      </w:pPr>
    </w:p>
    <w:p>
      <w:pPr>
        <w:ind w:left="880" w:right="440" w:hanging="373"/>
        <w:spacing w:after="0" w:line="216" w:lineRule="auto"/>
        <w:tabs>
          <w:tab w:leader="none" w:pos="88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231F20"/>
        </w:rPr>
        <w:t>increased impact from the COVID-19 pandemic on the costs and timing associated with the conduct of our clinical trial and other related business activities.</w:t>
      </w:r>
    </w:p>
    <w:p>
      <w:pPr>
        <w:spacing w:after="0" w:line="230"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231F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31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Our principal stockholders and management own a significant percentage of our stock and will be able to exert significant control over matters subject to stockholder approval.</w:t>
      </w:r>
    </w:p>
    <w:p>
      <w:pPr>
        <w:spacing w:after="0" w:line="76" w:lineRule="exact"/>
        <w:rPr>
          <w:sz w:val="20"/>
          <w:szCs w:val="20"/>
          <w:color w:val="auto"/>
        </w:rPr>
      </w:pPr>
    </w:p>
    <w:p>
      <w:pPr>
        <w:ind w:right="60" w:firstLine="510"/>
        <w:spacing w:after="0" w:line="312" w:lineRule="auto"/>
        <w:rPr>
          <w:sz w:val="20"/>
          <w:szCs w:val="20"/>
          <w:color w:val="auto"/>
        </w:rPr>
      </w:pPr>
      <w:r>
        <w:rPr>
          <w:rFonts w:ascii="Arial" w:cs="Arial" w:eastAsia="Arial" w:hAnsi="Arial"/>
          <w:sz w:val="15"/>
          <w:szCs w:val="15"/>
          <w:color w:val="231F20"/>
        </w:rPr>
        <w:t>As of September 30, 2021, our executive officers, directors, holders of 5% or more of our capital stock and their respective affiliates beneficially owned approximately 50.0% of our common stock. These stockholders, acting together, may be able to control matters requiring stockholder approval. For example, they may be able to control elections of directors, amendments of our organizational documents or approval of any merger, sale of assets or other major corporate transactions. This concentration of ownership control may delay, discourage or prevent a change of control, including unsolicited acquisition proposals or offers for our common stock that you may feel are in your best interest as one of our stockholders, entrench our management and board of directors or delay or prevent a merger, consolidation,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Sales of a substantial number of shares of our common stock in the public market could cause our stock price to fall.</w:t>
      </w:r>
    </w:p>
    <w:p>
      <w:pPr>
        <w:spacing w:after="0" w:line="131" w:lineRule="exact"/>
        <w:rPr>
          <w:sz w:val="20"/>
          <w:szCs w:val="20"/>
          <w:color w:val="auto"/>
        </w:rPr>
      </w:pPr>
    </w:p>
    <w:p>
      <w:pPr>
        <w:ind w:right="380" w:firstLine="510"/>
        <w:spacing w:after="0" w:line="308" w:lineRule="auto"/>
        <w:rPr>
          <w:sz w:val="20"/>
          <w:szCs w:val="20"/>
          <w:color w:val="auto"/>
        </w:rPr>
      </w:pPr>
      <w:r>
        <w:rPr>
          <w:rFonts w:ascii="Arial" w:cs="Arial" w:eastAsia="Arial" w:hAnsi="Arial"/>
          <w:sz w:val="17"/>
          <w:szCs w:val="17"/>
          <w:color w:val="231F20"/>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73"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As of September 30, 2021, we had 41,280,402 outstanding shares of common stock on an as converted basis. Of these shares, 13,800,000 shares are freely tradable and substantially all of the remaining shares of common stock will be available for sale in the public market beginning in January 2022 following the scheduled expiration of lock-up agreements that certain of our stockholders and the underwriters entered into in connection with our IPO. Morgan Stanley &amp; Co. LLC, Piper Sandler &amp; Co. and Cowen and Company, LLC may release these stockholders from their lock-up agreements with the underwriters at any time and without notice, which would allow for earlier sales of shares in the public market.</w:t>
      </w:r>
    </w:p>
    <w:p>
      <w:pPr>
        <w:spacing w:after="0" w:line="176"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In addition, we have filed a registration statement on Form S-8 under the Securities Act registering the issuance of 7,177,883 shares of common stock subject to options or other equity awards issued or reserved for future issuance under our equity incentive plans. Shares registered under the registration statement on Form S-8 can be freely sold in the public market upon issuance, subject to volume limitations applicable to affiliates and the lock-up agreements described above.</w:t>
      </w:r>
    </w:p>
    <w:p>
      <w:pPr>
        <w:spacing w:after="0" w:line="214"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231F20"/>
        </w:rPr>
        <w:t>Moreover, as of September 30, 2021, holders of an aggregate of 26,102,278 shares of our common stock had rights, subject to certain conditions, to require us to file registration statements covering their shares or to include their shares in registration statements that we may file for ourselves or other stockholders. If we were to register the resale of these shares, they could be freely sold in the public market beginning in February 2022 following the scheduled expiration of lock-up agreements that certain of our stockholders and the underwriters entered into in connection with our initial public offering.</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92" w:right="399" w:bottom="1440" w:gutter="0" w:footer="0" w:header="0"/>
        </w:sectPr>
      </w:pPr>
    </w:p>
    <w:bookmarkStart w:id="87" w:name="page88"/>
    <w:bookmarkEnd w:id="87"/>
    <w:p>
      <w:pPr>
        <w:ind w:right="180" w:firstLine="510"/>
        <w:spacing w:after="0" w:line="263" w:lineRule="auto"/>
        <w:rPr>
          <w:sz w:val="20"/>
          <w:szCs w:val="20"/>
          <w:color w:val="auto"/>
        </w:rPr>
      </w:pPr>
      <w:r>
        <w:rPr>
          <w:rFonts w:ascii="Arial" w:cs="Arial" w:eastAsia="Arial" w:hAnsi="Arial"/>
          <w:sz w:val="18"/>
          <w:szCs w:val="18"/>
          <w:color w:val="231F20"/>
        </w:rPr>
        <w:t>Sales of a substantial number of such shares upon expiration of the lock-up and 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33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231F20"/>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29"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231F20"/>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89" w:lineRule="exact"/>
        <w:rPr>
          <w:sz w:val="20"/>
          <w:szCs w:val="20"/>
          <w:color w:val="auto"/>
        </w:rPr>
      </w:pPr>
    </w:p>
    <w:p>
      <w:pPr>
        <w:jc w:val="both"/>
        <w:ind w:left="880" w:right="200" w:hanging="373"/>
        <w:spacing w:after="0" w:line="226" w:lineRule="auto"/>
        <w:tabs>
          <w:tab w:leader="none" w:pos="88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231F20"/>
        </w:rPr>
        <w:t>being permitted to provide only two years of audited financial statements, in addition to any required unaudited interim financial statements, with correspondingly reduced “Management’s Discussion and Analysis of Financial Condition and Results of Operations” disclosure in our periodic reports;</w:t>
      </w:r>
    </w:p>
    <w:p>
      <w:pPr>
        <w:spacing w:after="0" w:line="95" w:lineRule="exact"/>
        <w:rPr>
          <w:rFonts w:ascii="Arial" w:cs="Arial" w:eastAsia="Arial" w:hAnsi="Arial"/>
          <w:sz w:val="25"/>
          <w:szCs w:val="25"/>
          <w:color w:val="auto"/>
          <w:vertAlign w:val="superscript"/>
        </w:rPr>
      </w:pPr>
    </w:p>
    <w:p>
      <w:pPr>
        <w:ind w:left="880" w:right="680" w:hanging="373"/>
        <w:spacing w:after="0" w:line="216" w:lineRule="auto"/>
        <w:tabs>
          <w:tab w:leader="none" w:pos="88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231F20"/>
        </w:rPr>
        <w:t>not being required to comply with the auditor attestation requirements of Section 404 of the Sarbanes-Oxley Act of 2002, as amended (“Sarbanes-Oxley Act”);</w:t>
      </w:r>
    </w:p>
    <w:p>
      <w:pPr>
        <w:spacing w:after="0" w:line="94" w:lineRule="exact"/>
        <w:rPr>
          <w:rFonts w:ascii="Arial" w:cs="Arial" w:eastAsia="Arial" w:hAnsi="Arial"/>
          <w:sz w:val="25"/>
          <w:szCs w:val="25"/>
          <w:color w:val="auto"/>
          <w:vertAlign w:val="superscript"/>
        </w:rPr>
      </w:pPr>
    </w:p>
    <w:p>
      <w:pPr>
        <w:ind w:left="880" w:right="540" w:hanging="373"/>
        <w:spacing w:after="0" w:line="226" w:lineRule="auto"/>
        <w:tabs>
          <w:tab w:leader="none" w:pos="88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231F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38"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231F20"/>
        </w:rPr>
        <w:t>reduced disclosure obligations regarding executive compensation in our periodic reports and proxy statements; and</w:t>
      </w:r>
    </w:p>
    <w:p>
      <w:pPr>
        <w:spacing w:after="0" w:line="107" w:lineRule="exact"/>
        <w:rPr>
          <w:rFonts w:ascii="Arial" w:cs="Arial" w:eastAsia="Arial" w:hAnsi="Arial"/>
          <w:sz w:val="25"/>
          <w:szCs w:val="25"/>
          <w:color w:val="auto"/>
          <w:vertAlign w:val="superscript"/>
        </w:rPr>
      </w:pPr>
    </w:p>
    <w:p>
      <w:pPr>
        <w:ind w:left="880" w:right="160" w:hanging="373"/>
        <w:spacing w:after="0" w:line="216" w:lineRule="auto"/>
        <w:tabs>
          <w:tab w:leader="none" w:pos="88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231F20"/>
        </w:rPr>
        <w:t>exemptions from the requirements of holding nonbinding advisory stockholder votes on executive compensation and stockholder approval of any golden parachute payments not previously approved.</w:t>
      </w:r>
    </w:p>
    <w:p>
      <w:pPr>
        <w:spacing w:after="0" w:line="230" w:lineRule="exact"/>
        <w:rPr>
          <w:sz w:val="20"/>
          <w:szCs w:val="20"/>
          <w:color w:val="auto"/>
        </w:rPr>
      </w:pPr>
    </w:p>
    <w:p>
      <w:pPr>
        <w:ind w:right="200" w:firstLine="510"/>
        <w:spacing w:after="0" w:line="301" w:lineRule="auto"/>
        <w:rPr>
          <w:sz w:val="20"/>
          <w:szCs w:val="20"/>
          <w:color w:val="auto"/>
        </w:rPr>
      </w:pPr>
      <w:r>
        <w:rPr>
          <w:rFonts w:ascii="Arial" w:cs="Arial" w:eastAsia="Arial" w:hAnsi="Arial"/>
          <w:sz w:val="16"/>
          <w:szCs w:val="16"/>
          <w:color w:val="231F20"/>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184"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231F20"/>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IPO.</w:t>
      </w:r>
    </w:p>
    <w:p>
      <w:pPr>
        <w:spacing w:after="0" w:line="214"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231F20"/>
        </w:rPr>
        <w:t>Even after we no longer qualify as an emerging growth company, we may still qualify as a “smaller reporting company,” as defined in the Securities Exchange Act of 1934, as amended (“Exchange Act”),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w:t>
      </w:r>
    </w:p>
    <w:p>
      <w:pPr>
        <w:spacing w:after="0" w:line="198" w:lineRule="exact"/>
        <w:rPr>
          <w:sz w:val="20"/>
          <w:szCs w:val="20"/>
          <w:color w:val="auto"/>
        </w:rPr>
      </w:pPr>
    </w:p>
    <w:p>
      <w:pPr>
        <w:ind w:right="420" w:firstLine="510"/>
        <w:spacing w:after="0" w:line="342" w:lineRule="auto"/>
        <w:rPr>
          <w:sz w:val="20"/>
          <w:szCs w:val="20"/>
          <w:color w:val="auto"/>
        </w:rPr>
      </w:pPr>
      <w:r>
        <w:rPr>
          <w:rFonts w:ascii="Arial" w:cs="Arial" w:eastAsia="Arial" w:hAnsi="Arial"/>
          <w:sz w:val="16"/>
          <w:szCs w:val="16"/>
          <w:color w:val="231F20"/>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5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231F20"/>
        </w:rPr>
        <w:t>If securities or industry analysts do not publish research or reports, or if they publish adverse or misleading research or reports, regarding us, our business or our market, our stock price and trading volume could decline.</w:t>
      </w:r>
    </w:p>
    <w:p>
      <w:pPr>
        <w:spacing w:after="0" w:line="7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231F20"/>
        </w:rPr>
        <w:t>The trading market for our common stock is influenced by the research and reports that securities or industry analysts publish about us, our business or our market. We currently have research coverage from a limited number of securities or industry analysts. If no or few new securities or industry analysts commence coverage of us, the stock price may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88" w:name="page89"/>
    <w:bookmarkEnd w:id="88"/>
    <w:p>
      <w:pPr>
        <w:ind w:right="220"/>
        <w:spacing w:after="0" w:line="263" w:lineRule="auto"/>
        <w:rPr>
          <w:sz w:val="20"/>
          <w:szCs w:val="20"/>
          <w:color w:val="auto"/>
        </w:rPr>
      </w:pPr>
      <w:r>
        <w:rPr>
          <w:rFonts w:ascii="Arial" w:cs="Arial" w:eastAsia="Arial" w:hAnsi="Arial"/>
          <w:sz w:val="18"/>
          <w:szCs w:val="18"/>
          <w:b w:val="1"/>
          <w:bCs w:val="1"/>
          <w:i w:val="1"/>
          <w:iCs w:val="1"/>
          <w:color w:val="231F20"/>
        </w:rPr>
        <w:t>We will incur increased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spacing w:after="0" w:line="89" w:lineRule="exact"/>
        <w:rPr>
          <w:sz w:val="20"/>
          <w:szCs w:val="20"/>
          <w:color w:val="auto"/>
        </w:rPr>
      </w:pPr>
    </w:p>
    <w:p>
      <w:pPr>
        <w:ind w:right="100" w:firstLine="510"/>
        <w:spacing w:after="0" w:line="288" w:lineRule="auto"/>
        <w:rPr>
          <w:sz w:val="20"/>
          <w:szCs w:val="20"/>
          <w:color w:val="auto"/>
        </w:rPr>
      </w:pPr>
      <w:r>
        <w:rPr>
          <w:rFonts w:ascii="Arial" w:cs="Arial" w:eastAsia="Arial" w:hAnsi="Arial"/>
          <w:sz w:val="16"/>
          <w:szCs w:val="16"/>
          <w:color w:val="231F20"/>
        </w:rPr>
        <w:t>As a public company, we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Stock Market LLC (“Nasdaq”), including the Nasdaq Board Diversity Rule, which was approved by the SEC on August 6, 2021, regarding the diversity of our board of directors. We are also subject to more stringent state law requirements. For example, under California law, we will be required to have at least three female directors on our board of directors and one director from an “underrepresented community” by December 31, 2021, and two additional directors from an “underrepresented community” by December 31, 2022. A director from an “underrepresented community” means a director who self-identifies as Black, African American, Hispanic, Latino, Asian, Pacific Islander, Native American, Native Hawaiian, Alaska Native, gay, lesbian, bisexual or transgender. We cannot guarantee that we can recruit, attract and/or retain qualified members of the board of directors and meet gender and diversity requirements under California law or the Nasdaq rule, which may expose us to financial penalties and adversely affect our reputation.</w:t>
      </w:r>
    </w:p>
    <w:p>
      <w:pPr>
        <w:spacing w:after="0" w:line="168" w:lineRule="exact"/>
        <w:rPr>
          <w:sz w:val="20"/>
          <w:szCs w:val="20"/>
          <w:color w:val="auto"/>
        </w:rPr>
      </w:pPr>
    </w:p>
    <w:p>
      <w:pPr>
        <w:ind w:right="100" w:firstLine="510"/>
        <w:spacing w:after="0" w:line="316" w:lineRule="auto"/>
        <w:rPr>
          <w:sz w:val="20"/>
          <w:szCs w:val="20"/>
          <w:color w:val="auto"/>
        </w:rPr>
      </w:pPr>
      <w:r>
        <w:rPr>
          <w:rFonts w:ascii="Arial" w:cs="Arial" w:eastAsia="Arial" w:hAnsi="Arial"/>
          <w:sz w:val="15"/>
          <w:szCs w:val="15"/>
          <w:color w:val="231F20"/>
        </w:rPr>
        <w:t>Our management and other personnel need to devote a substantial amount of time to these compliance initiatives. Moreover, these rules, regulations and standards substantially increase our legal and financial compliance costs and to make some activities more time-consuming and costly, which will increase our operating expenses. For example, we expect these rules, regulations and standards to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76"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231F20"/>
        </w:rPr>
        <w:t>In addition, as a public company we are required to incur additional costs and obligations in order to comply with SEC rules that implement Section 404 of the Sarbanes-Oxley Act. Under these rules,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93"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231F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w:t>
      </w:r>
    </w:p>
    <w:p>
      <w:pPr>
        <w:spacing w:after="0" w:line="176"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231F20"/>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9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231F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disclosure controls and procedures may not prevent or detect all errors or acts of fraud.</w:t>
      </w:r>
    </w:p>
    <w:p>
      <w:pPr>
        <w:spacing w:after="0" w:line="13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231F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89" w:name="page90"/>
    <w:bookmarkEnd w:id="89"/>
    <w:p>
      <w:pPr>
        <w:ind w:right="80"/>
        <w:spacing w:after="0" w:line="277" w:lineRule="auto"/>
        <w:rPr>
          <w:sz w:val="20"/>
          <w:szCs w:val="20"/>
          <w:color w:val="auto"/>
        </w:rPr>
      </w:pPr>
      <w:r>
        <w:rPr>
          <w:rFonts w:ascii="Arial" w:cs="Arial" w:eastAsia="Arial" w:hAnsi="Arial"/>
          <w:sz w:val="18"/>
          <w:szCs w:val="18"/>
          <w:color w:val="231F20"/>
        </w:rPr>
        <w:t>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9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231F20"/>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be subject to securities litigation, which is expensive and could divert management attention.</w:t>
      </w:r>
    </w:p>
    <w:p>
      <w:pPr>
        <w:spacing w:after="0" w:line="13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231F20"/>
        </w:rPr>
        <w:t>The market price of our common stock may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do not intend to pay dividends on our common stock in the foreseeable future, so any returns will be limited to the value of our common stock.</w:t>
      </w:r>
    </w:p>
    <w:p>
      <w:pPr>
        <w:spacing w:after="0" w:line="154"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231F20"/>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319"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231F20"/>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29"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231F20"/>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These provisions, among other things:</w:t>
      </w:r>
    </w:p>
    <w:p>
      <w:pPr>
        <w:spacing w:after="0" w:line="24" w:lineRule="exact"/>
        <w:rPr>
          <w:sz w:val="20"/>
          <w:szCs w:val="20"/>
          <w:color w:val="auto"/>
        </w:rPr>
      </w:pPr>
    </w:p>
    <w:p>
      <w:pPr>
        <w:ind w:left="880" w:hanging="373"/>
        <w:spacing w:after="0"/>
        <w:tabs>
          <w:tab w:leader="none" w:pos="88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231F20"/>
        </w:rPr>
        <w:t>establish a classified board of directors so that not all members of our board are elected at one time;</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231F20"/>
        </w:rPr>
        <w:t>permit only the board of directors to establish the number of directors and fill vacancies on the board;</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231F20"/>
        </w:rPr>
        <w:t>provide that directors may only be removed “for cause” and only with the approval of two-thirds of our stockholders;</w:t>
      </w:r>
    </w:p>
    <w:p>
      <w:pPr>
        <w:spacing w:after="0" w:line="107" w:lineRule="exact"/>
        <w:rPr>
          <w:rFonts w:ascii="Arial" w:cs="Arial" w:eastAsia="Arial" w:hAnsi="Arial"/>
          <w:sz w:val="25"/>
          <w:szCs w:val="25"/>
          <w:color w:val="auto"/>
          <w:vertAlign w:val="superscript"/>
        </w:rPr>
      </w:pPr>
    </w:p>
    <w:p>
      <w:pPr>
        <w:ind w:left="880" w:right="520" w:hanging="373"/>
        <w:spacing w:after="0" w:line="216" w:lineRule="auto"/>
        <w:tabs>
          <w:tab w:leader="none" w:pos="88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231F20"/>
        </w:rPr>
        <w:t>authorize the issuance of “blank check” preferred stock that our board could use to implement a stockholder rights plan (also known as a poison pill);</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231F20"/>
        </w:rPr>
        <w:t>eliminate the ability of our stockholders to call special meetings of stockholders;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231F20"/>
        </w:rPr>
        <w:t>prohibit stockholder action by written consent, which requires all stockholder actions to be taken at a meeting of our stockholders;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231F20"/>
        </w:rPr>
        <w:t>prohibit cumulative voting;</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231F20"/>
        </w:rPr>
        <w:t>authorize our board of directors to amend the bylaws;</w:t>
      </w:r>
    </w:p>
    <w:p>
      <w:pPr>
        <w:spacing w:after="0" w:line="107" w:lineRule="exact"/>
        <w:rPr>
          <w:rFonts w:ascii="Arial" w:cs="Arial" w:eastAsia="Arial" w:hAnsi="Arial"/>
          <w:sz w:val="25"/>
          <w:szCs w:val="25"/>
          <w:color w:val="auto"/>
          <w:vertAlign w:val="superscript"/>
        </w:rPr>
      </w:pPr>
    </w:p>
    <w:p>
      <w:pPr>
        <w:ind w:left="880" w:right="20" w:hanging="373"/>
        <w:spacing w:after="0" w:line="216" w:lineRule="auto"/>
        <w:tabs>
          <w:tab w:leader="none" w:pos="88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231F20"/>
        </w:rPr>
        <w:t>establish advance notice requirements for nominations for election to our board or for proposing matters that can be acted upon by stockholders at annual stockholder meetings; and</w:t>
      </w:r>
    </w:p>
    <w:p>
      <w:pPr>
        <w:spacing w:after="0" w:line="94" w:lineRule="exact"/>
        <w:rPr>
          <w:rFonts w:ascii="Arial" w:cs="Arial" w:eastAsia="Arial" w:hAnsi="Arial"/>
          <w:sz w:val="25"/>
          <w:szCs w:val="25"/>
          <w:color w:val="auto"/>
          <w:vertAlign w:val="superscript"/>
        </w:rPr>
      </w:pPr>
    </w:p>
    <w:p>
      <w:pPr>
        <w:ind w:left="880" w:right="180" w:hanging="373"/>
        <w:spacing w:after="0" w:line="216" w:lineRule="auto"/>
        <w:tabs>
          <w:tab w:leader="none" w:pos="88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231F20"/>
        </w:rPr>
        <w:t>require a super-majority vote of stockholders to amend or repeal specified provisions of our amended and restated certificate of incorporation and amended and restated bylaws.</w:t>
      </w:r>
    </w:p>
    <w:p>
      <w:pPr>
        <w:spacing w:after="0" w:line="230"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231F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231F20"/>
        </w:rPr>
        <w:t>transaction in which the person became an interested stockholder, unless the business combination is approved in a prescribed manner.</w:t>
      </w:r>
    </w:p>
    <w:p>
      <w:pPr>
        <w:spacing w:after="0" w:line="25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231F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33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231F20"/>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231F20"/>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24" w:lineRule="exact"/>
        <w:rPr>
          <w:sz w:val="20"/>
          <w:szCs w:val="20"/>
          <w:color w:val="auto"/>
        </w:rPr>
      </w:pPr>
    </w:p>
    <w:p>
      <w:pPr>
        <w:ind w:left="880" w:hanging="373"/>
        <w:spacing w:after="0"/>
        <w:tabs>
          <w:tab w:leader="none" w:pos="880" w:val="left"/>
        </w:tabs>
        <w:numPr>
          <w:ilvl w:val="0"/>
          <w:numId w:val="59"/>
        </w:numPr>
        <w:rPr>
          <w:rFonts w:ascii="Arial" w:cs="Arial" w:eastAsia="Arial" w:hAnsi="Arial"/>
          <w:sz w:val="25"/>
          <w:szCs w:val="25"/>
          <w:color w:val="auto"/>
          <w:vertAlign w:val="superscript"/>
        </w:rPr>
      </w:pPr>
      <w:r>
        <w:rPr>
          <w:rFonts w:ascii="Arial" w:cs="Arial" w:eastAsia="Arial" w:hAnsi="Arial"/>
          <w:sz w:val="18"/>
          <w:szCs w:val="18"/>
          <w:color w:val="231F20"/>
        </w:rPr>
        <w:t>any derivative action or proceeding brought on our behalf;</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9"/>
        </w:numPr>
        <w:rPr>
          <w:rFonts w:ascii="Arial" w:cs="Arial" w:eastAsia="Arial" w:hAnsi="Arial"/>
          <w:sz w:val="25"/>
          <w:szCs w:val="25"/>
          <w:color w:val="auto"/>
          <w:vertAlign w:val="superscript"/>
        </w:rPr>
      </w:pPr>
      <w:r>
        <w:rPr>
          <w:rFonts w:ascii="Arial" w:cs="Arial" w:eastAsia="Arial" w:hAnsi="Arial"/>
          <w:sz w:val="18"/>
          <w:szCs w:val="18"/>
          <w:color w:val="231F20"/>
        </w:rPr>
        <w:t>any action asserting a claim of breach of fiduciary duty;</w:t>
      </w:r>
    </w:p>
    <w:p>
      <w:pPr>
        <w:spacing w:after="0" w:line="107" w:lineRule="exact"/>
        <w:rPr>
          <w:rFonts w:ascii="Arial" w:cs="Arial" w:eastAsia="Arial" w:hAnsi="Arial"/>
          <w:sz w:val="25"/>
          <w:szCs w:val="25"/>
          <w:color w:val="auto"/>
          <w:vertAlign w:val="superscript"/>
        </w:rPr>
      </w:pPr>
    </w:p>
    <w:p>
      <w:pPr>
        <w:ind w:left="880" w:right="420" w:hanging="373"/>
        <w:spacing w:after="0" w:line="216" w:lineRule="auto"/>
        <w:tabs>
          <w:tab w:leader="none" w:pos="880" w:val="left"/>
        </w:tabs>
        <w:numPr>
          <w:ilvl w:val="0"/>
          <w:numId w:val="59"/>
        </w:numPr>
        <w:rPr>
          <w:rFonts w:ascii="Arial" w:cs="Arial" w:eastAsia="Arial" w:hAnsi="Arial"/>
          <w:sz w:val="25"/>
          <w:szCs w:val="25"/>
          <w:color w:val="auto"/>
          <w:vertAlign w:val="superscript"/>
        </w:rPr>
      </w:pPr>
      <w:r>
        <w:rPr>
          <w:rFonts w:ascii="Arial" w:cs="Arial" w:eastAsia="Arial" w:hAnsi="Arial"/>
          <w:sz w:val="18"/>
          <w:szCs w:val="18"/>
          <w:color w:val="231F20"/>
        </w:rPr>
        <w:t>any action asserting a claim against us arising under the DGCL, our amended and restated certificate of incorporation or our amended and restated bylaws; and</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59"/>
        </w:numPr>
        <w:rPr>
          <w:rFonts w:ascii="Arial" w:cs="Arial" w:eastAsia="Arial" w:hAnsi="Arial"/>
          <w:sz w:val="25"/>
          <w:szCs w:val="25"/>
          <w:color w:val="auto"/>
          <w:vertAlign w:val="superscript"/>
        </w:rPr>
      </w:pPr>
      <w:r>
        <w:rPr>
          <w:rFonts w:ascii="Arial" w:cs="Arial" w:eastAsia="Arial" w:hAnsi="Arial"/>
          <w:sz w:val="18"/>
          <w:szCs w:val="18"/>
          <w:color w:val="231F20"/>
        </w:rPr>
        <w:t>any action asserting a claim against us that is governed by the internal-affairs doctrine.</w:t>
      </w:r>
    </w:p>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231F20"/>
        </w:rPr>
        <w:t>This provision would not apply to suits brought to enforce a duty or liability created by the Exchange Act or any other claim for which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federal courts have exclusive jurisdiction.</w:t>
      </w:r>
    </w:p>
    <w:p>
      <w:pPr>
        <w:spacing w:after="0" w:line="238"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231F20"/>
        </w:rPr>
        <w:t>Our amended and restated bylaws further provide that the federal district courts of the United States of America will be the exclusive forum for resolving any complaint asserting a cause of action arising under the Securities Act.</w:t>
      </w:r>
    </w:p>
    <w:p>
      <w:pPr>
        <w:spacing w:after="0" w:line="197"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231F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In addition, these exclusive-forum provisions may impose additional litigation costs for stockholders who determine to pursue any such lawsuits against us.</w:t>
      </w:r>
    </w:p>
    <w:p>
      <w:pPr>
        <w:spacing w:after="0" w:line="192"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231F20"/>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ind w:left="120" w:right="80" w:firstLine="505"/>
        <w:spacing w:after="0" w:line="263" w:lineRule="auto"/>
        <w:rPr>
          <w:sz w:val="20"/>
          <w:szCs w:val="20"/>
          <w:color w:val="auto"/>
        </w:rPr>
      </w:pPr>
      <w:r>
        <w:rPr>
          <w:rFonts w:ascii="Arial" w:cs="Arial" w:eastAsia="Arial" w:hAnsi="Arial"/>
          <w:sz w:val="18"/>
          <w:szCs w:val="18"/>
          <w:color w:val="auto"/>
        </w:rPr>
        <w:t>From July 1, 2021 through July 30, 2021 (the date of the filing of our registration statement on Form S-8, File No. 333-258337), we granted to our employees stock options to purchase an aggregate of an aggregate of 446,998 shares of our common stock under the 2016 Plan at an exercise price of $10.56 per share.</w:t>
      </w:r>
    </w:p>
    <w:p>
      <w:pPr>
        <w:spacing w:after="0" w:line="184"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The sales of the above securities were deemed to be exempt from registration under the Securities Act in reliance upon Section 4 (a)(2)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1" w:name="page92"/>
    <w:bookmarkEnd w:id="91"/>
    <w:p>
      <w:pPr>
        <w:ind w:left="500" w:hanging="492"/>
        <w:spacing w:after="0"/>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Public Offering of Common Stock</w:t>
      </w:r>
    </w:p>
    <w:p>
      <w:pPr>
        <w:spacing w:after="0" w:line="12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On August 3, 2021, we completed our IPO and issued an aggregate of 13,800,000 shares of its common stock (inclusive of 1,800,000 shares pursuant to the underwriters’ overallotment option) at a price of $15.00 per share. The gross proceeds from the offering for shares sold in our IPO was $207.0 million. We received net proceeds from the IPO of approximately $188.5 million, after deducting underwriting discounts and commissions of approximately $14.5 million and offering expenses of approximately $4.0 million. None of the expenses associated with the IPO were paid to directors, officers, persons owning 10% or more of any class of equity securities, or to their associates. Morgan Stanley &amp; Co. LLC, Piper Sandler &amp; Co. and Cowen and Company, LLC acted as book-running managers for the IPO. Shares of our common stock began trading on the Nasdaq Global Select Market on July 30, 2021. The offer and sale of the shares were registered under the Securities Act on a registration statement on Form S-1 (Registration No. 333-257820), which was declared effective on July 29, 2021. There has been no material change in the planned use of proceeds from our IPO as described in the registration statement on Form S-1.</w:t>
      </w:r>
    </w:p>
    <w:p>
      <w:pPr>
        <w:spacing w:after="0" w:line="285" w:lineRule="exact"/>
        <w:rPr>
          <w:sz w:val="20"/>
          <w:szCs w:val="20"/>
          <w:color w:val="auto"/>
        </w:rPr>
      </w:pPr>
    </w:p>
    <w:p>
      <w:pPr>
        <w:ind w:left="520" w:right="7800" w:hanging="512"/>
        <w:spacing w:after="0" w:line="407" w:lineRule="auto"/>
        <w:tabs>
          <w:tab w:leader="none" w:pos="51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3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27"/>
        </w:trPr>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3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Form</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040" w:type="dxa"/>
            <w:vAlign w:val="bottom"/>
          </w:tcPr>
          <w:p>
            <w:pPr>
              <w:jc w:val="center"/>
              <w:ind w:left="170"/>
              <w:spacing w:after="0"/>
              <w:rPr>
                <w:sz w:val="20"/>
                <w:szCs w:val="20"/>
                <w:color w:val="auto"/>
              </w:rPr>
            </w:pPr>
            <w:r>
              <w:rPr>
                <w:rFonts w:ascii="Arial" w:cs="Arial" w:eastAsia="Arial" w:hAnsi="Arial"/>
                <w:sz w:val="18"/>
                <w:szCs w:val="18"/>
                <w:b w:val="1"/>
                <w:bCs w:val="1"/>
                <w:color w:val="auto"/>
                <w:w w:val="96"/>
              </w:rPr>
              <w:t>Exhibit</w:t>
            </w: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Filing Date</w:t>
            </w:r>
          </w:p>
        </w:tc>
      </w:tr>
      <w:tr>
        <w:trPr>
          <w:trHeight w:val="234"/>
        </w:trPr>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3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b w:val="1"/>
                <w:bCs w:val="1"/>
                <w:color w:val="auto"/>
              </w:rPr>
              <w:t>Description</w:t>
            </w:r>
          </w:p>
        </w:tc>
        <w:tc>
          <w:tcPr>
            <w:tcW w:w="10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82"/>
        </w:trPr>
        <w:tc>
          <w:tcPr>
            <w:tcW w:w="1560" w:type="dxa"/>
            <w:vAlign w:val="bottom"/>
          </w:tcPr>
          <w:p>
            <w:pPr>
              <w:spacing w:after="0" w:line="182" w:lineRule="exact"/>
              <w:rPr>
                <w:sz w:val="20"/>
                <w:szCs w:val="20"/>
                <w:color w:val="auto"/>
              </w:rPr>
            </w:pPr>
            <w:r>
              <w:rPr>
                <w:rFonts w:ascii="Arial" w:cs="Arial" w:eastAsia="Arial" w:hAnsi="Arial"/>
                <w:sz w:val="18"/>
                <w:szCs w:val="18"/>
                <w:color w:val="auto"/>
              </w:rPr>
              <w:t>3.1</w:t>
            </w:r>
          </w:p>
        </w:tc>
        <w:tc>
          <w:tcPr>
            <w:tcW w:w="4680" w:type="dxa"/>
            <w:vAlign w:val="bottom"/>
            <w:gridSpan w:val="3"/>
          </w:tcPr>
          <w:p>
            <w:pPr>
              <w:spacing w:after="0" w:line="182" w:lineRule="exact"/>
              <w:rPr>
                <w:rFonts w:ascii="Arial" w:cs="Arial" w:eastAsia="Arial" w:hAnsi="Arial"/>
                <w:sz w:val="18"/>
                <w:szCs w:val="18"/>
                <w:color w:val="0000EE"/>
                <w:w w:val="95"/>
              </w:rPr>
            </w:pPr>
            <w:hyperlink r:id="rId113">
              <w:r>
                <w:rPr>
                  <w:rFonts w:ascii="Arial" w:cs="Arial" w:eastAsia="Arial" w:hAnsi="Arial"/>
                  <w:sz w:val="18"/>
                  <w:szCs w:val="18"/>
                  <w:color w:val="0000EE"/>
                  <w:w w:val="95"/>
                </w:rPr>
                <w:t>Amended and Restated Certificate of Incorporation of Tenaya</w:t>
              </w:r>
            </w:hyperlink>
          </w:p>
        </w:tc>
        <w:tc>
          <w:tcPr>
            <w:tcW w:w="108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9"/>
              </w:rPr>
              <w:t>8-K</w:t>
            </w:r>
          </w:p>
        </w:tc>
        <w:tc>
          <w:tcPr>
            <w:tcW w:w="156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001-40656</w:t>
            </w:r>
          </w:p>
        </w:tc>
        <w:tc>
          <w:tcPr>
            <w:tcW w:w="1040" w:type="dxa"/>
            <w:vAlign w:val="bottom"/>
          </w:tcPr>
          <w:p>
            <w:pPr>
              <w:jc w:val="right"/>
              <w:ind w:right="190"/>
              <w:spacing w:after="0" w:line="182" w:lineRule="exact"/>
              <w:rPr>
                <w:sz w:val="20"/>
                <w:szCs w:val="20"/>
                <w:color w:val="auto"/>
              </w:rPr>
            </w:pPr>
            <w:r>
              <w:rPr>
                <w:rFonts w:ascii="Arial" w:cs="Arial" w:eastAsia="Arial" w:hAnsi="Arial"/>
                <w:sz w:val="18"/>
                <w:szCs w:val="18"/>
                <w:color w:val="auto"/>
              </w:rPr>
              <w:t>3.1</w:t>
            </w:r>
          </w:p>
        </w:tc>
        <w:tc>
          <w:tcPr>
            <w:tcW w:w="1320" w:type="dxa"/>
            <w:vAlign w:val="bottom"/>
          </w:tcPr>
          <w:p>
            <w:pPr>
              <w:jc w:val="right"/>
              <w:ind w:right="190"/>
              <w:spacing w:after="0" w:line="182" w:lineRule="exact"/>
              <w:rPr>
                <w:sz w:val="20"/>
                <w:szCs w:val="20"/>
                <w:color w:val="auto"/>
              </w:rPr>
            </w:pPr>
            <w:r>
              <w:rPr>
                <w:rFonts w:ascii="Arial" w:cs="Arial" w:eastAsia="Arial" w:hAnsi="Arial"/>
                <w:sz w:val="18"/>
                <w:szCs w:val="18"/>
                <w:color w:val="auto"/>
              </w:rPr>
              <w:t>8-3-2021</w:t>
            </w:r>
          </w:p>
        </w:tc>
      </w:tr>
      <w:tr>
        <w:trPr>
          <w:trHeight w:val="196"/>
        </w:trPr>
        <w:tc>
          <w:tcPr>
            <w:tcW w:w="1560" w:type="dxa"/>
            <w:vAlign w:val="bottom"/>
          </w:tcPr>
          <w:p>
            <w:pPr>
              <w:spacing w:after="0"/>
              <w:rPr>
                <w:sz w:val="17"/>
                <w:szCs w:val="17"/>
                <w:color w:val="auto"/>
              </w:rPr>
            </w:pPr>
          </w:p>
        </w:tc>
        <w:tc>
          <w:tcPr>
            <w:tcW w:w="13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Therapeutics, Inc.</w:t>
              </w:r>
            </w:hyperlink>
          </w:p>
        </w:tc>
        <w:tc>
          <w:tcPr>
            <w:tcW w:w="314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104" w:lineRule="exact"/>
        <w:rPr>
          <w:sz w:val="20"/>
          <w:szCs w:val="20"/>
          <w:color w:val="auto"/>
        </w:rPr>
      </w:pPr>
    </w:p>
    <w:p>
      <w:pPr>
        <w:sectPr>
          <w:pgSz w:w="11900" w:h="16838" w:orient="portrait"/>
          <w:cols w:equalWidth="0" w:num="1">
            <w:col w:w="11240"/>
          </w:cols>
          <w:pgMar w:left="320" w:top="337"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20"/>
                <w:szCs w:val="20"/>
                <w:color w:val="auto"/>
              </w:rPr>
            </w:pPr>
            <w:r>
              <w:rPr>
                <w:rFonts w:ascii="Arial" w:cs="Arial" w:eastAsia="Arial" w:hAnsi="Arial"/>
                <w:sz w:val="18"/>
                <w:szCs w:val="18"/>
                <w:color w:val="auto"/>
              </w:rPr>
              <w:t>3.2</w:t>
            </w:r>
          </w:p>
        </w:tc>
        <w:tc>
          <w:tcPr>
            <w:tcW w:w="4340" w:type="dxa"/>
            <w:vAlign w:val="bottom"/>
            <w:tcBorders>
              <w:bottom w:val="single" w:sz="8" w:color="0000EE"/>
            </w:tcBorders>
            <w:gridSpan w:val="4"/>
          </w:tcPr>
          <w:p>
            <w:pPr>
              <w:spacing w:after="0"/>
              <w:rPr>
                <w:rFonts w:ascii="Arial" w:cs="Arial" w:eastAsia="Arial" w:hAnsi="Arial"/>
                <w:sz w:val="18"/>
                <w:szCs w:val="18"/>
                <w:color w:val="0000EE"/>
                <w:w w:val="89"/>
              </w:rPr>
            </w:pPr>
            <w:hyperlink r:id="rId114">
              <w:r>
                <w:rPr>
                  <w:rFonts w:ascii="Arial" w:cs="Arial" w:eastAsia="Arial" w:hAnsi="Arial"/>
                  <w:sz w:val="18"/>
                  <w:szCs w:val="18"/>
                  <w:color w:val="0000EE"/>
                  <w:w w:val="89"/>
                </w:rPr>
                <w:t>Amended and Restated Bylaws of Tenaya Therapeutics, Inc.</w:t>
              </w:r>
            </w:hyperlink>
          </w:p>
        </w:tc>
      </w:tr>
      <w:tr>
        <w:trPr>
          <w:trHeight w:val="304"/>
        </w:trPr>
        <w:tc>
          <w:tcPr>
            <w:tcW w:w="1560" w:type="dxa"/>
            <w:vAlign w:val="bottom"/>
          </w:tcPr>
          <w:p>
            <w:pPr>
              <w:spacing w:after="0"/>
              <w:rPr>
                <w:sz w:val="20"/>
                <w:szCs w:val="20"/>
                <w:color w:val="auto"/>
              </w:rPr>
            </w:pPr>
            <w:r>
              <w:rPr>
                <w:rFonts w:ascii="Arial" w:cs="Arial" w:eastAsia="Arial" w:hAnsi="Arial"/>
                <w:sz w:val="18"/>
                <w:szCs w:val="18"/>
                <w:color w:val="auto"/>
              </w:rPr>
              <w:t>4.1</w:t>
            </w:r>
          </w:p>
        </w:tc>
        <w:tc>
          <w:tcPr>
            <w:tcW w:w="3820" w:type="dxa"/>
            <w:vAlign w:val="bottom"/>
            <w:tcBorders>
              <w:bottom w:val="single" w:sz="8" w:color="0000EE"/>
            </w:tcBorders>
            <w:gridSpan w:val="2"/>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Specimen common stock certificate of the Registrant</w:t>
              </w:r>
            </w:hyperlink>
          </w:p>
        </w:tc>
        <w:tc>
          <w:tcPr>
            <w:tcW w:w="520" w:type="dxa"/>
            <w:vAlign w:val="bottom"/>
            <w:gridSpan w:val="2"/>
          </w:tcPr>
          <w:p>
            <w:pPr>
              <w:spacing w:after="0"/>
              <w:rPr>
                <w:sz w:val="24"/>
                <w:szCs w:val="24"/>
                <w:color w:val="auto"/>
              </w:rPr>
            </w:pPr>
          </w:p>
        </w:tc>
      </w:tr>
      <w:tr>
        <w:trPr>
          <w:trHeight w:val="304"/>
        </w:trPr>
        <w:tc>
          <w:tcPr>
            <w:tcW w:w="1560" w:type="dxa"/>
            <w:vAlign w:val="bottom"/>
          </w:tcPr>
          <w:p>
            <w:pPr>
              <w:spacing w:after="0"/>
              <w:rPr>
                <w:sz w:val="20"/>
                <w:szCs w:val="20"/>
                <w:color w:val="auto"/>
              </w:rPr>
            </w:pPr>
            <w:r>
              <w:rPr>
                <w:rFonts w:ascii="Arial" w:cs="Arial" w:eastAsia="Arial" w:hAnsi="Arial"/>
                <w:sz w:val="18"/>
                <w:szCs w:val="18"/>
                <w:color w:val="auto"/>
              </w:rPr>
              <w:t>10.1</w:t>
            </w:r>
          </w:p>
        </w:tc>
        <w:tc>
          <w:tcPr>
            <w:tcW w:w="4320" w:type="dxa"/>
            <w:vAlign w:val="bottom"/>
            <w:tcBorders>
              <w:bottom w:val="single" w:sz="8" w:color="0000EE"/>
            </w:tcBorders>
            <w:gridSpan w:val="3"/>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Form of Indemnification Agreement between the Registrant</w:t>
              </w:r>
            </w:hyperlink>
          </w:p>
        </w:tc>
        <w:tc>
          <w:tcPr>
            <w:tcW w:w="20" w:type="dxa"/>
            <w:vAlign w:val="bottom"/>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340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and each of its directors and executive officers.</w:t>
              </w:r>
            </w:hyperlink>
          </w:p>
        </w:tc>
        <w:tc>
          <w:tcPr>
            <w:tcW w:w="940" w:type="dxa"/>
            <w:vAlign w:val="bottom"/>
            <w:gridSpan w:val="3"/>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001-40656</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87"/>
              </w:rPr>
              <w:t>3.2</w:t>
            </w:r>
          </w:p>
        </w:tc>
        <w:tc>
          <w:tcPr>
            <w:tcW w:w="1040" w:type="dxa"/>
            <w:vAlign w:val="bottom"/>
          </w:tcPr>
          <w:p>
            <w:pPr>
              <w:jc w:val="center"/>
              <w:ind w:left="170"/>
              <w:spacing w:after="0"/>
              <w:rPr>
                <w:sz w:val="20"/>
                <w:szCs w:val="20"/>
                <w:color w:val="auto"/>
              </w:rPr>
            </w:pPr>
            <w:r>
              <w:rPr>
                <w:rFonts w:ascii="Arial" w:cs="Arial" w:eastAsia="Arial" w:hAnsi="Arial"/>
                <w:sz w:val="18"/>
                <w:szCs w:val="18"/>
                <w:color w:val="auto"/>
                <w:w w:val="91"/>
              </w:rPr>
              <w:t>8-3-2021</w:t>
            </w:r>
          </w:p>
        </w:tc>
      </w:tr>
      <w:tr>
        <w:trPr>
          <w:trHeight w:val="324"/>
        </w:trPr>
        <w:tc>
          <w:tcPr>
            <w:tcW w:w="840" w:type="dxa"/>
            <w:vAlign w:val="bottom"/>
          </w:tcPr>
          <w:p>
            <w:pPr>
              <w:jc w:val="center"/>
              <w:ind w:right="310"/>
              <w:spacing w:after="0"/>
              <w:rPr>
                <w:sz w:val="20"/>
                <w:szCs w:val="20"/>
                <w:color w:val="auto"/>
              </w:rPr>
            </w:pPr>
            <w:r>
              <w:rPr>
                <w:rFonts w:ascii="Arial" w:cs="Arial" w:eastAsia="Arial" w:hAnsi="Arial"/>
                <w:sz w:val="18"/>
                <w:szCs w:val="18"/>
                <w:color w:val="auto"/>
                <w:w w:val="97"/>
              </w:rPr>
              <w:t>S-1/A</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333-257820</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87"/>
              </w:rPr>
              <w:t>4.2</w:t>
            </w:r>
          </w:p>
        </w:tc>
        <w:tc>
          <w:tcPr>
            <w:tcW w:w="1040" w:type="dxa"/>
            <w:vAlign w:val="bottom"/>
          </w:tcPr>
          <w:p>
            <w:pPr>
              <w:jc w:val="center"/>
              <w:ind w:left="190"/>
              <w:spacing w:after="0"/>
              <w:rPr>
                <w:sz w:val="20"/>
                <w:szCs w:val="20"/>
                <w:color w:val="auto"/>
              </w:rPr>
            </w:pPr>
            <w:r>
              <w:rPr>
                <w:rFonts w:ascii="Arial" w:cs="Arial" w:eastAsia="Arial" w:hAnsi="Arial"/>
                <w:sz w:val="18"/>
                <w:szCs w:val="18"/>
                <w:color w:val="auto"/>
                <w:w w:val="92"/>
              </w:rPr>
              <w:t>7-26-2021</w:t>
            </w:r>
          </w:p>
        </w:tc>
      </w:tr>
      <w:tr>
        <w:trPr>
          <w:trHeight w:val="324"/>
        </w:trPr>
        <w:tc>
          <w:tcPr>
            <w:tcW w:w="840" w:type="dxa"/>
            <w:vAlign w:val="bottom"/>
          </w:tcPr>
          <w:p>
            <w:pPr>
              <w:jc w:val="center"/>
              <w:ind w:right="310"/>
              <w:spacing w:after="0"/>
              <w:rPr>
                <w:sz w:val="20"/>
                <w:szCs w:val="20"/>
                <w:color w:val="auto"/>
              </w:rPr>
            </w:pPr>
            <w:r>
              <w:rPr>
                <w:rFonts w:ascii="Arial" w:cs="Arial" w:eastAsia="Arial" w:hAnsi="Arial"/>
                <w:sz w:val="18"/>
                <w:szCs w:val="18"/>
                <w:color w:val="auto"/>
                <w:w w:val="97"/>
              </w:rPr>
              <w:t>S-1/A</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333-257820</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1"/>
              </w:rPr>
              <w:t>10.1</w:t>
            </w:r>
          </w:p>
        </w:tc>
        <w:tc>
          <w:tcPr>
            <w:tcW w:w="1040" w:type="dxa"/>
            <w:vAlign w:val="bottom"/>
          </w:tcPr>
          <w:p>
            <w:pPr>
              <w:jc w:val="center"/>
              <w:ind w:left="190"/>
              <w:spacing w:after="0"/>
              <w:rPr>
                <w:sz w:val="20"/>
                <w:szCs w:val="20"/>
                <w:color w:val="auto"/>
              </w:rPr>
            </w:pPr>
            <w:r>
              <w:rPr>
                <w:rFonts w:ascii="Arial" w:cs="Arial" w:eastAsia="Arial" w:hAnsi="Arial"/>
                <w:sz w:val="18"/>
                <w:szCs w:val="18"/>
                <w:color w:val="auto"/>
                <w:w w:val="92"/>
              </w:rPr>
              <w:t>7-26-2021</w:t>
            </w:r>
          </w:p>
        </w:tc>
      </w:tr>
    </w:tbl>
    <w:p>
      <w:pPr>
        <w:spacing w:after="0" w:line="306" w:lineRule="exact"/>
        <w:rPr>
          <w:sz w:val="20"/>
          <w:szCs w:val="20"/>
          <w:color w:val="auto"/>
        </w:rPr>
      </w:pPr>
    </w:p>
    <w:p>
      <w:pPr>
        <w:sectPr>
          <w:pgSz w:w="11900" w:h="16838" w:orient="portrait"/>
          <w:cols w:equalWidth="0" w:num="2">
            <w:col w:w="5900" w:space="560"/>
            <w:col w:w="478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60" w:type="dxa"/>
            <w:vAlign w:val="bottom"/>
          </w:tcPr>
          <w:p>
            <w:pPr>
              <w:jc w:val="right"/>
              <w:ind w:right="1150"/>
              <w:spacing w:after="0"/>
              <w:rPr>
                <w:sz w:val="20"/>
                <w:szCs w:val="20"/>
                <w:color w:val="auto"/>
              </w:rPr>
            </w:pPr>
            <w:r>
              <w:rPr>
                <w:rFonts w:ascii="Arial" w:cs="Arial" w:eastAsia="Arial" w:hAnsi="Arial"/>
                <w:sz w:val="18"/>
                <w:szCs w:val="18"/>
                <w:color w:val="auto"/>
                <w:w w:val="85"/>
              </w:rPr>
              <w:t>10.2</w:t>
            </w:r>
          </w:p>
        </w:tc>
        <w:tc>
          <w:tcPr>
            <w:tcW w:w="380" w:type="dxa"/>
            <w:vAlign w:val="bottom"/>
            <w:tcBorders>
              <w:bottom w:val="single" w:sz="8" w:color="0000EE"/>
            </w:tcBorders>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2021</w:t>
              </w:r>
            </w:hyperlink>
          </w:p>
        </w:tc>
        <w:tc>
          <w:tcPr>
            <w:tcW w:w="3420" w:type="dxa"/>
            <w:vAlign w:val="bottom"/>
            <w:tcBorders>
              <w:bottom w:val="single" w:sz="8" w:color="0000EE"/>
            </w:tcBorders>
            <w:gridSpan w:val="2"/>
          </w:tcPr>
          <w:p>
            <w:pPr>
              <w:ind w:left="20"/>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Equity Incentive Plan and forms of agreements</w:t>
              </w:r>
            </w:hyperlink>
          </w:p>
        </w:tc>
        <w:tc>
          <w:tcPr>
            <w:tcW w:w="680" w:type="dxa"/>
            <w:vAlign w:val="bottom"/>
          </w:tcPr>
          <w:p>
            <w:pPr>
              <w:spacing w:after="0"/>
              <w:rPr>
                <w:sz w:val="17"/>
                <w:szCs w:val="17"/>
                <w:color w:val="auto"/>
              </w:rPr>
            </w:pPr>
          </w:p>
        </w:tc>
        <w:tc>
          <w:tcPr>
            <w:tcW w:w="1260" w:type="dxa"/>
            <w:vAlign w:val="bottom"/>
          </w:tcPr>
          <w:p>
            <w:pPr>
              <w:ind w:left="420"/>
              <w:spacing w:after="0"/>
              <w:rPr>
                <w:sz w:val="20"/>
                <w:szCs w:val="20"/>
                <w:color w:val="auto"/>
              </w:rPr>
            </w:pPr>
            <w:r>
              <w:rPr>
                <w:rFonts w:ascii="Arial" w:cs="Arial" w:eastAsia="Arial" w:hAnsi="Arial"/>
                <w:sz w:val="18"/>
                <w:szCs w:val="18"/>
                <w:color w:val="auto"/>
              </w:rPr>
              <w:t>S-1/A</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333-257820</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10.3</w:t>
            </w:r>
          </w:p>
        </w:tc>
        <w:tc>
          <w:tcPr>
            <w:tcW w:w="1040" w:type="dxa"/>
            <w:vAlign w:val="bottom"/>
          </w:tcPr>
          <w:p>
            <w:pPr>
              <w:jc w:val="right"/>
              <w:spacing w:after="0"/>
              <w:rPr>
                <w:sz w:val="20"/>
                <w:szCs w:val="20"/>
                <w:color w:val="auto"/>
              </w:rPr>
            </w:pPr>
            <w:r>
              <w:rPr>
                <w:rFonts w:ascii="Arial" w:cs="Arial" w:eastAsia="Arial" w:hAnsi="Arial"/>
                <w:sz w:val="18"/>
                <w:szCs w:val="18"/>
                <w:color w:val="auto"/>
              </w:rPr>
              <w:t>7-26-2021</w:t>
            </w: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4480" w:type="dxa"/>
            <w:vAlign w:val="bottom"/>
            <w:gridSpan w:val="4"/>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thereunder.</w:t>
              </w:r>
            </w:hyperlink>
          </w:p>
        </w:tc>
        <w:tc>
          <w:tcPr>
            <w:tcW w:w="1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260" w:type="dxa"/>
            <w:vAlign w:val="bottom"/>
            <w:vMerge w:val="restart"/>
          </w:tcPr>
          <w:p>
            <w:pPr>
              <w:ind w:left="420"/>
              <w:spacing w:after="0"/>
              <w:rPr>
                <w:sz w:val="20"/>
                <w:szCs w:val="20"/>
                <w:color w:val="auto"/>
              </w:rPr>
            </w:pPr>
            <w:r>
              <w:rPr>
                <w:rFonts w:ascii="Arial" w:cs="Arial" w:eastAsia="Arial" w:hAnsi="Arial"/>
                <w:sz w:val="18"/>
                <w:szCs w:val="18"/>
                <w:color w:val="auto"/>
              </w:rPr>
              <w:t>S-1/A</w:t>
            </w:r>
          </w:p>
        </w:tc>
        <w:tc>
          <w:tcPr>
            <w:tcW w:w="1660" w:type="dxa"/>
            <w:vAlign w:val="bottom"/>
            <w:vMerge w:val="restart"/>
          </w:tcPr>
          <w:p>
            <w:pPr>
              <w:jc w:val="right"/>
              <w:ind w:right="310"/>
              <w:spacing w:after="0"/>
              <w:rPr>
                <w:sz w:val="20"/>
                <w:szCs w:val="20"/>
                <w:color w:val="auto"/>
              </w:rPr>
            </w:pPr>
            <w:r>
              <w:rPr>
                <w:rFonts w:ascii="Arial" w:cs="Arial" w:eastAsia="Arial" w:hAnsi="Arial"/>
                <w:sz w:val="18"/>
                <w:szCs w:val="18"/>
                <w:color w:val="auto"/>
              </w:rPr>
              <w:t>333-257820</w:t>
            </w: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color w:val="auto"/>
              </w:rPr>
              <w:t>10.4</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7-26-2021</w:t>
            </w:r>
          </w:p>
        </w:tc>
        <w:tc>
          <w:tcPr>
            <w:tcW w:w="0" w:type="dxa"/>
            <w:vAlign w:val="bottom"/>
          </w:tcPr>
          <w:p>
            <w:pPr>
              <w:spacing w:after="0" w:line="20" w:lineRule="exact"/>
              <w:rPr>
                <w:sz w:val="1"/>
                <w:szCs w:val="1"/>
                <w:color w:val="auto"/>
              </w:rPr>
            </w:pPr>
          </w:p>
        </w:tc>
      </w:tr>
      <w:tr>
        <w:trPr>
          <w:trHeight w:val="304"/>
        </w:trPr>
        <w:tc>
          <w:tcPr>
            <w:tcW w:w="1560" w:type="dxa"/>
            <w:vAlign w:val="bottom"/>
          </w:tcPr>
          <w:p>
            <w:pPr>
              <w:jc w:val="right"/>
              <w:ind w:right="1150"/>
              <w:spacing w:after="0"/>
              <w:rPr>
                <w:sz w:val="20"/>
                <w:szCs w:val="20"/>
                <w:color w:val="auto"/>
              </w:rPr>
            </w:pPr>
            <w:r>
              <w:rPr>
                <w:rFonts w:ascii="Arial" w:cs="Arial" w:eastAsia="Arial" w:hAnsi="Arial"/>
                <w:sz w:val="18"/>
                <w:szCs w:val="18"/>
                <w:color w:val="auto"/>
                <w:w w:val="85"/>
              </w:rPr>
              <w:t>10.3</w:t>
            </w:r>
          </w:p>
        </w:tc>
        <w:tc>
          <w:tcPr>
            <w:tcW w:w="380" w:type="dxa"/>
            <w:vAlign w:val="bottom"/>
            <w:tcBorders>
              <w:bottom w:val="single" w:sz="8" w:color="0000EE"/>
            </w:tcBorders>
          </w:tcPr>
          <w:p>
            <w:pPr>
              <w:spacing w:after="0"/>
              <w:rPr>
                <w:rFonts w:ascii="Arial" w:cs="Arial" w:eastAsia="Arial" w:hAnsi="Arial"/>
                <w:sz w:val="18"/>
                <w:szCs w:val="18"/>
                <w:color w:val="0000EE"/>
                <w:w w:val="89"/>
              </w:rPr>
            </w:pPr>
            <w:hyperlink r:id="rId118">
              <w:r>
                <w:rPr>
                  <w:rFonts w:ascii="Arial" w:cs="Arial" w:eastAsia="Arial" w:hAnsi="Arial"/>
                  <w:sz w:val="18"/>
                  <w:szCs w:val="18"/>
                  <w:color w:val="0000EE"/>
                  <w:w w:val="89"/>
                </w:rPr>
                <w:t>2021</w:t>
              </w:r>
            </w:hyperlink>
          </w:p>
        </w:tc>
        <w:tc>
          <w:tcPr>
            <w:tcW w:w="4100" w:type="dxa"/>
            <w:vAlign w:val="bottom"/>
            <w:tcBorders>
              <w:bottom w:val="single" w:sz="8" w:color="0000EE"/>
            </w:tcBorders>
            <w:gridSpan w:val="3"/>
          </w:tcPr>
          <w:p>
            <w:pPr>
              <w:ind w:left="20"/>
              <w:spacing w:after="0"/>
              <w:rPr>
                <w:rFonts w:ascii="Arial" w:cs="Arial" w:eastAsia="Arial" w:hAnsi="Arial"/>
                <w:sz w:val="18"/>
                <w:szCs w:val="18"/>
                <w:color w:val="0000EE"/>
                <w:w w:val="88"/>
              </w:rPr>
            </w:pPr>
            <w:hyperlink r:id="rId118">
              <w:r>
                <w:rPr>
                  <w:rFonts w:ascii="Arial" w:cs="Arial" w:eastAsia="Arial" w:hAnsi="Arial"/>
                  <w:sz w:val="18"/>
                  <w:szCs w:val="18"/>
                  <w:color w:val="0000EE"/>
                  <w:w w:val="88"/>
                </w:rPr>
                <w:t>Employee Stock Purchase Plan and forms of agreements</w:t>
              </w:r>
            </w:hyperlink>
          </w:p>
        </w:tc>
        <w:tc>
          <w:tcPr>
            <w:tcW w:w="126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4480" w:type="dxa"/>
            <w:vAlign w:val="bottom"/>
            <w:gridSpan w:val="4"/>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thereunder.</w:t>
              </w:r>
            </w:hyperlink>
          </w:p>
        </w:tc>
        <w:tc>
          <w:tcPr>
            <w:tcW w:w="1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sectPr>
          <w:pgSz w:w="11900" w:h="16838" w:orient="portrait"/>
          <w:cols w:equalWidth="0" w:num="1">
            <w:col w:w="1124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20"/>
                <w:szCs w:val="20"/>
                <w:color w:val="auto"/>
              </w:rPr>
            </w:pPr>
            <w:r>
              <w:rPr>
                <w:rFonts w:ascii="Arial" w:cs="Arial" w:eastAsia="Arial" w:hAnsi="Arial"/>
                <w:sz w:val="18"/>
                <w:szCs w:val="18"/>
                <w:color w:val="auto"/>
              </w:rPr>
              <w:t>10.4</w:t>
            </w:r>
          </w:p>
        </w:tc>
        <w:tc>
          <w:tcPr>
            <w:tcW w:w="4520" w:type="dxa"/>
            <w:vAlign w:val="bottom"/>
            <w:gridSpan w:val="15"/>
          </w:tcPr>
          <w:p>
            <w:pPr>
              <w:spacing w:after="0"/>
              <w:rPr>
                <w:rFonts w:ascii="Arial" w:cs="Arial" w:eastAsia="Arial" w:hAnsi="Arial"/>
                <w:sz w:val="18"/>
                <w:szCs w:val="18"/>
                <w:color w:val="0000EE"/>
                <w:w w:val="98"/>
              </w:rPr>
            </w:pPr>
            <w:hyperlink r:id="rId119">
              <w:r>
                <w:rPr>
                  <w:rFonts w:ascii="Arial" w:cs="Arial" w:eastAsia="Arial" w:hAnsi="Arial"/>
                  <w:sz w:val="18"/>
                  <w:szCs w:val="18"/>
                  <w:color w:val="0000EE"/>
                  <w:w w:val="98"/>
                </w:rPr>
                <w:t>Employment Letter between the Registrant and Faraz Ali,</w:t>
              </w:r>
            </w:hyperlink>
          </w:p>
        </w:tc>
      </w:tr>
      <w:tr>
        <w:trPr>
          <w:trHeight w:val="196"/>
        </w:trPr>
        <w:tc>
          <w:tcPr>
            <w:tcW w:w="1560" w:type="dxa"/>
            <w:vAlign w:val="bottom"/>
          </w:tcPr>
          <w:p>
            <w:pPr>
              <w:spacing w:after="0"/>
              <w:rPr>
                <w:sz w:val="17"/>
                <w:szCs w:val="17"/>
                <w:color w:val="auto"/>
              </w:rPr>
            </w:pPr>
          </w:p>
        </w:tc>
        <w:tc>
          <w:tcPr>
            <w:tcW w:w="41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M.B.A.</w:t>
              </w:r>
            </w:hyperlink>
          </w:p>
        </w:tc>
        <w:tc>
          <w:tcPr>
            <w:tcW w:w="360" w:type="dxa"/>
            <w:vAlign w:val="bottom"/>
            <w:gridSpan w:val="5"/>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560" w:type="dxa"/>
            <w:vAlign w:val="bottom"/>
          </w:tcPr>
          <w:p>
            <w:pPr>
              <w:spacing w:after="0"/>
              <w:rPr>
                <w:sz w:val="20"/>
                <w:szCs w:val="20"/>
                <w:color w:val="auto"/>
              </w:rPr>
            </w:pPr>
            <w:r>
              <w:rPr>
                <w:rFonts w:ascii="Arial" w:cs="Arial" w:eastAsia="Arial" w:hAnsi="Arial"/>
                <w:sz w:val="18"/>
                <w:szCs w:val="18"/>
                <w:color w:val="auto"/>
              </w:rPr>
              <w:t>10.5</w:t>
            </w:r>
          </w:p>
        </w:tc>
        <w:tc>
          <w:tcPr>
            <w:tcW w:w="4520" w:type="dxa"/>
            <w:vAlign w:val="bottom"/>
            <w:tcBorders>
              <w:bottom w:val="single" w:sz="8" w:color="0000EE"/>
            </w:tcBorders>
            <w:gridSpan w:val="15"/>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Employment Letter between the Registrant and Timothy Hoey,</w:t>
              </w:r>
            </w:hyperlink>
          </w:p>
        </w:tc>
      </w:tr>
      <w:tr>
        <w:trPr>
          <w:trHeight w:val="196"/>
        </w:trPr>
        <w:tc>
          <w:tcPr>
            <w:tcW w:w="156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20">
              <w:r>
                <w:rPr>
                  <w:rFonts w:ascii="Arial" w:cs="Arial" w:eastAsia="Arial" w:hAnsi="Arial"/>
                  <w:sz w:val="18"/>
                  <w:szCs w:val="18"/>
                  <w:color w:val="0000EE"/>
                  <w:w w:val="88"/>
                </w:rPr>
                <w:t>Ph.D.</w:t>
              </w:r>
            </w:hyperlink>
          </w:p>
        </w:tc>
        <w:tc>
          <w:tcPr>
            <w:tcW w:w="4100" w:type="dxa"/>
            <w:vAlign w:val="bottom"/>
            <w:gridSpan w:val="14"/>
          </w:tcPr>
          <w:p>
            <w:pPr>
              <w:spacing w:after="0"/>
              <w:rPr>
                <w:sz w:val="17"/>
                <w:szCs w:val="17"/>
                <w:color w:val="auto"/>
              </w:rPr>
            </w:pPr>
          </w:p>
        </w:tc>
      </w:tr>
      <w:tr>
        <w:trPr>
          <w:trHeight w:val="304"/>
        </w:trPr>
        <w:tc>
          <w:tcPr>
            <w:tcW w:w="1560" w:type="dxa"/>
            <w:vAlign w:val="bottom"/>
          </w:tcPr>
          <w:p>
            <w:pPr>
              <w:spacing w:after="0"/>
              <w:rPr>
                <w:sz w:val="20"/>
                <w:szCs w:val="20"/>
                <w:color w:val="auto"/>
              </w:rPr>
            </w:pPr>
            <w:r>
              <w:rPr>
                <w:rFonts w:ascii="Arial" w:cs="Arial" w:eastAsia="Arial" w:hAnsi="Arial"/>
                <w:sz w:val="18"/>
                <w:szCs w:val="18"/>
                <w:color w:val="auto"/>
              </w:rPr>
              <w:t>10.6</w:t>
            </w:r>
          </w:p>
        </w:tc>
        <w:tc>
          <w:tcPr>
            <w:tcW w:w="4120" w:type="dxa"/>
            <w:vAlign w:val="bottom"/>
            <w:tcBorders>
              <w:bottom w:val="single" w:sz="8" w:color="0000EE"/>
            </w:tcBorders>
            <w:gridSpan w:val="9"/>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Employment Letter between the Registrant and Leone D.</w:t>
              </w:r>
            </w:hyperlink>
          </w:p>
        </w:tc>
        <w:tc>
          <w:tcPr>
            <w:tcW w:w="400" w:type="dxa"/>
            <w:vAlign w:val="bottom"/>
            <w:gridSpan w:val="6"/>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4520" w:type="dxa"/>
            <w:vAlign w:val="bottom"/>
            <w:gridSpan w:val="15"/>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Patterson, M.B.A.</w:t>
              </w:r>
            </w:hyperlink>
          </w:p>
        </w:tc>
      </w:tr>
      <w:tr>
        <w:trPr>
          <w:trHeight w:val="20"/>
        </w:trPr>
        <w:tc>
          <w:tcPr>
            <w:tcW w:w="156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560" w:type="dxa"/>
            <w:vAlign w:val="bottom"/>
          </w:tcPr>
          <w:p>
            <w:pPr>
              <w:spacing w:after="0"/>
              <w:rPr>
                <w:sz w:val="20"/>
                <w:szCs w:val="20"/>
                <w:color w:val="auto"/>
              </w:rPr>
            </w:pPr>
            <w:r>
              <w:rPr>
                <w:rFonts w:ascii="Arial" w:cs="Arial" w:eastAsia="Arial" w:hAnsi="Arial"/>
                <w:sz w:val="18"/>
                <w:szCs w:val="18"/>
                <w:color w:val="auto"/>
              </w:rPr>
              <w:t>10.7</w:t>
            </w:r>
          </w:p>
        </w:tc>
        <w:tc>
          <w:tcPr>
            <w:tcW w:w="4520" w:type="dxa"/>
            <w:vAlign w:val="bottom"/>
            <w:gridSpan w:val="15"/>
          </w:tcPr>
          <w:p>
            <w:pPr>
              <w:spacing w:after="0"/>
              <w:rPr>
                <w:rFonts w:ascii="Arial" w:cs="Arial" w:eastAsia="Arial" w:hAnsi="Arial"/>
                <w:sz w:val="18"/>
                <w:szCs w:val="18"/>
                <w:color w:val="0000EE"/>
                <w:w w:val="95"/>
              </w:rPr>
            </w:pPr>
            <w:hyperlink r:id="rId122">
              <w:r>
                <w:rPr>
                  <w:rFonts w:ascii="Arial" w:cs="Arial" w:eastAsia="Arial" w:hAnsi="Arial"/>
                  <w:sz w:val="18"/>
                  <w:szCs w:val="18"/>
                  <w:color w:val="0000EE"/>
                  <w:w w:val="95"/>
                </w:rPr>
                <w:t>Employment Letter between the Registrant and Whittemore</w:t>
              </w:r>
            </w:hyperlink>
          </w:p>
        </w:tc>
      </w:tr>
      <w:tr>
        <w:trPr>
          <w:trHeight w:val="196"/>
        </w:trPr>
        <w:tc>
          <w:tcPr>
            <w:tcW w:w="156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r:id="rId122">
              <w:r>
                <w:rPr>
                  <w:rFonts w:ascii="Arial" w:cs="Arial" w:eastAsia="Arial" w:hAnsi="Arial"/>
                  <w:sz w:val="18"/>
                  <w:szCs w:val="18"/>
                  <w:color w:val="0000EE"/>
                  <w:w w:val="94"/>
                </w:rPr>
                <w:t>(Whit) Tingley, M.D., Ph.D.</w:t>
              </w:r>
            </w:hyperlink>
          </w:p>
        </w:tc>
        <w:tc>
          <w:tcPr>
            <w:tcW w:w="2260" w:type="dxa"/>
            <w:vAlign w:val="bottom"/>
            <w:tcBorders>
              <w:top w:val="single" w:sz="8" w:color="0000EE"/>
            </w:tcBorders>
            <w:gridSpan w:val="7"/>
          </w:tcPr>
          <w:p>
            <w:pPr>
              <w:spacing w:after="0"/>
              <w:rPr>
                <w:sz w:val="17"/>
                <w:szCs w:val="17"/>
                <w:color w:val="auto"/>
              </w:rPr>
            </w:pPr>
          </w:p>
        </w:tc>
        <w:tc>
          <w:tcPr>
            <w:tcW w:w="220" w:type="dxa"/>
            <w:vAlign w:val="bottom"/>
            <w:gridSpan w:val="3"/>
          </w:tcPr>
          <w:p>
            <w:pPr>
              <w:spacing w:after="0"/>
              <w:rPr>
                <w:sz w:val="17"/>
                <w:szCs w:val="17"/>
                <w:color w:val="auto"/>
              </w:rPr>
            </w:pPr>
          </w:p>
        </w:tc>
      </w:tr>
      <w:tr>
        <w:trPr>
          <w:trHeight w:val="304"/>
        </w:trPr>
        <w:tc>
          <w:tcPr>
            <w:tcW w:w="1560" w:type="dxa"/>
            <w:vAlign w:val="bottom"/>
          </w:tcPr>
          <w:p>
            <w:pPr>
              <w:spacing w:after="0"/>
              <w:rPr>
                <w:sz w:val="20"/>
                <w:szCs w:val="20"/>
                <w:color w:val="auto"/>
              </w:rPr>
            </w:pPr>
            <w:r>
              <w:rPr>
                <w:rFonts w:ascii="Arial" w:cs="Arial" w:eastAsia="Arial" w:hAnsi="Arial"/>
                <w:sz w:val="18"/>
                <w:szCs w:val="18"/>
                <w:color w:val="auto"/>
              </w:rPr>
              <w:t>10.8</w:t>
            </w:r>
          </w:p>
        </w:tc>
        <w:tc>
          <w:tcPr>
            <w:tcW w:w="3600" w:type="dxa"/>
            <w:vAlign w:val="bottom"/>
            <w:tcBorders>
              <w:bottom w:val="single" w:sz="8" w:color="0000EE"/>
            </w:tcBorders>
            <w:gridSpan w:val="8"/>
          </w:tcPr>
          <w:p>
            <w:pPr>
              <w:spacing w:after="0"/>
              <w:rPr>
                <w:rFonts w:ascii="Arial" w:cs="Arial" w:eastAsia="Arial" w:hAnsi="Arial"/>
                <w:sz w:val="18"/>
                <w:szCs w:val="18"/>
                <w:color w:val="0000EE"/>
                <w:w w:val="89"/>
              </w:rPr>
            </w:pPr>
            <w:hyperlink r:id="rId123">
              <w:r>
                <w:rPr>
                  <w:rFonts w:ascii="Arial" w:cs="Arial" w:eastAsia="Arial" w:hAnsi="Arial"/>
                  <w:sz w:val="18"/>
                  <w:szCs w:val="18"/>
                  <w:color w:val="0000EE"/>
                  <w:w w:val="89"/>
                </w:rPr>
                <w:t>Executive Change in Control and Severance Plan.</w:t>
              </w:r>
            </w:hyperlink>
          </w:p>
        </w:tc>
        <w:tc>
          <w:tcPr>
            <w:tcW w:w="920" w:type="dxa"/>
            <w:vAlign w:val="bottom"/>
            <w:gridSpan w:val="7"/>
          </w:tcPr>
          <w:p>
            <w:pPr>
              <w:spacing w:after="0"/>
              <w:rPr>
                <w:sz w:val="24"/>
                <w:szCs w:val="24"/>
                <w:color w:val="auto"/>
              </w:rPr>
            </w:pPr>
          </w:p>
        </w:tc>
      </w:tr>
      <w:tr>
        <w:trPr>
          <w:trHeight w:val="304"/>
        </w:trPr>
        <w:tc>
          <w:tcPr>
            <w:tcW w:w="1560" w:type="dxa"/>
            <w:vAlign w:val="bottom"/>
          </w:tcPr>
          <w:p>
            <w:pPr>
              <w:spacing w:after="0"/>
              <w:rPr>
                <w:sz w:val="20"/>
                <w:szCs w:val="20"/>
                <w:color w:val="auto"/>
              </w:rPr>
            </w:pPr>
            <w:r>
              <w:rPr>
                <w:rFonts w:ascii="Arial" w:cs="Arial" w:eastAsia="Arial" w:hAnsi="Arial"/>
                <w:sz w:val="18"/>
                <w:szCs w:val="18"/>
                <w:color w:val="auto"/>
              </w:rPr>
              <w:t>10.9</w:t>
            </w:r>
          </w:p>
        </w:tc>
        <w:tc>
          <w:tcPr>
            <w:tcW w:w="4520" w:type="dxa"/>
            <w:vAlign w:val="bottom"/>
            <w:gridSpan w:val="15"/>
          </w:tcPr>
          <w:p>
            <w:pPr>
              <w:spacing w:after="0"/>
              <w:rPr>
                <w:rFonts w:ascii="Arial" w:cs="Arial" w:eastAsia="Arial" w:hAnsi="Arial"/>
                <w:sz w:val="18"/>
                <w:szCs w:val="18"/>
                <w:color w:val="0000EE"/>
              </w:rPr>
            </w:pPr>
            <w:hyperlink r:id="rId124">
              <w:r>
                <w:rPr>
                  <w:rFonts w:ascii="Arial" w:cs="Arial" w:eastAsia="Arial" w:hAnsi="Arial"/>
                  <w:sz w:val="18"/>
                  <w:szCs w:val="18"/>
                  <w:color w:val="0000EE"/>
                </w:rPr>
                <w:t>Executive Incentive Compensation Plan.</w:t>
              </w:r>
            </w:hyperlink>
          </w:p>
        </w:tc>
      </w:tr>
      <w:tr>
        <w:trPr>
          <w:trHeight w:val="304"/>
        </w:trPr>
        <w:tc>
          <w:tcPr>
            <w:tcW w:w="1560" w:type="dxa"/>
            <w:vAlign w:val="bottom"/>
          </w:tcPr>
          <w:p>
            <w:pPr>
              <w:spacing w:after="0"/>
              <w:rPr>
                <w:sz w:val="20"/>
                <w:szCs w:val="20"/>
                <w:color w:val="auto"/>
              </w:rPr>
            </w:pPr>
            <w:r>
              <w:rPr>
                <w:rFonts w:ascii="Arial" w:cs="Arial" w:eastAsia="Arial" w:hAnsi="Arial"/>
                <w:sz w:val="18"/>
                <w:szCs w:val="18"/>
                <w:color w:val="auto"/>
              </w:rPr>
              <w:t>10.10</w:t>
            </w:r>
          </w:p>
        </w:tc>
        <w:tc>
          <w:tcPr>
            <w:tcW w:w="2920" w:type="dxa"/>
            <w:vAlign w:val="bottom"/>
            <w:tcBorders>
              <w:top w:val="single" w:sz="8" w:color="0000EE"/>
            </w:tcBorders>
            <w:gridSpan w:val="7"/>
          </w:tcPr>
          <w:p>
            <w:pPr>
              <w:spacing w:after="0"/>
              <w:rPr>
                <w:rFonts w:ascii="Arial" w:cs="Arial" w:eastAsia="Arial" w:hAnsi="Arial"/>
                <w:sz w:val="18"/>
                <w:szCs w:val="18"/>
                <w:color w:val="0000EE"/>
                <w:w w:val="93"/>
              </w:rPr>
            </w:pPr>
            <w:hyperlink r:id="rId125">
              <w:r>
                <w:rPr>
                  <w:rFonts w:ascii="Arial" w:cs="Arial" w:eastAsia="Arial" w:hAnsi="Arial"/>
                  <w:sz w:val="18"/>
                  <w:szCs w:val="18"/>
                  <w:color w:val="0000EE"/>
                  <w:w w:val="93"/>
                </w:rPr>
                <w:t>Outside Director Compensation Policy.</w:t>
              </w:r>
            </w:hyperlink>
          </w:p>
        </w:tc>
        <w:tc>
          <w:tcPr>
            <w:tcW w:w="1600" w:type="dxa"/>
            <w:vAlign w:val="bottom"/>
            <w:gridSpan w:val="8"/>
          </w:tcPr>
          <w:p>
            <w:pPr>
              <w:spacing w:after="0"/>
              <w:rPr>
                <w:sz w:val="24"/>
                <w:szCs w:val="24"/>
                <w:color w:val="auto"/>
              </w:rPr>
            </w:pPr>
          </w:p>
        </w:tc>
      </w:tr>
      <w:tr>
        <w:trPr>
          <w:trHeight w:val="20"/>
        </w:trPr>
        <w:tc>
          <w:tcPr>
            <w:tcW w:w="15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1560" w:type="dxa"/>
            <w:vAlign w:val="bottom"/>
          </w:tcPr>
          <w:p>
            <w:pPr>
              <w:spacing w:after="0"/>
              <w:rPr>
                <w:sz w:val="20"/>
                <w:szCs w:val="20"/>
                <w:color w:val="auto"/>
              </w:rPr>
            </w:pPr>
            <w:r>
              <w:rPr>
                <w:rFonts w:ascii="Arial" w:cs="Arial" w:eastAsia="Arial" w:hAnsi="Arial"/>
                <w:sz w:val="18"/>
                <w:szCs w:val="18"/>
                <w:color w:val="auto"/>
              </w:rPr>
              <w:t>31.1*</w:t>
            </w:r>
          </w:p>
        </w:tc>
        <w:tc>
          <w:tcPr>
            <w:tcW w:w="444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Certification of Principal Executive Officer Pursuant to Rules</w:t>
              </w:r>
            </w:hyperlink>
          </w:p>
        </w:tc>
        <w:tc>
          <w:tcPr>
            <w:tcW w:w="80" w:type="dxa"/>
            <w:vAlign w:val="bottom"/>
            <w:gridSpan w:val="2"/>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4520" w:type="dxa"/>
            <w:vAlign w:val="bottom"/>
            <w:gridSpan w:val="15"/>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13a-14(a) and 15d-14(a) under the Securities Exchange Act of</w:t>
              </w:r>
            </w:hyperlink>
          </w:p>
        </w:tc>
      </w:tr>
      <w:tr>
        <w:trPr>
          <w:trHeight w:val="196"/>
        </w:trPr>
        <w:tc>
          <w:tcPr>
            <w:tcW w:w="156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96">
              <w:r>
                <w:rPr>
                  <w:rFonts w:ascii="Arial" w:cs="Arial" w:eastAsia="Arial" w:hAnsi="Arial"/>
                  <w:sz w:val="18"/>
                  <w:szCs w:val="18"/>
                  <w:color w:val="0000EE"/>
                  <w:w w:val="88"/>
                </w:rPr>
                <w:t>1934, as Adopted Pursuant to Section 302 of the Sarbanes-</w:t>
              </w:r>
            </w:hyperlink>
          </w:p>
        </w:tc>
        <w:tc>
          <w:tcPr>
            <w:tcW w:w="240" w:type="dxa"/>
            <w:vAlign w:val="bottom"/>
            <w:tcBorders>
              <w:top w:val="single" w:sz="8" w:color="0000EE"/>
            </w:tcBorders>
            <w:gridSpan w:val="3"/>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4520" w:type="dxa"/>
            <w:vAlign w:val="bottom"/>
            <w:gridSpan w:val="15"/>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Oxley Act of 2002.</w:t>
              </w:r>
            </w:hyperlink>
          </w:p>
        </w:tc>
      </w:tr>
      <w:tr>
        <w:trPr>
          <w:trHeight w:val="20"/>
        </w:trPr>
        <w:tc>
          <w:tcPr>
            <w:tcW w:w="15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S-1/A</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333-257820</w:t>
            </w: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91"/>
              </w:rPr>
              <w:t>10.5</w:t>
            </w:r>
          </w:p>
        </w:tc>
        <w:tc>
          <w:tcPr>
            <w:tcW w:w="1020" w:type="dxa"/>
            <w:vAlign w:val="bottom"/>
          </w:tcPr>
          <w:p>
            <w:pPr>
              <w:jc w:val="right"/>
              <w:spacing w:after="0"/>
              <w:rPr>
                <w:sz w:val="20"/>
                <w:szCs w:val="20"/>
                <w:color w:val="auto"/>
              </w:rPr>
            </w:pPr>
            <w:r>
              <w:rPr>
                <w:rFonts w:ascii="Arial" w:cs="Arial" w:eastAsia="Arial" w:hAnsi="Arial"/>
                <w:sz w:val="18"/>
                <w:szCs w:val="18"/>
                <w:color w:val="auto"/>
              </w:rPr>
              <w:t>7-26-2021</w:t>
            </w:r>
          </w:p>
        </w:tc>
      </w:tr>
      <w:tr>
        <w:trPr>
          <w:trHeight w:val="540"/>
        </w:trPr>
        <w:tc>
          <w:tcPr>
            <w:tcW w:w="840" w:type="dxa"/>
            <w:vAlign w:val="bottom"/>
          </w:tcPr>
          <w:p>
            <w:pPr>
              <w:spacing w:after="0"/>
              <w:rPr>
                <w:sz w:val="20"/>
                <w:szCs w:val="20"/>
                <w:color w:val="auto"/>
              </w:rPr>
            </w:pPr>
            <w:r>
              <w:rPr>
                <w:rFonts w:ascii="Arial" w:cs="Arial" w:eastAsia="Arial" w:hAnsi="Arial"/>
                <w:sz w:val="18"/>
                <w:szCs w:val="18"/>
                <w:color w:val="auto"/>
              </w:rPr>
              <w:t>S-1/A</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333-257820</w:t>
            </w: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91"/>
              </w:rPr>
              <w:t>10.6</w:t>
            </w:r>
          </w:p>
        </w:tc>
        <w:tc>
          <w:tcPr>
            <w:tcW w:w="1020" w:type="dxa"/>
            <w:vAlign w:val="bottom"/>
          </w:tcPr>
          <w:p>
            <w:pPr>
              <w:jc w:val="right"/>
              <w:spacing w:after="0"/>
              <w:rPr>
                <w:sz w:val="20"/>
                <w:szCs w:val="20"/>
                <w:color w:val="auto"/>
              </w:rPr>
            </w:pPr>
            <w:r>
              <w:rPr>
                <w:rFonts w:ascii="Arial" w:cs="Arial" w:eastAsia="Arial" w:hAnsi="Arial"/>
                <w:sz w:val="18"/>
                <w:szCs w:val="18"/>
                <w:color w:val="auto"/>
              </w:rPr>
              <w:t>7-26-2021</w:t>
            </w:r>
          </w:p>
        </w:tc>
      </w:tr>
      <w:tr>
        <w:trPr>
          <w:trHeight w:val="540"/>
        </w:trPr>
        <w:tc>
          <w:tcPr>
            <w:tcW w:w="840" w:type="dxa"/>
            <w:vAlign w:val="bottom"/>
          </w:tcPr>
          <w:p>
            <w:pPr>
              <w:spacing w:after="0"/>
              <w:rPr>
                <w:sz w:val="20"/>
                <w:szCs w:val="20"/>
                <w:color w:val="auto"/>
              </w:rPr>
            </w:pPr>
            <w:r>
              <w:rPr>
                <w:rFonts w:ascii="Arial" w:cs="Arial" w:eastAsia="Arial" w:hAnsi="Arial"/>
                <w:sz w:val="18"/>
                <w:szCs w:val="18"/>
                <w:color w:val="auto"/>
              </w:rPr>
              <w:t>S-1/A</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333-257820</w:t>
            </w: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91"/>
              </w:rPr>
              <w:t>10.7</w:t>
            </w:r>
          </w:p>
        </w:tc>
        <w:tc>
          <w:tcPr>
            <w:tcW w:w="1020" w:type="dxa"/>
            <w:vAlign w:val="bottom"/>
          </w:tcPr>
          <w:p>
            <w:pPr>
              <w:jc w:val="right"/>
              <w:spacing w:after="0"/>
              <w:rPr>
                <w:sz w:val="20"/>
                <w:szCs w:val="20"/>
                <w:color w:val="auto"/>
              </w:rPr>
            </w:pPr>
            <w:r>
              <w:rPr>
                <w:rFonts w:ascii="Arial" w:cs="Arial" w:eastAsia="Arial" w:hAnsi="Arial"/>
                <w:sz w:val="18"/>
                <w:szCs w:val="18"/>
                <w:color w:val="auto"/>
              </w:rPr>
              <w:t>7-26-2021</w:t>
            </w:r>
          </w:p>
        </w:tc>
      </w:tr>
      <w:tr>
        <w:trPr>
          <w:trHeight w:val="540"/>
        </w:trPr>
        <w:tc>
          <w:tcPr>
            <w:tcW w:w="840" w:type="dxa"/>
            <w:vAlign w:val="bottom"/>
          </w:tcPr>
          <w:p>
            <w:pPr>
              <w:spacing w:after="0"/>
              <w:rPr>
                <w:sz w:val="20"/>
                <w:szCs w:val="20"/>
                <w:color w:val="auto"/>
              </w:rPr>
            </w:pPr>
            <w:r>
              <w:rPr>
                <w:rFonts w:ascii="Arial" w:cs="Arial" w:eastAsia="Arial" w:hAnsi="Arial"/>
                <w:sz w:val="18"/>
                <w:szCs w:val="18"/>
                <w:color w:val="auto"/>
              </w:rPr>
              <w:t>S-1/A</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333-257820</w:t>
            </w: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91"/>
              </w:rPr>
              <w:t>10.8</w:t>
            </w:r>
          </w:p>
        </w:tc>
        <w:tc>
          <w:tcPr>
            <w:tcW w:w="1020" w:type="dxa"/>
            <w:vAlign w:val="bottom"/>
          </w:tcPr>
          <w:p>
            <w:pPr>
              <w:jc w:val="right"/>
              <w:spacing w:after="0"/>
              <w:rPr>
                <w:sz w:val="20"/>
                <w:szCs w:val="20"/>
                <w:color w:val="auto"/>
              </w:rPr>
            </w:pPr>
            <w:r>
              <w:rPr>
                <w:rFonts w:ascii="Arial" w:cs="Arial" w:eastAsia="Arial" w:hAnsi="Arial"/>
                <w:sz w:val="18"/>
                <w:szCs w:val="18"/>
                <w:color w:val="auto"/>
              </w:rPr>
              <w:t>7-26-2021</w:t>
            </w:r>
          </w:p>
        </w:tc>
      </w:tr>
      <w:tr>
        <w:trPr>
          <w:trHeight w:val="540"/>
        </w:trPr>
        <w:tc>
          <w:tcPr>
            <w:tcW w:w="840" w:type="dxa"/>
            <w:vAlign w:val="bottom"/>
          </w:tcPr>
          <w:p>
            <w:pPr>
              <w:spacing w:after="0"/>
              <w:rPr>
                <w:sz w:val="20"/>
                <w:szCs w:val="20"/>
                <w:color w:val="auto"/>
              </w:rPr>
            </w:pPr>
            <w:r>
              <w:rPr>
                <w:rFonts w:ascii="Arial" w:cs="Arial" w:eastAsia="Arial" w:hAnsi="Arial"/>
                <w:sz w:val="18"/>
                <w:szCs w:val="18"/>
                <w:color w:val="auto"/>
              </w:rPr>
              <w:t>S-1/A</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333-257820</w:t>
            </w: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88"/>
              </w:rPr>
              <w:t>10.12</w:t>
            </w:r>
          </w:p>
        </w:tc>
        <w:tc>
          <w:tcPr>
            <w:tcW w:w="1020" w:type="dxa"/>
            <w:vAlign w:val="bottom"/>
          </w:tcPr>
          <w:p>
            <w:pPr>
              <w:jc w:val="right"/>
              <w:spacing w:after="0"/>
              <w:rPr>
                <w:sz w:val="20"/>
                <w:szCs w:val="20"/>
                <w:color w:val="auto"/>
              </w:rPr>
            </w:pPr>
            <w:r>
              <w:rPr>
                <w:rFonts w:ascii="Arial" w:cs="Arial" w:eastAsia="Arial" w:hAnsi="Arial"/>
                <w:sz w:val="18"/>
                <w:szCs w:val="18"/>
                <w:color w:val="auto"/>
              </w:rPr>
              <w:t>7-26-2021</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S-1/A</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333-257820</w:t>
            </w: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88"/>
              </w:rPr>
              <w:t>10.13</w:t>
            </w:r>
          </w:p>
        </w:tc>
        <w:tc>
          <w:tcPr>
            <w:tcW w:w="1020" w:type="dxa"/>
            <w:vAlign w:val="bottom"/>
          </w:tcPr>
          <w:p>
            <w:pPr>
              <w:jc w:val="right"/>
              <w:spacing w:after="0"/>
              <w:rPr>
                <w:sz w:val="20"/>
                <w:szCs w:val="20"/>
                <w:color w:val="auto"/>
              </w:rPr>
            </w:pPr>
            <w:r>
              <w:rPr>
                <w:rFonts w:ascii="Arial" w:cs="Arial" w:eastAsia="Arial" w:hAnsi="Arial"/>
                <w:sz w:val="18"/>
                <w:szCs w:val="18"/>
                <w:color w:val="auto"/>
              </w:rPr>
              <w:t>7-26-2021</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S-1/A</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333-257820</w:t>
            </w: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88"/>
              </w:rPr>
              <w:t>10.14</w:t>
            </w:r>
          </w:p>
        </w:tc>
        <w:tc>
          <w:tcPr>
            <w:tcW w:w="1020" w:type="dxa"/>
            <w:vAlign w:val="bottom"/>
          </w:tcPr>
          <w:p>
            <w:pPr>
              <w:jc w:val="right"/>
              <w:spacing w:after="0"/>
              <w:rPr>
                <w:sz w:val="20"/>
                <w:szCs w:val="20"/>
                <w:color w:val="auto"/>
              </w:rPr>
            </w:pPr>
            <w:r>
              <w:rPr>
                <w:rFonts w:ascii="Arial" w:cs="Arial" w:eastAsia="Arial" w:hAnsi="Arial"/>
                <w:sz w:val="18"/>
                <w:szCs w:val="18"/>
                <w:color w:val="auto"/>
              </w:rPr>
              <w:t>7-26-2021</w:t>
            </w:r>
          </w:p>
        </w:tc>
      </w:tr>
    </w:tbl>
    <w:p>
      <w:pPr>
        <w:spacing w:after="0" w:line="1048" w:lineRule="exact"/>
        <w:rPr>
          <w:sz w:val="20"/>
          <w:szCs w:val="20"/>
          <w:color w:val="auto"/>
        </w:rPr>
      </w:pPr>
    </w:p>
    <w:p>
      <w:pPr>
        <w:sectPr>
          <w:pgSz w:w="11900" w:h="16838" w:orient="portrait"/>
          <w:cols w:equalWidth="0" w:num="2">
            <w:col w:w="6080" w:space="380"/>
            <w:col w:w="478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20"/>
                <w:szCs w:val="20"/>
                <w:color w:val="auto"/>
              </w:rPr>
            </w:pPr>
            <w:r>
              <w:rPr>
                <w:rFonts w:ascii="Arial" w:cs="Arial" w:eastAsia="Arial" w:hAnsi="Arial"/>
                <w:sz w:val="18"/>
                <w:szCs w:val="18"/>
                <w:color w:val="auto"/>
              </w:rPr>
              <w:t>31.2*</w:t>
            </w:r>
          </w:p>
        </w:tc>
        <w:tc>
          <w:tcPr>
            <w:tcW w:w="9680" w:type="dxa"/>
            <w:vAlign w:val="bottom"/>
            <w:gridSpan w:val="9"/>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Certification of Principal Financial Officer Pursuant to Rules</w:t>
              </w:r>
            </w:hyperlink>
          </w:p>
        </w:tc>
      </w:tr>
      <w:tr>
        <w:trPr>
          <w:trHeight w:val="20"/>
        </w:trPr>
        <w:tc>
          <w:tcPr>
            <w:tcW w:w="15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9680" w:type="dxa"/>
            <w:vAlign w:val="bottom"/>
            <w:gridSpan w:val="9"/>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13a-14(a) and 15d-14(a) under the Securities Exchange Act of</w:t>
              </w:r>
            </w:hyperlink>
          </w:p>
        </w:tc>
      </w:tr>
      <w:tr>
        <w:trPr>
          <w:trHeight w:val="196"/>
        </w:trPr>
        <w:tc>
          <w:tcPr>
            <w:tcW w:w="156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1934, as Adopted Pursuant to Section 302 of the Sarbanes-</w:t>
              </w:r>
            </w:hyperlink>
          </w:p>
        </w:tc>
        <w:tc>
          <w:tcPr>
            <w:tcW w:w="240" w:type="dxa"/>
            <w:vAlign w:val="bottom"/>
            <w:tcBorders>
              <w:top w:val="single" w:sz="8" w:color="0000EE"/>
            </w:tcBorders>
            <w:gridSpan w:val="2"/>
          </w:tcPr>
          <w:p>
            <w:pPr>
              <w:spacing w:after="0"/>
              <w:rPr>
                <w:sz w:val="17"/>
                <w:szCs w:val="17"/>
                <w:color w:val="auto"/>
              </w:rPr>
            </w:pPr>
          </w:p>
        </w:tc>
        <w:tc>
          <w:tcPr>
            <w:tcW w:w="5200" w:type="dxa"/>
            <w:vAlign w:val="bottom"/>
            <w:gridSpan w:val="2"/>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9680" w:type="dxa"/>
            <w:vAlign w:val="bottom"/>
            <w:gridSpan w:val="9"/>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Oxley Act of 2002.</w:t>
              </w:r>
            </w:hyperlink>
          </w:p>
        </w:tc>
      </w:tr>
      <w:tr>
        <w:trPr>
          <w:trHeight w:val="20"/>
        </w:trPr>
        <w:tc>
          <w:tcPr>
            <w:tcW w:w="15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304"/>
        </w:trPr>
        <w:tc>
          <w:tcPr>
            <w:tcW w:w="1560" w:type="dxa"/>
            <w:vAlign w:val="bottom"/>
          </w:tcPr>
          <w:p>
            <w:pPr>
              <w:spacing w:after="0"/>
              <w:rPr>
                <w:sz w:val="20"/>
                <w:szCs w:val="20"/>
                <w:color w:val="auto"/>
              </w:rPr>
            </w:pPr>
            <w:r>
              <w:rPr>
                <w:rFonts w:ascii="Arial" w:cs="Arial" w:eastAsia="Arial" w:hAnsi="Arial"/>
                <w:sz w:val="18"/>
                <w:szCs w:val="18"/>
                <w:color w:val="auto"/>
              </w:rPr>
              <w:t>32.1†</w:t>
            </w:r>
          </w:p>
        </w:tc>
        <w:tc>
          <w:tcPr>
            <w:tcW w:w="9680" w:type="dxa"/>
            <w:vAlign w:val="bottom"/>
            <w:gridSpan w:val="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Certification of Principal Executive Officer and Principal</w:t>
              </w:r>
            </w:hyperlink>
          </w:p>
        </w:tc>
      </w:tr>
      <w:tr>
        <w:trPr>
          <w:trHeight w:val="196"/>
        </w:trPr>
        <w:tc>
          <w:tcPr>
            <w:tcW w:w="156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Financial Officer Pursuant to 18 U.S.C. Section 1350, as</w:t>
              </w:r>
            </w:hyperlink>
          </w:p>
        </w:tc>
        <w:tc>
          <w:tcPr>
            <w:tcW w:w="40" w:type="dxa"/>
            <w:vAlign w:val="bottom"/>
            <w:tcBorders>
              <w:top w:val="single" w:sz="8" w:color="0000EE"/>
            </w:tcBorders>
          </w:tcPr>
          <w:p>
            <w:pPr>
              <w:spacing w:after="0"/>
              <w:rPr>
                <w:sz w:val="17"/>
                <w:szCs w:val="17"/>
                <w:color w:val="auto"/>
              </w:rPr>
            </w:pPr>
          </w:p>
        </w:tc>
        <w:tc>
          <w:tcPr>
            <w:tcW w:w="5560" w:type="dxa"/>
            <w:vAlign w:val="bottom"/>
            <w:gridSpan w:val="5"/>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9680" w:type="dxa"/>
            <w:vAlign w:val="bottom"/>
            <w:gridSpan w:val="9"/>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Adopted Pursuant to Section 906 of the Sarbanes-Oxley Act of</w:t>
              </w:r>
            </w:hyperlink>
          </w:p>
        </w:tc>
      </w:tr>
      <w:tr>
        <w:trPr>
          <w:trHeight w:val="196"/>
        </w:trPr>
        <w:tc>
          <w:tcPr>
            <w:tcW w:w="15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98">
              <w:r>
                <w:rPr>
                  <w:rFonts w:ascii="Arial" w:cs="Arial" w:eastAsia="Arial" w:hAnsi="Arial"/>
                  <w:sz w:val="18"/>
                  <w:szCs w:val="18"/>
                  <w:color w:val="0000EE"/>
                  <w:w w:val="84"/>
                </w:rPr>
                <w:t>2002.</w:t>
              </w:r>
            </w:hyperlink>
          </w:p>
        </w:tc>
        <w:tc>
          <w:tcPr>
            <w:tcW w:w="98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140" w:type="dxa"/>
            <w:vAlign w:val="bottom"/>
          </w:tcPr>
          <w:p>
            <w:pPr>
              <w:spacing w:after="0"/>
              <w:rPr>
                <w:sz w:val="17"/>
                <w:szCs w:val="17"/>
                <w:color w:val="auto"/>
              </w:rPr>
            </w:pPr>
          </w:p>
        </w:tc>
      </w:tr>
      <w:tr>
        <w:trPr>
          <w:trHeight w:val="330"/>
        </w:trPr>
        <w:tc>
          <w:tcPr>
            <w:tcW w:w="1560" w:type="dxa"/>
            <w:vAlign w:val="bottom"/>
          </w:tcPr>
          <w:p>
            <w:pPr>
              <w:spacing w:after="0"/>
              <w:rPr>
                <w:sz w:val="20"/>
                <w:szCs w:val="20"/>
                <w:color w:val="auto"/>
              </w:rPr>
            </w:pPr>
            <w:r>
              <w:rPr>
                <w:rFonts w:ascii="Arial" w:cs="Arial" w:eastAsia="Arial" w:hAnsi="Arial"/>
                <w:sz w:val="18"/>
                <w:szCs w:val="18"/>
                <w:color w:val="auto"/>
              </w:rPr>
              <w:t>101.INS*</w:t>
            </w:r>
          </w:p>
        </w:tc>
        <w:tc>
          <w:tcPr>
            <w:tcW w:w="9680" w:type="dxa"/>
            <w:vAlign w:val="bottom"/>
            <w:gridSpan w:val="9"/>
          </w:tcPr>
          <w:p>
            <w:pPr>
              <w:spacing w:after="0"/>
              <w:rPr>
                <w:sz w:val="20"/>
                <w:szCs w:val="20"/>
                <w:color w:val="auto"/>
              </w:rPr>
            </w:pPr>
            <w:r>
              <w:rPr>
                <w:rFonts w:ascii="Arial" w:cs="Arial" w:eastAsia="Arial" w:hAnsi="Arial"/>
                <w:sz w:val="18"/>
                <w:szCs w:val="18"/>
                <w:color w:val="auto"/>
              </w:rPr>
              <w:t>Inline XBRL Instance Document – the instance document does</w:t>
            </w:r>
          </w:p>
        </w:tc>
      </w:tr>
      <w:tr>
        <w:trPr>
          <w:trHeight w:val="216"/>
        </w:trPr>
        <w:tc>
          <w:tcPr>
            <w:tcW w:w="1560" w:type="dxa"/>
            <w:vAlign w:val="bottom"/>
          </w:tcPr>
          <w:p>
            <w:pPr>
              <w:spacing w:after="0"/>
              <w:rPr>
                <w:sz w:val="18"/>
                <w:szCs w:val="18"/>
                <w:color w:val="auto"/>
              </w:rPr>
            </w:pPr>
          </w:p>
        </w:tc>
        <w:tc>
          <w:tcPr>
            <w:tcW w:w="9680" w:type="dxa"/>
            <w:vAlign w:val="bottom"/>
            <w:gridSpan w:val="9"/>
          </w:tcPr>
          <w:p>
            <w:pPr>
              <w:spacing w:after="0"/>
              <w:rPr>
                <w:sz w:val="20"/>
                <w:szCs w:val="20"/>
                <w:color w:val="auto"/>
              </w:rPr>
            </w:pPr>
            <w:r>
              <w:rPr>
                <w:rFonts w:ascii="Arial" w:cs="Arial" w:eastAsia="Arial" w:hAnsi="Arial"/>
                <w:sz w:val="18"/>
                <w:szCs w:val="18"/>
                <w:color w:val="auto"/>
              </w:rPr>
              <w:t>not appear in the Interactive Data File because XBRL tags are</w:t>
            </w:r>
          </w:p>
        </w:tc>
      </w:tr>
      <w:tr>
        <w:trPr>
          <w:trHeight w:val="230"/>
        </w:trPr>
        <w:tc>
          <w:tcPr>
            <w:tcW w:w="1560" w:type="dxa"/>
            <w:vAlign w:val="bottom"/>
          </w:tcPr>
          <w:p>
            <w:pPr>
              <w:spacing w:after="0"/>
              <w:rPr>
                <w:sz w:val="20"/>
                <w:szCs w:val="20"/>
                <w:color w:val="auto"/>
              </w:rPr>
            </w:pPr>
          </w:p>
        </w:tc>
        <w:tc>
          <w:tcPr>
            <w:tcW w:w="9680" w:type="dxa"/>
            <w:vAlign w:val="bottom"/>
            <w:gridSpan w:val="9"/>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rPr>
              <w:t>101.SCH*</w:t>
            </w:r>
          </w:p>
        </w:tc>
        <w:tc>
          <w:tcPr>
            <w:tcW w:w="968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10"/>
        </w:trPr>
        <w:tc>
          <w:tcPr>
            <w:tcW w:w="1560" w:type="dxa"/>
            <w:vAlign w:val="bottom"/>
          </w:tcPr>
          <w:p>
            <w:pPr>
              <w:spacing w:after="0"/>
              <w:rPr>
                <w:sz w:val="20"/>
                <w:szCs w:val="20"/>
                <w:color w:val="auto"/>
              </w:rPr>
            </w:pPr>
            <w:r>
              <w:rPr>
                <w:rFonts w:ascii="Arial" w:cs="Arial" w:eastAsia="Arial" w:hAnsi="Arial"/>
                <w:sz w:val="18"/>
                <w:szCs w:val="18"/>
                <w:color w:val="auto"/>
              </w:rPr>
              <w:t>101.CAL*</w:t>
            </w:r>
          </w:p>
        </w:tc>
        <w:tc>
          <w:tcPr>
            <w:tcW w:w="968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1560" w:type="dxa"/>
            <w:vAlign w:val="bottom"/>
          </w:tcPr>
          <w:p>
            <w:pPr>
              <w:spacing w:after="0"/>
              <w:rPr>
                <w:sz w:val="20"/>
                <w:szCs w:val="20"/>
                <w:color w:val="auto"/>
              </w:rPr>
            </w:pPr>
          </w:p>
        </w:tc>
        <w:tc>
          <w:tcPr>
            <w:tcW w:w="9680" w:type="dxa"/>
            <w:vAlign w:val="bottom"/>
            <w:gridSpan w:val="9"/>
          </w:tcPr>
          <w:p>
            <w:pPr>
              <w:spacing w:after="0"/>
              <w:rPr>
                <w:sz w:val="20"/>
                <w:szCs w:val="20"/>
                <w:color w:val="auto"/>
              </w:rPr>
            </w:pPr>
            <w:r>
              <w:rPr>
                <w:rFonts w:ascii="Arial" w:cs="Arial" w:eastAsia="Arial" w:hAnsi="Arial"/>
                <w:sz w:val="18"/>
                <w:szCs w:val="18"/>
                <w:color w:val="auto"/>
              </w:rPr>
              <w:t>Document</w:t>
            </w:r>
          </w:p>
        </w:tc>
      </w:tr>
      <w:tr>
        <w:trPr>
          <w:trHeight w:val="310"/>
        </w:trPr>
        <w:tc>
          <w:tcPr>
            <w:tcW w:w="1560" w:type="dxa"/>
            <w:vAlign w:val="bottom"/>
          </w:tcPr>
          <w:p>
            <w:pPr>
              <w:spacing w:after="0"/>
              <w:rPr>
                <w:sz w:val="20"/>
                <w:szCs w:val="20"/>
                <w:color w:val="auto"/>
              </w:rPr>
            </w:pPr>
            <w:r>
              <w:rPr>
                <w:rFonts w:ascii="Arial" w:cs="Arial" w:eastAsia="Arial" w:hAnsi="Arial"/>
                <w:sz w:val="18"/>
                <w:szCs w:val="18"/>
                <w:color w:val="auto"/>
              </w:rPr>
              <w:t>101.DEF*</w:t>
            </w:r>
          </w:p>
        </w:tc>
        <w:tc>
          <w:tcPr>
            <w:tcW w:w="968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560" w:type="dxa"/>
            <w:vAlign w:val="bottom"/>
          </w:tcPr>
          <w:p>
            <w:pPr>
              <w:spacing w:after="0"/>
              <w:rPr>
                <w:sz w:val="20"/>
                <w:szCs w:val="20"/>
                <w:color w:val="auto"/>
              </w:rPr>
            </w:pPr>
          </w:p>
        </w:tc>
        <w:tc>
          <w:tcPr>
            <w:tcW w:w="9680" w:type="dxa"/>
            <w:vAlign w:val="bottom"/>
            <w:gridSpan w:val="9"/>
          </w:tcPr>
          <w:p>
            <w:pPr>
              <w:spacing w:after="0"/>
              <w:rPr>
                <w:sz w:val="20"/>
                <w:szCs w:val="20"/>
                <w:color w:val="auto"/>
              </w:rPr>
            </w:pPr>
            <w:r>
              <w:rPr>
                <w:rFonts w:ascii="Arial" w:cs="Arial" w:eastAsia="Arial" w:hAnsi="Arial"/>
                <w:sz w:val="18"/>
                <w:szCs w:val="18"/>
                <w:color w:val="auto"/>
              </w:rPr>
              <w:t>Document</w:t>
            </w:r>
          </w:p>
        </w:tc>
      </w:tr>
      <w:tr>
        <w:trPr>
          <w:trHeight w:val="432"/>
        </w:trPr>
        <w:tc>
          <w:tcPr>
            <w:tcW w:w="1560" w:type="dxa"/>
            <w:vAlign w:val="bottom"/>
          </w:tcPr>
          <w:p>
            <w:pPr>
              <w:spacing w:after="0"/>
              <w:rPr>
                <w:sz w:val="24"/>
                <w:szCs w:val="24"/>
                <w:color w:val="auto"/>
              </w:rPr>
            </w:pPr>
          </w:p>
        </w:tc>
        <w:tc>
          <w:tcPr>
            <w:tcW w:w="4240" w:type="dxa"/>
            <w:vAlign w:val="bottom"/>
            <w:gridSpan w:val="5"/>
          </w:tcPr>
          <w:p>
            <w:pPr>
              <w:ind w:left="398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115"/>
        </w:trPr>
        <w:tc>
          <w:tcPr>
            <w:tcW w:w="15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Label Linkbase Document</w:t>
      </w:r>
    </w:p>
    <w:p>
      <w:pPr>
        <w:spacing w:after="0" w:line="139" w:lineRule="exact"/>
        <w:rPr>
          <w:sz w:val="20"/>
          <w:szCs w:val="20"/>
          <w:color w:val="auto"/>
        </w:rPr>
      </w:pPr>
    </w:p>
    <w:p>
      <w:pPr>
        <w:sectPr>
          <w:pgSz w:w="11900" w:h="16838" w:orient="portrait"/>
          <w:cols w:equalWidth="0" w:num="2">
            <w:col w:w="820" w:space="720"/>
            <w:col w:w="8599"/>
          </w:cols>
          <w:pgMar w:left="320" w:top="449" w:right="1440" w:bottom="1440" w:gutter="0" w:footer="0" w:header="0"/>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Presentation Linkbase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103" w:lineRule="exact"/>
        <w:rPr>
          <w:sz w:val="20"/>
          <w:szCs w:val="20"/>
          <w:color w:val="auto"/>
        </w:rPr>
      </w:pPr>
    </w:p>
    <w:p>
      <w:pPr>
        <w:sectPr>
          <w:pgSz w:w="11900" w:h="16838" w:orient="portrait"/>
          <w:cols w:equalWidth="0" w:num="2">
            <w:col w:w="820" w:space="720"/>
            <w:col w:w="8599"/>
          </w:cols>
          <w:pgMar w:left="320" w:top="449" w:right="1440" w:bottom="1440" w:gutter="0" w:footer="0" w:header="0"/>
          <w:type w:val="continuous"/>
        </w:sectPr>
      </w:pPr>
    </w:p>
    <w:p>
      <w:pP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Cover Page Interactive Data File (embedded within the Inline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XBRL document)</w:t>
      </w:r>
    </w:p>
    <w:p>
      <w:pPr>
        <w:spacing w:after="0" w:line="200" w:lineRule="exact"/>
        <w:rPr>
          <w:sz w:val="20"/>
          <w:szCs w:val="20"/>
          <w:color w:val="auto"/>
        </w:rPr>
      </w:pPr>
    </w:p>
    <w:p>
      <w:pPr>
        <w:sectPr>
          <w:pgSz w:w="11900" w:h="16838" w:orient="portrait"/>
          <w:cols w:equalWidth="0" w:num="2">
            <w:col w:w="820" w:space="720"/>
            <w:col w:w="8599"/>
          </w:cols>
          <w:pgMar w:left="320" w:top="449" w:right="1440" w:bottom="1440" w:gutter="0" w:footer="0" w:header="0"/>
          <w:type w:val="continuous"/>
        </w:sectPr>
      </w:pPr>
    </w:p>
    <w:p>
      <w:pPr>
        <w:spacing w:after="0" w:line="11"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0" w:right="439" w:hanging="32"/>
        <w:spacing w:after="0" w:line="273" w:lineRule="auto"/>
        <w:tabs>
          <w:tab w:leader="none" w:pos="516"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9" w:right="1440" w:bottom="1440" w:gutter="0" w:footer="0" w:header="0"/>
          <w:type w:val="continuous"/>
        </w:sectPr>
      </w:pPr>
    </w:p>
    <w:bookmarkStart w:id="94" w:name="page95"/>
    <w:bookmarkEnd w:id="94"/>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Tenaya Therapeutics, Inc.</w:t>
      </w:r>
    </w:p>
    <w:p>
      <w:pPr>
        <w:spacing w:after="0" w:line="252" w:lineRule="exact"/>
        <w:rPr>
          <w:sz w:val="20"/>
          <w:szCs w:val="20"/>
          <w:color w:val="auto"/>
        </w:rPr>
      </w:pPr>
    </w:p>
    <w:p>
      <w:pPr>
        <w:spacing w:after="0"/>
        <w:tabs>
          <w:tab w:leader="none" w:pos="5620" w:val="left"/>
          <w:tab w:leader="none" w:pos="782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Faraz Ali, M.B.A.</w:t>
      </w:r>
    </w:p>
    <w:p>
      <w:pPr>
        <w:spacing w:after="0" w:line="27"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spacing w:after="0"/>
        <w:tabs>
          <w:tab w:leader="none" w:pos="5620" w:val="left"/>
          <w:tab w:leader="none" w:pos="746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Leone D. Patterson, M.B.A.</w:t>
      </w:r>
    </w:p>
    <w:p>
      <w:pPr>
        <w:spacing w:after="0" w:line="27"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Chief Financial and Business Officer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800"/>
          </w:cols>
          <w:pgMar w:left="320" w:top="337" w:right="77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Faraz Ali, M.B.A., certify that:</w:t>
      </w:r>
    </w:p>
    <w:p>
      <w:pPr>
        <w:spacing w:after="0" w:line="225" w:lineRule="exact"/>
        <w:rPr>
          <w:sz w:val="20"/>
          <w:szCs w:val="20"/>
          <w:color w:val="auto"/>
        </w:rPr>
      </w:pPr>
    </w:p>
    <w:p>
      <w:pPr>
        <w:ind w:left="420" w:hanging="412"/>
        <w:spacing w:after="0"/>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Tenaya Therapeutics, Inc.;</w:t>
      </w:r>
    </w:p>
    <w:p>
      <w:pPr>
        <w:spacing w:after="0" w:line="225"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360" w:hanging="412"/>
        <w:spacing w:after="0" w:line="277" w:lineRule="auto"/>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820" w:right="220" w:hanging="407"/>
        <w:spacing w:after="0" w:line="263" w:lineRule="auto"/>
        <w:tabs>
          <w:tab w:leader="none" w:pos="8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820" w:right="700" w:hanging="407"/>
        <w:spacing w:after="0" w:line="342" w:lineRule="auto"/>
        <w:tabs>
          <w:tab w:leader="none" w:pos="8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20" w:right="200" w:hanging="407"/>
        <w:spacing w:after="0" w:line="263" w:lineRule="auto"/>
        <w:tabs>
          <w:tab w:leader="none" w:pos="8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20" w:right="60" w:hanging="412"/>
        <w:spacing w:after="0" w:line="308" w:lineRule="auto"/>
        <w:tabs>
          <w:tab w:leader="none" w:pos="4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20" w:right="120" w:hanging="407"/>
        <w:spacing w:after="0" w:line="277" w:lineRule="auto"/>
        <w:tabs>
          <w:tab w:leader="none" w:pos="8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20" w:right="80" w:hanging="407"/>
        <w:spacing w:after="0" w:line="277" w:lineRule="auto"/>
        <w:tabs>
          <w:tab w:leader="none" w:pos="8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TENAYA THERAPEUTICS, INC.</w:t>
      </w:r>
    </w:p>
    <w:p>
      <w:pPr>
        <w:spacing w:after="0" w:line="265"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Faraz Ali, M.B.A.</w:t>
            </w: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440" w:type="dxa"/>
            <w:vAlign w:val="bottom"/>
          </w:tcPr>
          <w:p>
            <w:pPr>
              <w:spacing w:after="0"/>
              <w:rPr>
                <w:sz w:val="20"/>
                <w:szCs w:val="20"/>
                <w:color w:val="auto"/>
              </w:rPr>
            </w:pPr>
            <w:r>
              <w:rPr>
                <w:rFonts w:ascii="Arial" w:cs="Arial" w:eastAsia="Arial" w:hAnsi="Arial"/>
                <w:sz w:val="18"/>
                <w:szCs w:val="18"/>
                <w:color w:val="auto"/>
              </w:rPr>
              <w:t>Faraz Ali, M.B.A.</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20"/>
                <w:szCs w:val="20"/>
                <w:color w:val="auto"/>
              </w:rPr>
            </w:pPr>
            <w:r>
              <w:rPr>
                <w:rFonts w:ascii="Arial" w:cs="Arial" w:eastAsia="Arial" w:hAnsi="Arial"/>
                <w:sz w:val="18"/>
                <w:szCs w:val="18"/>
                <w:color w:val="auto"/>
                <w:w w:val="98"/>
              </w:rPr>
              <w:t xml:space="preserve">Chief Executive Officer and Director </w:t>
            </w:r>
            <w:r>
              <w:rPr>
                <w:rFonts w:ascii="Arial" w:cs="Arial" w:eastAsia="Arial" w:hAnsi="Arial"/>
                <w:sz w:val="18"/>
                <w:szCs w:val="18"/>
                <w:i w:val="1"/>
                <w:iCs w:val="1"/>
                <w:color w:val="auto"/>
                <w:w w:val="98"/>
              </w:rPr>
              <w:t>(Principal Executive</w:t>
            </w:r>
          </w:p>
        </w:tc>
      </w:tr>
      <w:tr>
        <w:trPr>
          <w:trHeight w:val="230"/>
        </w:trPr>
        <w:tc>
          <w:tcPr>
            <w:tcW w:w="8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rPr>
              <w:t>Officer)</w:t>
            </w:r>
          </w:p>
        </w:tc>
      </w:tr>
    </w:tbl>
    <w:p>
      <w:pPr>
        <w:sectPr>
          <w:pgSz w:w="11900" w:h="16838" w:orient="portrait"/>
          <w:cols w:equalWidth="0" w:num="1">
            <w:col w:w="11240"/>
          </w:cols>
          <w:pgMar w:left="320" w:top="35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Leone D. Patterson, M.B.A., certify that:</w:t>
      </w:r>
    </w:p>
    <w:p>
      <w:pPr>
        <w:spacing w:after="0" w:line="225" w:lineRule="exact"/>
        <w:rPr>
          <w:sz w:val="20"/>
          <w:szCs w:val="20"/>
          <w:color w:val="auto"/>
        </w:rPr>
      </w:pPr>
    </w:p>
    <w:p>
      <w:pPr>
        <w:ind w:left="420" w:hanging="412"/>
        <w:spacing w:after="0"/>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Tenaya Therapeutics, Inc.;</w:t>
      </w:r>
    </w:p>
    <w:p>
      <w:pPr>
        <w:spacing w:after="0" w:line="225"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360" w:hanging="412"/>
        <w:spacing w:after="0" w:line="277" w:lineRule="auto"/>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820" w:right="220" w:hanging="407"/>
        <w:spacing w:after="0" w:line="263" w:lineRule="auto"/>
        <w:tabs>
          <w:tab w:leader="none" w:pos="8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820" w:right="700" w:hanging="407"/>
        <w:spacing w:after="0" w:line="342" w:lineRule="auto"/>
        <w:tabs>
          <w:tab w:leader="none" w:pos="8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20" w:right="200" w:hanging="407"/>
        <w:spacing w:after="0" w:line="263" w:lineRule="auto"/>
        <w:tabs>
          <w:tab w:leader="none" w:pos="8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20" w:right="60" w:hanging="412"/>
        <w:spacing w:after="0" w:line="308" w:lineRule="auto"/>
        <w:tabs>
          <w:tab w:leader="none" w:pos="4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20" w:right="120" w:hanging="407"/>
        <w:spacing w:after="0" w:line="277" w:lineRule="auto"/>
        <w:tabs>
          <w:tab w:leader="none" w:pos="8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20" w:right="80" w:hanging="407"/>
        <w:spacing w:after="0" w:line="277" w:lineRule="auto"/>
        <w:tabs>
          <w:tab w:leader="none" w:pos="8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TENAYA THERAPEUTICS, INC.</w:t>
      </w:r>
    </w:p>
    <w:p>
      <w:pPr>
        <w:spacing w:after="0" w:line="265"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Leone D. Patterson, M.B.A.</w:t>
            </w:r>
          </w:p>
        </w:tc>
      </w:tr>
      <w:tr>
        <w:trPr>
          <w:trHeight w:val="209"/>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Leone D. Patterson, M.B.A.</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Chief Financial and Business Officer</w:t>
            </w:r>
          </w:p>
        </w:tc>
      </w:tr>
      <w:tr>
        <w:trPr>
          <w:trHeight w:val="230"/>
        </w:trPr>
        <w:tc>
          <w:tcPr>
            <w:tcW w:w="7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bl>
    <w:p>
      <w:pPr>
        <w:sectPr>
          <w:pgSz w:w="11900" w:h="16838" w:orient="portrait"/>
          <w:cols w:equalWidth="0" w:num="1">
            <w:col w:w="11240"/>
          </w:cols>
          <w:pgMar w:left="320" w:top="35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OF PRINCIPAL EXECUTIVE OFFICER AND PRINCIPAL FINANCIAL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 Faraz Ali, M.B.A., certify, pursuant to 18 U.S.C. Section 1350 as adopted pursuant to Section 906 of the Sarbanes-Oxley Act of 2002, that, (1) the Quarterly Report on Form 10-Q of Tenaya Therapeutics, Inc. for the quarterly period ended September 30, 2021,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17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Faraz Ali, M.B.A.</w:t>
      </w:r>
    </w:p>
    <w:p>
      <w:pPr>
        <w:spacing w:after="0" w:line="3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-130175</wp:posOffset>
            </wp:positionV>
            <wp:extent cx="31375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Date: November 10, 2021</w:t>
      </w:r>
    </w:p>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Leone D. Patterson, M.B.A., certify, pursuant to 18 U.S.C. Section 1350 as adopted pursuant to Section 906 of the Sarbanes-Oxley Act of 2002, that, (1) the Quarterly Report on Form 10-Q of Tenaya Therapeutics, Inc. for the quarterly period ended September 30, 2021,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Leone D. Patterson, M.B.A.</w:t>
      </w:r>
    </w:p>
    <w:p>
      <w:pPr>
        <w:spacing w:after="0" w:line="3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-130175</wp:posOffset>
            </wp:positionV>
            <wp:extent cx="31375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Financial and Business Officer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Date: November 10, 2021</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1."/>
      <w:numFmt w:val="decimal"/>
      <w:start w:val="2"/>
    </w:lvl>
  </w:abstractNum>
  <w:abstractNum w:abstractNumId="5">
    <w:nsid w:val="5072367"/>
    <w:multiLevelType w:val="hybridMultilevel"/>
    <w:lvl w:ilvl="0">
      <w:lvlJc w:val="left"/>
      <w:lvlText w:val="%1."/>
      <w:numFmt w:val="decimal"/>
      <w:start w:val="3"/>
    </w:lvl>
  </w:abstractNum>
  <w:abstractNum w:abstractNumId="6">
    <w:nsid w:val="3804823E"/>
    <w:multiLevelType w:val="hybridMultilevel"/>
    <w:lvl w:ilvl="0">
      <w:lvlJc w:val="left"/>
      <w:lvlText w:val="%1."/>
      <w:numFmt w:val="decimal"/>
      <w:start w:val="5"/>
    </w:lvl>
  </w:abstractNum>
  <w:abstractNum w:abstractNumId="7">
    <w:nsid w:val="77465F01"/>
    <w:multiLevelType w:val="hybridMultilevel"/>
    <w:lvl w:ilvl="0">
      <w:lvlJc w:val="left"/>
      <w:lvlText w:val="%1."/>
      <w:numFmt w:val="decimal"/>
      <w:start w:val="6"/>
    </w:lvl>
  </w:abstractNum>
  <w:abstractNum w:abstractNumId="8">
    <w:nsid w:val="7724C67E"/>
    <w:multiLevelType w:val="hybridMultilevel"/>
    <w:lvl w:ilvl="0">
      <w:lvlJc w:val="left"/>
      <w:lvlText w:val="%1."/>
      <w:numFmt w:val="decimal"/>
      <w:start w:val="7"/>
    </w:lvl>
  </w:abstractNum>
  <w:abstractNum w:abstractNumId="9">
    <w:nsid w:val="5C482A97"/>
    <w:multiLevelType w:val="hybridMultilevel"/>
    <w:lvl w:ilvl="0">
      <w:lvlJc w:val="left"/>
      <w:lvlText w:val="%1."/>
      <w:numFmt w:val="decimal"/>
      <w:start w:val="8"/>
    </w:lvl>
  </w:abstractNum>
  <w:abstractNum w:abstractNumId="10">
    <w:nsid w:val="2463B9EA"/>
    <w:multiLevelType w:val="hybridMultilevel"/>
    <w:lvl w:ilvl="0">
      <w:lvlJc w:val="left"/>
      <w:lvlText w:val="%1."/>
      <w:numFmt w:val="decimal"/>
      <w:start w:val="9"/>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lowerLetter"/>
      <w:start w:val="2"/>
    </w:lvl>
  </w:abstractNum>
  <w:abstractNum w:abstractNumId="61">
    <w:nsid w:val="310C50B3"/>
    <w:multiLevelType w:val="hybridMultilevel"/>
    <w:lvl w:ilvl="0">
      <w:lvlJc w:val="left"/>
      <w:lvlText w:val="(%1)"/>
      <w:numFmt w:val="lowerLetter"/>
      <w:start w:val="3"/>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13" Type="http://schemas.openxmlformats.org/officeDocument/2006/relationships/hyperlink" Target="http://www.sec.gov/Archives/edgar/data/1858848/000119312521235079/d193163dex31.htm" TargetMode="External"/><Relationship Id="rId114" Type="http://schemas.openxmlformats.org/officeDocument/2006/relationships/hyperlink" Target="http://www.sec.gov/Archives/edgar/data/1858848/000119312521235079/d193163dex32.htm" TargetMode="External"/><Relationship Id="rId115" Type="http://schemas.openxmlformats.org/officeDocument/2006/relationships/hyperlink" Target="http://www.sec.gov/Archives/edgar/data/1858848/000119312521223559/d175698dex42.htm" TargetMode="External"/><Relationship Id="rId116" Type="http://schemas.openxmlformats.org/officeDocument/2006/relationships/hyperlink" Target="http://www.sec.gov/Archives/edgar/data/0001858848/000119312521212010/d175698dex101.htm" TargetMode="External"/><Relationship Id="rId117" Type="http://schemas.openxmlformats.org/officeDocument/2006/relationships/hyperlink" Target="http://www.sec.gov/Archives/edgar/data/1858848/000119312521223559/d175698dex103.htm" TargetMode="External"/><Relationship Id="rId118" Type="http://schemas.openxmlformats.org/officeDocument/2006/relationships/hyperlink" Target="http://www.sec.gov/Archives/edgar/data/1858848/000119312521223559/d175698dex104.htm" TargetMode="External"/><Relationship Id="rId119" Type="http://schemas.openxmlformats.org/officeDocument/2006/relationships/hyperlink" Target="http://www.sec.gov/Archives/edgar/data/0001858848/000119312521212010/d175698dex105.htm" TargetMode="External"/><Relationship Id="rId120" Type="http://schemas.openxmlformats.org/officeDocument/2006/relationships/hyperlink" Target="http://www.sec.gov/Archives/edgar/data/0001858848/000119312521212010/d175698dex106.htm" TargetMode="External"/><Relationship Id="rId121" Type="http://schemas.openxmlformats.org/officeDocument/2006/relationships/hyperlink" Target="http://www.sec.gov/Archives/edgar/data/0001858848/000119312521212010/d175698dex107.htm" TargetMode="External"/><Relationship Id="rId122" Type="http://schemas.openxmlformats.org/officeDocument/2006/relationships/hyperlink" Target="http://www.sec.gov/Archives/edgar/data/0001858848/000119312521212010/d175698dex108.htm" TargetMode="External"/><Relationship Id="rId123" Type="http://schemas.openxmlformats.org/officeDocument/2006/relationships/hyperlink" Target="http://www.sec.gov/Archives/edgar/data/0001858848/000119312521212010/d175698dex1012.htm" TargetMode="External"/><Relationship Id="rId124" Type="http://schemas.openxmlformats.org/officeDocument/2006/relationships/hyperlink" Target="http://www.sec.gov/Archives/edgar/data/0001858848/000119312521212010/d175698dex1013.htm" TargetMode="External"/><Relationship Id="rId125" Type="http://schemas.openxmlformats.org/officeDocument/2006/relationships/hyperlink" Target="http://www.sec.gov/Archives/edgar/data/1858848/000119312521223559/d175698d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2021-11-10T15:58:26Z</dcterms:created>
  <dcterms:modified xsi:type="dcterms:W3CDTF">2021-11-10T15:58:26Z</dcterms:modified>
</cp:coreProperties>
</file>