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(Amendment No. 2)*</w:t>
      </w:r>
    </w:p>
    <w:p>
      <w:pPr>
        <w:spacing w:after="0" w:line="200" w:lineRule="exact"/>
        <w:rPr>
          <w:sz w:val="24"/>
          <w:szCs w:val="24"/>
          <w:color w:val="auto"/>
        </w:rPr>
      </w:pPr>
    </w:p>
    <w:p>
      <w:pPr>
        <w:spacing w:after="0" w:line="2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Eli Casdin</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1350 Avenue of the Americas, Suite 2600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Telephone Number (212) 897-5438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Notices and Communications)</w:t>
      </w:r>
    </w:p>
    <w:p>
      <w:pPr>
        <w:spacing w:after="0" w:line="200" w:lineRule="exact"/>
        <w:rPr>
          <w:sz w:val="24"/>
          <w:szCs w:val="24"/>
          <w:color w:val="auto"/>
        </w:rPr>
      </w:pPr>
    </w:p>
    <w:p>
      <w:pPr>
        <w:spacing w:after="0" w:line="2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December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ss.240.13d-1(e), 240.13d-1(f) or 240.13d-1(g), check the following box [ ].</w:t>
      </w:r>
    </w:p>
    <w:p>
      <w:pPr>
        <w:spacing w:after="0" w:line="175" w:lineRule="exact"/>
        <w:rPr>
          <w:sz w:val="24"/>
          <w:szCs w:val="24"/>
          <w:color w:val="auto"/>
        </w:rPr>
      </w:pPr>
    </w:p>
    <w:p>
      <w:pPr>
        <w:ind w:firstLine="5"/>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-305435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131445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20" w:top="441" w:right="539" w:bottom="1440" w:gutter="0" w:footer="0" w:header="0"/>
        </w:sectPr>
      </w:pPr>
    </w:p>
    <w:bookmarkStart w:id="1" w:name="page2"/>
    <w:bookmarkEnd w:id="1"/>
    <w:p>
      <w:pPr>
        <w:ind w:left="1700"/>
        <w:spacing w:after="0"/>
        <w:rPr>
          <w:sz w:val="20"/>
          <w:szCs w:val="20"/>
          <w:color w:val="auto"/>
        </w:rPr>
      </w:pPr>
      <w:r>
        <w:rPr>
          <w:rFonts w:ascii="Times New Roman" w:cs="Times New Roman" w:eastAsia="Times New Roman" w:hAnsi="Times New Roman"/>
          <w:sz w:val="18"/>
          <w:szCs w:val="18"/>
          <w:color w:val="auto"/>
        </w:rPr>
        <w:t>87990A106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0"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5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Casdin Capital, LLC</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 [_]</w:t>
            </w:r>
          </w:p>
        </w:tc>
      </w:tr>
      <w:tr>
        <w:trPr>
          <w:trHeight w:val="234"/>
        </w:trPr>
        <w:tc>
          <w:tcPr>
            <w:tcW w:w="5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 [_]</w:t>
            </w:r>
          </w:p>
        </w:tc>
      </w:tr>
    </w:tbl>
    <w:p>
      <w:pPr>
        <w:spacing w:after="0" w:line="198"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8520" w:hanging="895"/>
        <w:spacing w:after="0" w:line="50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AF</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hanging="89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right="828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800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6,427,200</w:t>
      </w:r>
    </w:p>
    <w:p>
      <w:pPr>
        <w:spacing w:after="0" w:line="1" w:lineRule="exact"/>
        <w:rPr>
          <w:rFonts w:ascii="Times New Roman" w:cs="Times New Roman" w:eastAsia="Times New Roman" w:hAnsi="Times New Roman"/>
          <w:sz w:val="18"/>
          <w:szCs w:val="18"/>
          <w:color w:val="auto"/>
        </w:rPr>
      </w:pPr>
    </w:p>
    <w:p>
      <w:pPr>
        <w:ind w:left="900" w:right="788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60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6,427,200</w:t>
      </w:r>
    </w:p>
    <w:p>
      <w:pPr>
        <w:spacing w:after="0" w:line="1" w:lineRule="exact"/>
        <w:rPr>
          <w:rFonts w:ascii="Times New Roman" w:cs="Times New Roman" w:eastAsia="Times New Roman" w:hAnsi="Times New Roman"/>
          <w:sz w:val="18"/>
          <w:szCs w:val="18"/>
          <w:color w:val="auto"/>
        </w:rPr>
      </w:pPr>
    </w:p>
    <w:p>
      <w:pPr>
        <w:ind w:left="900" w:right="3580" w:hanging="895"/>
        <w:spacing w:after="0" w:line="500"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6,427,200</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right="4980" w:hanging="895"/>
        <w:spacing w:after="0" w:line="500"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9.9%</w:t>
      </w:r>
    </w:p>
    <w:p>
      <w:pPr>
        <w:spacing w:after="0" w:line="1" w:lineRule="exact"/>
        <w:rPr>
          <w:rFonts w:ascii="Times New Roman" w:cs="Times New Roman" w:eastAsia="Times New Roman" w:hAnsi="Times New Roman"/>
          <w:sz w:val="18"/>
          <w:szCs w:val="18"/>
          <w:color w:val="auto"/>
        </w:rPr>
      </w:pPr>
    </w:p>
    <w:p>
      <w:pPr>
        <w:ind w:left="900" w:right="7620" w:hanging="895"/>
        <w:spacing w:after="0" w:line="53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-21590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277495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88" w:right="439" w:bottom="1440" w:gutter="0" w:footer="0" w:header="0"/>
        </w:sectPr>
      </w:pPr>
    </w:p>
    <w:bookmarkStart w:id="2" w:name="page3"/>
    <w:bookmarkEnd w:id="2"/>
    <w:p>
      <w:pPr>
        <w:ind w:left="1700"/>
        <w:spacing w:after="0"/>
        <w:rPr>
          <w:sz w:val="20"/>
          <w:szCs w:val="20"/>
          <w:color w:val="auto"/>
        </w:rPr>
      </w:pPr>
      <w:r>
        <w:rPr>
          <w:rFonts w:ascii="Times New Roman" w:cs="Times New Roman" w:eastAsia="Times New Roman" w:hAnsi="Times New Roman"/>
          <w:sz w:val="18"/>
          <w:szCs w:val="18"/>
          <w:color w:val="auto"/>
        </w:rPr>
        <w:t>87990A106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0"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5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Casdin Partners Master Fund, L.P.</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 [_]</w:t>
            </w:r>
          </w:p>
        </w:tc>
      </w:tr>
      <w:tr>
        <w:trPr>
          <w:trHeight w:val="234"/>
        </w:trPr>
        <w:tc>
          <w:tcPr>
            <w:tcW w:w="5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 [_]</w:t>
            </w:r>
          </w:p>
        </w:tc>
      </w:tr>
    </w:tbl>
    <w:p>
      <w:pPr>
        <w:spacing w:after="0" w:line="198" w:lineRule="exact"/>
        <w:rPr>
          <w:sz w:val="20"/>
          <w:szCs w:val="20"/>
          <w:color w:val="auto"/>
        </w:rPr>
      </w:pPr>
    </w:p>
    <w:p>
      <w:pPr>
        <w:ind w:left="900" w:hanging="89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8520" w:hanging="895"/>
        <w:spacing w:after="0" w:line="500"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WC</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hanging="89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right="828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800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6,427,200</w:t>
      </w:r>
    </w:p>
    <w:p>
      <w:pPr>
        <w:spacing w:after="0" w:line="1" w:lineRule="exact"/>
        <w:rPr>
          <w:rFonts w:ascii="Times New Roman" w:cs="Times New Roman" w:eastAsia="Times New Roman" w:hAnsi="Times New Roman"/>
          <w:sz w:val="18"/>
          <w:szCs w:val="18"/>
          <w:color w:val="auto"/>
        </w:rPr>
      </w:pPr>
    </w:p>
    <w:p>
      <w:pPr>
        <w:ind w:left="900" w:right="788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60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6,427,200</w:t>
      </w:r>
    </w:p>
    <w:p>
      <w:pPr>
        <w:spacing w:after="0" w:line="1" w:lineRule="exact"/>
        <w:rPr>
          <w:rFonts w:ascii="Times New Roman" w:cs="Times New Roman" w:eastAsia="Times New Roman" w:hAnsi="Times New Roman"/>
          <w:sz w:val="18"/>
          <w:szCs w:val="18"/>
          <w:color w:val="auto"/>
        </w:rPr>
      </w:pPr>
    </w:p>
    <w:p>
      <w:pPr>
        <w:ind w:left="900" w:right="3580" w:hanging="895"/>
        <w:spacing w:after="0" w:line="500"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6,427,200</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right="4980" w:hanging="895"/>
        <w:spacing w:after="0" w:line="500"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9.9%</w:t>
      </w:r>
    </w:p>
    <w:p>
      <w:pPr>
        <w:spacing w:after="0" w:line="1" w:lineRule="exact"/>
        <w:rPr>
          <w:rFonts w:ascii="Times New Roman" w:cs="Times New Roman" w:eastAsia="Times New Roman" w:hAnsi="Times New Roman"/>
          <w:sz w:val="18"/>
          <w:szCs w:val="18"/>
          <w:color w:val="auto"/>
        </w:rPr>
      </w:pPr>
    </w:p>
    <w:p>
      <w:pPr>
        <w:ind w:left="900" w:right="7620" w:hanging="895"/>
        <w:spacing w:after="0" w:line="53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-21590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277495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88" w:right="439" w:bottom="1440" w:gutter="0" w:footer="0" w:header="0"/>
        </w:sectPr>
      </w:pPr>
    </w:p>
    <w:bookmarkStart w:id="3" w:name="page4"/>
    <w:bookmarkEnd w:id="3"/>
    <w:p>
      <w:pPr>
        <w:ind w:left="1700"/>
        <w:spacing w:after="0"/>
        <w:rPr>
          <w:sz w:val="20"/>
          <w:szCs w:val="20"/>
          <w:color w:val="auto"/>
        </w:rPr>
      </w:pPr>
      <w:r>
        <w:rPr>
          <w:rFonts w:ascii="Times New Roman" w:cs="Times New Roman" w:eastAsia="Times New Roman" w:hAnsi="Times New Roman"/>
          <w:sz w:val="18"/>
          <w:szCs w:val="18"/>
          <w:color w:val="auto"/>
        </w:rPr>
        <w:t>87990A106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0" w:lineRule="exact"/>
        <w:rPr>
          <w:sz w:val="20"/>
          <w:szCs w:val="20"/>
          <w:color w:val="auto"/>
        </w:rPr>
      </w:pPr>
    </w:p>
    <w:p>
      <w:pPr>
        <w:ind w:left="900" w:hanging="89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5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Casdin Partners GP, LLC</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 [_]</w:t>
            </w:r>
          </w:p>
        </w:tc>
      </w:tr>
      <w:tr>
        <w:trPr>
          <w:trHeight w:val="234"/>
        </w:trPr>
        <w:tc>
          <w:tcPr>
            <w:tcW w:w="5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 [_]</w:t>
            </w:r>
          </w:p>
        </w:tc>
      </w:tr>
    </w:tbl>
    <w:p>
      <w:pPr>
        <w:spacing w:after="0" w:line="198" w:lineRule="exact"/>
        <w:rPr>
          <w:sz w:val="20"/>
          <w:szCs w:val="20"/>
          <w:color w:val="auto"/>
        </w:rPr>
      </w:pPr>
    </w:p>
    <w:p>
      <w:pPr>
        <w:ind w:left="900" w:hanging="89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8520" w:hanging="895"/>
        <w:spacing w:after="0" w:line="500"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AF</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hanging="89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right="828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800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6,427,200</w:t>
      </w:r>
    </w:p>
    <w:p>
      <w:pPr>
        <w:spacing w:after="0" w:line="1" w:lineRule="exact"/>
        <w:rPr>
          <w:rFonts w:ascii="Times New Roman" w:cs="Times New Roman" w:eastAsia="Times New Roman" w:hAnsi="Times New Roman"/>
          <w:sz w:val="18"/>
          <w:szCs w:val="18"/>
          <w:color w:val="auto"/>
        </w:rPr>
      </w:pPr>
    </w:p>
    <w:p>
      <w:pPr>
        <w:ind w:left="900" w:right="788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60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6,427,200</w:t>
      </w:r>
    </w:p>
    <w:p>
      <w:pPr>
        <w:spacing w:after="0" w:line="1" w:lineRule="exact"/>
        <w:rPr>
          <w:rFonts w:ascii="Times New Roman" w:cs="Times New Roman" w:eastAsia="Times New Roman" w:hAnsi="Times New Roman"/>
          <w:sz w:val="18"/>
          <w:szCs w:val="18"/>
          <w:color w:val="auto"/>
        </w:rPr>
      </w:pPr>
    </w:p>
    <w:p>
      <w:pPr>
        <w:ind w:left="900" w:right="3580" w:hanging="895"/>
        <w:spacing w:after="0" w:line="500"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6,427,200</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right="4980" w:hanging="895"/>
        <w:spacing w:after="0" w:line="500"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9.9%</w:t>
      </w:r>
    </w:p>
    <w:p>
      <w:pPr>
        <w:spacing w:after="0" w:line="1" w:lineRule="exact"/>
        <w:rPr>
          <w:rFonts w:ascii="Times New Roman" w:cs="Times New Roman" w:eastAsia="Times New Roman" w:hAnsi="Times New Roman"/>
          <w:sz w:val="18"/>
          <w:szCs w:val="18"/>
          <w:color w:val="auto"/>
        </w:rPr>
      </w:pPr>
    </w:p>
    <w:p>
      <w:pPr>
        <w:ind w:left="900" w:right="7620" w:hanging="895"/>
        <w:spacing w:after="0" w:line="53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-21590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88" w:right="439" w:bottom="1440" w:gutter="0" w:footer="0" w:header="0"/>
        </w:sectPr>
      </w:pPr>
    </w:p>
    <w:bookmarkStart w:id="4" w:name="page5"/>
    <w:bookmarkEnd w:id="4"/>
    <w:p>
      <w:pPr>
        <w:ind w:left="1700"/>
        <w:spacing w:after="0"/>
        <w:rPr>
          <w:sz w:val="20"/>
          <w:szCs w:val="20"/>
          <w:color w:val="auto"/>
        </w:rPr>
      </w:pPr>
      <w:r>
        <w:rPr>
          <w:rFonts w:ascii="Times New Roman" w:cs="Times New Roman" w:eastAsia="Times New Roman" w:hAnsi="Times New Roman"/>
          <w:sz w:val="18"/>
          <w:szCs w:val="18"/>
          <w:color w:val="auto"/>
        </w:rPr>
        <w:t>87990A106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0" w:lineRule="exact"/>
        <w:rPr>
          <w:sz w:val="20"/>
          <w:szCs w:val="20"/>
          <w:color w:val="auto"/>
        </w:rPr>
      </w:pPr>
    </w:p>
    <w:p>
      <w:pPr>
        <w:ind w:left="900" w:hanging="89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00" w:right="454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Eli Casdin</w:t>
      </w: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2.</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 [_]</w:t>
            </w:r>
          </w:p>
        </w:tc>
      </w:tr>
      <w:tr>
        <w:trPr>
          <w:trHeight w:val="234"/>
        </w:trPr>
        <w:tc>
          <w:tcPr>
            <w:tcW w:w="5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6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 [_]</w:t>
            </w:r>
          </w:p>
        </w:tc>
      </w:tr>
    </w:tbl>
    <w:p>
      <w:pPr>
        <w:spacing w:after="0" w:line="198" w:lineRule="exact"/>
        <w:rPr>
          <w:sz w:val="20"/>
          <w:szCs w:val="20"/>
          <w:color w:val="auto"/>
        </w:rPr>
      </w:pPr>
    </w:p>
    <w:p>
      <w:pPr>
        <w:ind w:left="900" w:hanging="89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00" w:right="8520" w:hanging="895"/>
        <w:spacing w:after="0" w:line="500"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AF</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hanging="89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right="828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00" w:right="800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6,427,200</w:t>
      </w:r>
    </w:p>
    <w:p>
      <w:pPr>
        <w:spacing w:after="0" w:line="1" w:lineRule="exact"/>
        <w:rPr>
          <w:rFonts w:ascii="Times New Roman" w:cs="Times New Roman" w:eastAsia="Times New Roman" w:hAnsi="Times New Roman"/>
          <w:sz w:val="18"/>
          <w:szCs w:val="18"/>
          <w:color w:val="auto"/>
        </w:rPr>
      </w:pPr>
    </w:p>
    <w:p>
      <w:pPr>
        <w:ind w:left="900" w:right="788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00" w:right="760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6,427,200</w:t>
      </w:r>
    </w:p>
    <w:p>
      <w:pPr>
        <w:spacing w:after="0" w:line="1" w:lineRule="exact"/>
        <w:rPr>
          <w:rFonts w:ascii="Times New Roman" w:cs="Times New Roman" w:eastAsia="Times New Roman" w:hAnsi="Times New Roman"/>
          <w:sz w:val="18"/>
          <w:szCs w:val="18"/>
          <w:color w:val="auto"/>
        </w:rPr>
      </w:pPr>
    </w:p>
    <w:p>
      <w:pPr>
        <w:ind w:left="900" w:right="3580" w:hanging="895"/>
        <w:spacing w:after="0" w:line="500"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6,427,200</w:t>
      </w:r>
    </w:p>
    <w:p>
      <w:pPr>
        <w:spacing w:after="0" w:line="1" w:lineRule="exact"/>
        <w:rPr>
          <w:rFonts w:ascii="Times New Roman" w:cs="Times New Roman" w:eastAsia="Times New Roman" w:hAnsi="Times New Roman"/>
          <w:sz w:val="18"/>
          <w:szCs w:val="18"/>
          <w:color w:val="auto"/>
        </w:rPr>
      </w:pPr>
    </w:p>
    <w:p>
      <w:pPr>
        <w:ind w:left="900" w:hanging="89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900" w:right="4980" w:hanging="895"/>
        <w:spacing w:after="0" w:line="500"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9.9%</w:t>
      </w:r>
    </w:p>
    <w:p>
      <w:pPr>
        <w:spacing w:after="0" w:line="1" w:lineRule="exact"/>
        <w:rPr>
          <w:rFonts w:ascii="Times New Roman" w:cs="Times New Roman" w:eastAsia="Times New Roman" w:hAnsi="Times New Roman"/>
          <w:sz w:val="18"/>
          <w:szCs w:val="18"/>
          <w:color w:val="auto"/>
        </w:rPr>
      </w:pPr>
    </w:p>
    <w:p>
      <w:pPr>
        <w:ind w:left="900" w:right="7620" w:hanging="895"/>
        <w:spacing w:after="0" w:line="53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-21590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277495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688"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8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87990A106</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color w:val="auto"/>
        </w:rPr>
        <w:t>Security and Issuer.</w:t>
      </w:r>
    </w:p>
    <w:p>
      <w:pPr>
        <w:spacing w:after="0" w:line="225" w:lineRule="exact"/>
        <w:rPr>
          <w:sz w:val="20"/>
          <w:szCs w:val="20"/>
          <w:color w:val="auto"/>
        </w:rPr>
      </w:pPr>
    </w:p>
    <w:p>
      <w:pPr>
        <w:jc w:val="both"/>
        <w:ind w:left="1020"/>
        <w:spacing w:after="0" w:line="226" w:lineRule="auto"/>
        <w:rPr>
          <w:sz w:val="20"/>
          <w:szCs w:val="20"/>
          <w:color w:val="auto"/>
        </w:rPr>
      </w:pPr>
      <w:r>
        <w:rPr>
          <w:rFonts w:ascii="Times New Roman" w:cs="Times New Roman" w:eastAsia="Times New Roman" w:hAnsi="Times New Roman"/>
          <w:sz w:val="18"/>
          <w:szCs w:val="18"/>
          <w:color w:val="auto"/>
        </w:rPr>
        <w:t>The name of the issuer is Tenaya Therapeutics, Inc., a Delaware corporation (the "Issuer"). The address of the Issuer's principal executive offices is 171 Oyster Point Boulevard,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South San Francisco, CA 94080. This Schedule 13D relates to the Issuer's Common Stock, $0.0001 par value per share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139065</wp:posOffset>
            </wp:positionV>
            <wp:extent cx="64890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color w:val="auto"/>
        </w:rPr>
        <w:t>Identity and Background.</w:t>
      </w:r>
    </w:p>
    <w:p>
      <w:pPr>
        <w:spacing w:after="0" w:line="225" w:lineRule="exact"/>
        <w:rPr>
          <w:sz w:val="20"/>
          <w:szCs w:val="20"/>
          <w:color w:val="auto"/>
        </w:rPr>
      </w:pPr>
    </w:p>
    <w:p>
      <w:pPr>
        <w:jc w:val="both"/>
        <w:ind w:left="1820" w:hanging="795"/>
        <w:spacing w:after="0" w:line="261" w:lineRule="auto"/>
        <w:tabs>
          <w:tab w:leader="none" w:pos="1800" w:val="left"/>
        </w:tabs>
        <w:rPr>
          <w:sz w:val="20"/>
          <w:szCs w:val="20"/>
          <w:color w:val="auto"/>
        </w:rPr>
      </w:pPr>
      <w:r>
        <w:rPr>
          <w:rFonts w:ascii="Times New Roman" w:cs="Times New Roman" w:eastAsia="Times New Roman" w:hAnsi="Times New Roman"/>
          <w:sz w:val="18"/>
          <w:szCs w:val="18"/>
          <w:color w:val="auto"/>
        </w:rPr>
        <w:t>(a), (f)</w:t>
      </w:r>
      <w:r>
        <w:rPr>
          <w:sz w:val="20"/>
          <w:szCs w:val="20"/>
          <w:color w:val="auto"/>
        </w:rPr>
        <w:tab/>
      </w:r>
      <w:r>
        <w:rPr>
          <w:rFonts w:ascii="Times New Roman" w:cs="Times New Roman" w:eastAsia="Times New Roman" w:hAnsi="Times New Roman"/>
          <w:sz w:val="18"/>
          <w:szCs w:val="18"/>
          <w:color w:val="auto"/>
        </w:rPr>
        <w:t>This Schedule 13D is being filed jointly by Casdin Capital, LLC, a Delaware limited liability company (“Casdin”), Casdin Partners Master Fund, L.P., a Cayman Islands exempted limited partnership (the “Fund”), Casdin Partners GP, LLC, a Delaware limited liability company (the “GP”) and Eli Casdin, a United States citizen (collectively, the "Reporting Persons").</w:t>
      </w:r>
    </w:p>
    <w:p>
      <w:pPr>
        <w:spacing w:after="0" w:line="180" w:lineRule="exact"/>
        <w:rPr>
          <w:sz w:val="20"/>
          <w:szCs w:val="20"/>
          <w:color w:val="auto"/>
        </w:rPr>
      </w:pPr>
    </w:p>
    <w:p>
      <w:pPr>
        <w:ind w:left="1820" w:hanging="802"/>
        <w:spacing w:after="0" w:line="282" w:lineRule="auto"/>
        <w:tabs>
          <w:tab w:leader="none" w:pos="1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for each of the Reporting Persons is 1350 Avenue of the Americas, Suite 2600, New York, New York 10019.</w:t>
      </w:r>
    </w:p>
    <w:p>
      <w:pPr>
        <w:spacing w:after="0" w:line="161" w:lineRule="exact"/>
        <w:rPr>
          <w:rFonts w:ascii="Times New Roman" w:cs="Times New Roman" w:eastAsia="Times New Roman" w:hAnsi="Times New Roman"/>
          <w:sz w:val="18"/>
          <w:szCs w:val="18"/>
          <w:color w:val="auto"/>
        </w:rPr>
      </w:pPr>
    </w:p>
    <w:p>
      <w:pPr>
        <w:jc w:val="both"/>
        <w:ind w:left="1820" w:hanging="802"/>
        <w:spacing w:after="0" w:line="261" w:lineRule="auto"/>
        <w:tabs>
          <w:tab w:leader="none" w:pos="1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 Casdin is the managing member of Casdin and the GP. The principal business of Casdin is serving as an investment adviser to its clients. The principal business of the GP is serving as the general partner to certain private funds. Casdin is the investment manager to the Fund and the GP is the general partner of the Fund. The principal business of the Fund is purchasing, holding and selling securities for investment purposes.</w:t>
      </w:r>
    </w:p>
    <w:p>
      <w:pPr>
        <w:spacing w:after="0" w:line="180" w:lineRule="exact"/>
        <w:rPr>
          <w:sz w:val="20"/>
          <w:szCs w:val="20"/>
          <w:color w:val="auto"/>
        </w:rPr>
      </w:pPr>
    </w:p>
    <w:p>
      <w:pPr>
        <w:jc w:val="both"/>
        <w:ind w:left="1820" w:hanging="795"/>
        <w:spacing w:after="0" w:line="258" w:lineRule="auto"/>
        <w:tabs>
          <w:tab w:leader="none" w:pos="1800" w:val="left"/>
        </w:tabs>
        <w:rPr>
          <w:sz w:val="20"/>
          <w:szCs w:val="20"/>
          <w:color w:val="auto"/>
        </w:rPr>
      </w:pPr>
      <w:r>
        <w:rPr>
          <w:rFonts w:ascii="Times New Roman" w:cs="Times New Roman" w:eastAsia="Times New Roman" w:hAnsi="Times New Roman"/>
          <w:sz w:val="18"/>
          <w:szCs w:val="18"/>
          <w:color w:val="auto"/>
        </w:rPr>
        <w:t>(d), (e)</w:t>
      </w:r>
      <w:r>
        <w:rPr>
          <w:sz w:val="20"/>
          <w:szCs w:val="20"/>
          <w:color w:val="auto"/>
        </w:rPr>
        <w:tab/>
      </w:r>
      <w:r>
        <w:rPr>
          <w:rFonts w:ascii="Times New Roman" w:cs="Times New Roman" w:eastAsia="Times New Roman" w:hAnsi="Times New Roman"/>
          <w:sz w:val="18"/>
          <w:szCs w:val="18"/>
          <w:color w:val="auto"/>
        </w:rPr>
        <w:t>During the last five years, none of the Reporting Persons has been (a) convicted in a criminal proceeding (excluding traffic violations or similar misdemeanors) or (b)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The Reporting Persons disclaim membership in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265430</wp:posOffset>
            </wp:positionV>
            <wp:extent cx="6489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Source and Amount of Funds or Other Consideration.</w:t>
      </w:r>
    </w:p>
    <w:p>
      <w:pPr>
        <w:spacing w:after="0" w:line="225"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The funds for the purchase of the Shares came from the working capital of private investment funds managed by Casdin, including the Fund, over which the Reporting Persons, through their roles described above in Item 2(c), exercise investment discretion. No borrowed funds were used to purchase the Shares, other than borrowed funds used for working capital purposes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125730</wp:posOffset>
            </wp:positionV>
            <wp:extent cx="64890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562610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420" w:top="904" w:right="879" w:bottom="1440" w:gutter="0" w:footer="0" w:header="0"/>
        </w:sectPr>
      </w:pPr>
    </w:p>
    <w:bookmarkStart w:id="6" w:name="page7"/>
    <w:bookmarkEnd w:id="6"/>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Purpose of Transaction.</w:t>
      </w:r>
    </w:p>
    <w:p>
      <w:pPr>
        <w:spacing w:after="0" w:line="225" w:lineRule="exact"/>
        <w:rPr>
          <w:sz w:val="20"/>
          <w:szCs w:val="20"/>
          <w:color w:val="auto"/>
        </w:rPr>
      </w:pPr>
    </w:p>
    <w:p>
      <w:pPr>
        <w:jc w:val="both"/>
        <w:ind w:left="1020"/>
        <w:spacing w:after="0" w:line="253" w:lineRule="auto"/>
        <w:rPr>
          <w:sz w:val="20"/>
          <w:szCs w:val="20"/>
          <w:color w:val="auto"/>
        </w:rPr>
      </w:pPr>
      <w:r>
        <w:rPr>
          <w:rFonts w:ascii="Times New Roman" w:cs="Times New Roman" w:eastAsia="Times New Roman" w:hAnsi="Times New Roman"/>
          <w:sz w:val="18"/>
          <w:szCs w:val="18"/>
          <w:color w:val="auto"/>
        </w:rPr>
        <w:t>The Reporting Persons have acquired their Shares of the Issuer for investment. The Reporting Persons have no plans or proposals as of the date of this filing which, other than as expressly set forth below, would relate to or would result in: (a) any extraordinary corporate transaction involving the Issuer; (b) any change in the present Board of Directors or management of the Issuer; (c) any material change in the present capitalization or dividend policy of the Issuer; (d) any material change in the operating policies or corporate structure of the Issuer; (e) any change in the Issuer's charter or by-laws; (f) the Shares of the Issuer ceasing to be listed from a national securities exchange or to ceasing to be authorized to be quoted in an inter-dealer quotation system of a registered national securities association; or (g) causing the Issuer becoming eligible for termination of registration pursuant to Section 12(g)</w:t>
      </w:r>
    </w:p>
    <w:p>
      <w:pPr>
        <w:spacing w:after="0" w:line="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(4) of the Securities Exchange Act of 1934.</w:t>
      </w:r>
    </w:p>
    <w:p>
      <w:pPr>
        <w:spacing w:after="0" w:line="207"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On December 5, 2022, Eli Casdin, a director of the Issuer, notified the Issuer of his decision to step down from the Board of Directors of the Issuer, effective as of December 5, 2022. Mr. Casdin’s decision was not the result of any disagreement with the Issuer on matters related to the Issuer’s operations, policies or practices.</w:t>
      </w:r>
    </w:p>
    <w:p>
      <w:pPr>
        <w:spacing w:after="0" w:line="176"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The Reporting Persons, however, reserve the right, at a later date, to effect one or more of such changes and may dispose of or enter into other transactions in the shares they may be deemed to beneficially own.</w:t>
      </w:r>
    </w:p>
    <w:p>
      <w:pPr>
        <w:spacing w:after="0" w:line="162" w:lineRule="exact"/>
        <w:rPr>
          <w:sz w:val="20"/>
          <w:szCs w:val="20"/>
          <w:color w:val="auto"/>
        </w:rPr>
      </w:pPr>
    </w:p>
    <w:p>
      <w:pPr>
        <w:jc w:val="both"/>
        <w:ind w:left="1020" w:right="20"/>
        <w:spacing w:after="0" w:line="266" w:lineRule="auto"/>
        <w:rPr>
          <w:sz w:val="20"/>
          <w:szCs w:val="20"/>
          <w:color w:val="auto"/>
        </w:rPr>
      </w:pPr>
      <w:r>
        <w:rPr>
          <w:rFonts w:ascii="Times New Roman" w:cs="Times New Roman" w:eastAsia="Times New Roman" w:hAnsi="Times New Roman"/>
          <w:sz w:val="18"/>
          <w:szCs w:val="18"/>
          <w:color w:val="auto"/>
        </w:rPr>
        <w:t>The Reporting Persons have been and may continue to be in contact with members of the Issuer's management, the Issuer's Board of Directors, other significant shareholders and others regarding alternatives that the Issuer could employ to maximize shareholder value.</w:t>
      </w:r>
    </w:p>
    <w:p>
      <w:pPr>
        <w:spacing w:after="0" w:line="176"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Reporting Persons further reserve the right to act in concert with any other shareholders of the Issuer, or other persons, for a common purpose should it determine to do so, and/or to recommend courses of action to management and the shareholders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123190</wp:posOffset>
            </wp:positionV>
            <wp:extent cx="64890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Interest in Securities of the Issuer.</w:t>
      </w:r>
    </w:p>
    <w:p>
      <w:pPr>
        <w:spacing w:after="0" w:line="225" w:lineRule="exact"/>
        <w:rPr>
          <w:sz w:val="20"/>
          <w:szCs w:val="20"/>
          <w:color w:val="auto"/>
        </w:rPr>
      </w:pPr>
    </w:p>
    <w:p>
      <w:pPr>
        <w:ind w:left="1820" w:hanging="802"/>
        <w:spacing w:after="0" w:line="282" w:lineRule="auto"/>
        <w:tabs>
          <w:tab w:leader="none" w:pos="12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 As of the date hereof, Casdin and Eli Casdin may be deemed to be the beneficial owners of 6,427,200 Shares, constituting 9.9% of the Shares, based upon 63,987,996* Shares outstanding.</w:t>
      </w:r>
    </w:p>
    <w:p>
      <w:pPr>
        <w:spacing w:after="0" w:line="162" w:lineRule="exact"/>
        <w:rPr>
          <w:sz w:val="20"/>
          <w:szCs w:val="20"/>
          <w:color w:val="auto"/>
        </w:rPr>
      </w:pPr>
    </w:p>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Casdin and Eli Casdin have the sole power to vote or direct the vote of 0 Shares; have the shared power to vote or direct the vote of 6,427,200 Shares; have the sole power to dispose or direct the disposition of 0 Shares; and have the shared power to dispose or direct the disposition of 6,427,200 Shares.</w:t>
      </w:r>
    </w:p>
    <w:p>
      <w:pPr>
        <w:spacing w:after="0" w:line="176" w:lineRule="exact"/>
        <w:rPr>
          <w:sz w:val="20"/>
          <w:szCs w:val="20"/>
          <w:color w:val="auto"/>
        </w:rPr>
      </w:pPr>
    </w:p>
    <w:p>
      <w:pPr>
        <w:jc w:val="both"/>
        <w:ind w:left="1820"/>
        <w:spacing w:after="0" w:line="282" w:lineRule="auto"/>
        <w:rPr>
          <w:sz w:val="20"/>
          <w:szCs w:val="20"/>
          <w:color w:val="auto"/>
        </w:rPr>
      </w:pPr>
      <w:r>
        <w:rPr>
          <w:rFonts w:ascii="Times New Roman" w:cs="Times New Roman" w:eastAsia="Times New Roman" w:hAnsi="Times New Roman"/>
          <w:sz w:val="18"/>
          <w:szCs w:val="18"/>
          <w:color w:val="auto"/>
        </w:rPr>
        <w:t>As of the date hereof, the Fund and the GP may be deemed to be the beneficial owners of 6,427,200 Shares, constituting 9.9% of the Shares, based upon 63,987,996* Shares outstanding.</w:t>
      </w:r>
    </w:p>
    <w:p>
      <w:pPr>
        <w:spacing w:after="0" w:line="162" w:lineRule="exact"/>
        <w:rPr>
          <w:sz w:val="20"/>
          <w:szCs w:val="20"/>
          <w:color w:val="auto"/>
        </w:rPr>
      </w:pPr>
    </w:p>
    <w:p>
      <w:pPr>
        <w:jc w:val="both"/>
        <w:ind w:left="1820"/>
        <w:spacing w:after="0" w:line="266" w:lineRule="auto"/>
        <w:rPr>
          <w:sz w:val="20"/>
          <w:szCs w:val="20"/>
          <w:color w:val="auto"/>
        </w:rPr>
      </w:pPr>
      <w:r>
        <w:rPr>
          <w:rFonts w:ascii="Times New Roman" w:cs="Times New Roman" w:eastAsia="Times New Roman" w:hAnsi="Times New Roman"/>
          <w:sz w:val="18"/>
          <w:szCs w:val="18"/>
          <w:color w:val="auto"/>
        </w:rPr>
        <w:t>The Fund and the GP have the sole power to vote or direct the vote of 0 Shares; have the shared power to vote or direct the vote of 6,427,200 Shares; have the sole power to dispose or direct the disposition of 0 Shares; and have the shared power to dispose or direct the disposition of 6,427,200 Shares.</w:t>
      </w:r>
    </w:p>
    <w:p>
      <w:pPr>
        <w:spacing w:after="0" w:line="17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The transactions by the Reporting Persons in the Shares during the past sixty days are set forth in Exhibit B.</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All of the Shares are beneficially owned by the Fund and another private investment fund managed by Casdin.</w:t>
      </w:r>
    </w:p>
    <w:p>
      <w:pPr>
        <w:spacing w:after="0" w:line="225" w:lineRule="exact"/>
        <w:rPr>
          <w:sz w:val="20"/>
          <w:szCs w:val="20"/>
          <w:color w:val="auto"/>
        </w:rPr>
      </w:pPr>
    </w:p>
    <w:p>
      <w:pPr>
        <w:jc w:val="both"/>
        <w:ind w:left="1820"/>
        <w:spacing w:after="0" w:line="282" w:lineRule="auto"/>
        <w:rPr>
          <w:sz w:val="20"/>
          <w:szCs w:val="20"/>
          <w:color w:val="auto"/>
        </w:rPr>
      </w:pPr>
      <w:r>
        <w:rPr>
          <w:rFonts w:ascii="Times New Roman" w:cs="Times New Roman" w:eastAsia="Times New Roman" w:hAnsi="Times New Roman"/>
          <w:sz w:val="18"/>
          <w:szCs w:val="18"/>
          <w:color w:val="auto"/>
        </w:rPr>
        <w:t>*This outstanding Shares figure reflects the number of outstanding Shares as reported in the Form 424B5 filed by the Issuer on November 17, 2022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114300</wp:posOffset>
            </wp:positionV>
            <wp:extent cx="64890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414020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420" w:top="688" w:right="879" w:bottom="1440" w:gutter="0" w:footer="0" w:header="0"/>
        </w:sectPr>
      </w:pPr>
    </w:p>
    <w:bookmarkStart w:id="7" w:name="page8"/>
    <w:bookmarkEnd w:id="7"/>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Contracts, Arrangements, Understandings or Relationships with Respect to Securities of the Issuer.</w:t>
      </w:r>
    </w:p>
    <w:p>
      <w:pPr>
        <w:spacing w:after="0" w:line="225" w:lineRule="exact"/>
        <w:rPr>
          <w:sz w:val="20"/>
          <w:szCs w:val="20"/>
          <w:color w:val="auto"/>
        </w:rPr>
      </w:pPr>
    </w:p>
    <w:p>
      <w:pPr>
        <w:jc w:val="both"/>
        <w:ind w:left="1020"/>
        <w:spacing w:after="0" w:line="253" w:lineRule="auto"/>
        <w:rPr>
          <w:sz w:val="20"/>
          <w:szCs w:val="20"/>
          <w:color w:val="auto"/>
        </w:rPr>
      </w:pPr>
      <w:r>
        <w:rPr>
          <w:rFonts w:ascii="Times New Roman" w:cs="Times New Roman" w:eastAsia="Times New Roman" w:hAnsi="Times New Roman"/>
          <w:sz w:val="18"/>
          <w:szCs w:val="18"/>
          <w:color w:val="auto"/>
        </w:rPr>
        <w:t>The Fund holds 1,354,111 pre-funded warrants that were issued on November 17, 2022. These pre-funded warrants are exercisable, in the holder’s discretion, on or after the date of issuance by (i) payment in full in immediately available funds for the number of shares of common stock purchased upon such exercise or (ii) a cashless exercise, in which case the holder would receive upon such exercise the net number of shares of common stock determined according to a pre-set formula. The Issuer may not effect the exercise of any pre-funded warrant, and a holder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outstanding immediately after giving effect to the exercise; or (ii) the combined voting power of the Issuer’s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The pre-funded warrants are further described in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133350</wp:posOffset>
            </wp:positionV>
            <wp:extent cx="64890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Material to be Filed as Exhibits.</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Exhibit A: Joint Filing Agreement</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Exhibit B: Schedule of Transactions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420" w:top="904" w:right="8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December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34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2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Partners Master Fund, L.P.</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Casdin Partners GP, LLC, its general partner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Partners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w:t>
      </w:r>
    </w:p>
    <w:p>
      <w:pPr>
        <w:spacing w:after="0" w:line="200" w:lineRule="exact"/>
        <w:rPr>
          <w:sz w:val="20"/>
          <w:szCs w:val="20"/>
          <w:color w:val="auto"/>
        </w:rPr>
      </w:pPr>
    </w:p>
    <w:p>
      <w:pPr>
        <w:spacing w:after="0" w:line="236" w:lineRule="exact"/>
        <w:rPr>
          <w:sz w:val="20"/>
          <w:szCs w:val="20"/>
          <w:color w:val="auto"/>
        </w:rPr>
      </w:pPr>
    </w:p>
    <w:p>
      <w:pPr>
        <w:jc w:val="both"/>
        <w:ind w:firstLine="8"/>
        <w:spacing w:after="0" w:line="266" w:lineRule="auto"/>
        <w:tabs>
          <w:tab w:leader="none" w:pos="13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reporting person disclaims beneficial ownership of these reported securities except to the extent of its pecuniary interest therein, and this report shall not be deemed an admission that any such person is the beneficial owner of these securities for purposes of Section 16 of the U.S. Securities Exchange Act of 1934, as amended, or for any other purpose.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00" w:lineRule="exact"/>
        <w:rPr>
          <w:sz w:val="20"/>
          <w:szCs w:val="20"/>
          <w:color w:val="auto"/>
        </w:rPr>
      </w:pPr>
    </w:p>
    <w:p>
      <w:pPr>
        <w:spacing w:after="0" w:line="24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13D, dated December 7, 2022, relating to the Common Stock, $0.0001 par value per share, of Tenaya Therapeutics, Inc. shall be filed on behalf of the undersigned.</w:t>
      </w:r>
    </w:p>
    <w:p>
      <w:pPr>
        <w:spacing w:after="0" w:line="162"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color w:val="auto"/>
        </w:rPr>
        <w:t>December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3488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Partners Master Fund, L.P.</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Casdin Partners GP, LLC, its general partner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Partners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tbl>
      <w:tblPr>
        <w:tblLayout w:type="fixed"/>
        <w:tblInd w:w="10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7"/>
              </w:rPr>
              <w:t>Exhibit B</w:t>
            </w:r>
          </w:p>
        </w:tc>
      </w:tr>
      <w:tr>
        <w:trPr>
          <w:trHeight w:val="648"/>
        </w:trPr>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2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Schedule of Transactions in Shares</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Price Per</w:t>
            </w:r>
          </w:p>
        </w:tc>
      </w:tr>
      <w:tr>
        <w:trPr>
          <w:trHeight w:val="20"/>
        </w:trPr>
        <w:tc>
          <w:tcPr>
            <w:tcW w:w="2360" w:type="dxa"/>
            <w:vAlign w:val="bottom"/>
            <w:gridSpan w:val="2"/>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Date of Transaction</w:t>
            </w:r>
          </w:p>
        </w:tc>
        <w:tc>
          <w:tcPr>
            <w:tcW w:w="3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Title of Class</w:t>
            </w:r>
          </w:p>
        </w:tc>
        <w:tc>
          <w:tcPr>
            <w:tcW w:w="2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Number of Shares Acquired</w:t>
            </w:r>
          </w:p>
        </w:tc>
        <w:tc>
          <w:tcPr>
            <w:tcW w:w="14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Shares Disposed</w:t>
            </w:r>
          </w:p>
        </w:tc>
        <w:tc>
          <w:tcPr>
            <w:tcW w:w="102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Share</w:t>
            </w:r>
          </w:p>
        </w:tc>
      </w:tr>
      <w:tr>
        <w:trPr>
          <w:trHeight w:val="20"/>
        </w:trPr>
        <w:tc>
          <w:tcPr>
            <w:tcW w:w="14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11/17/2022</w:t>
            </w:r>
          </w:p>
        </w:tc>
        <w:tc>
          <w:tcPr>
            <w:tcW w:w="94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2,492,042*</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11/17/2022</w:t>
            </w:r>
          </w:p>
        </w:tc>
        <w:tc>
          <w:tcPr>
            <w:tcW w:w="94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1,354,111*</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$2.599</w:t>
            </w:r>
          </w:p>
        </w:tc>
        <w:tc>
          <w:tcPr>
            <w:tcW w:w="3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and the pre-funded warrants were acquired from the Issuer.</w:t>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1."/>
      <w:numFmt w:val="decimal"/>
      <w:start w:val="6"/>
    </w:lvl>
  </w:abstractNum>
  <w:abstractNum w:abstractNumId="4">
    <w:nsid w:val="7FDCC233"/>
    <w:multiLevelType w:val="hybridMultilevel"/>
    <w:lvl w:ilvl="0">
      <w:lvlJc w:val="left"/>
      <w:lvlText w:val="%1."/>
      <w:numFmt w:val="decimal"/>
      <w:start w:val="7"/>
    </w:lvl>
  </w:abstractNum>
  <w:abstractNum w:abstractNumId="5">
    <w:nsid w:val="1BEFD79F"/>
    <w:multiLevelType w:val="hybridMultilevel"/>
    <w:lvl w:ilvl="0">
      <w:lvlJc w:val="left"/>
      <w:lvlText w:val="%1."/>
      <w:numFmt w:val="decimal"/>
      <w:start w:val="13"/>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3"/>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13"/>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1."/>
      <w:numFmt w:val="decimal"/>
      <w:start w:val="6"/>
    </w:lvl>
  </w:abstractNum>
  <w:abstractNum w:abstractNumId="14">
    <w:nsid w:val="257130A3"/>
    <w:multiLevelType w:val="hybridMultilevel"/>
    <w:lvl w:ilvl="0">
      <w:lvlJc w:val="left"/>
      <w:lvlText w:val="%1."/>
      <w:numFmt w:val="decimal"/>
      <w:start w:val="7"/>
    </w:lvl>
  </w:abstractNum>
  <w:abstractNum w:abstractNumId="15">
    <w:nsid w:val="62BBD95A"/>
    <w:multiLevelType w:val="hybridMultilevel"/>
    <w:lvl w:ilvl="0">
      <w:lvlJc w:val="left"/>
      <w:lvlText w:val="%1."/>
      <w:numFmt w:val="decimal"/>
      <w:start w:val="13"/>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3"/>
    </w:lvl>
  </w:abstractNum>
  <w:abstractNum w:abstractNumId="18">
    <w:nsid w:val="333AB105"/>
    <w:multiLevelType w:val="hybridMultilevel"/>
    <w:lvl w:ilvl="0">
      <w:lvlJc w:val="left"/>
      <w:lvlText w:val="%1."/>
      <w:numFmt w:val="decimal"/>
      <w:start w:val="6"/>
    </w:lvl>
  </w:abstractNum>
  <w:abstractNum w:abstractNumId="19">
    <w:nsid w:val="721DA317"/>
    <w:multiLevelType w:val="hybridMultilevel"/>
    <w:lvl w:ilvl="0">
      <w:lvlJc w:val="left"/>
      <w:lvlText w:val="%1."/>
      <w:numFmt w:val="decimal"/>
      <w:start w:val="7"/>
    </w:lvl>
  </w:abstractNum>
  <w:abstractNum w:abstractNumId="20">
    <w:nsid w:val="2443A858"/>
    <w:multiLevelType w:val="hybridMultilevel"/>
    <w:lvl w:ilvl="0">
      <w:lvlJc w:val="left"/>
      <w:lvlText w:val="%1."/>
      <w:numFmt w:val="decimal"/>
      <w:start w:val="13"/>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2022-12-07T12:56:14Z</dcterms:created>
  <dcterms:modified xsi:type="dcterms:W3CDTF">2022-12-07T12:56:14Z</dcterms:modified>
</cp:coreProperties>
</file>