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963"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COLUMN GROUP III GP,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LETTERMAN DR</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BLDG. D, STE. DM-900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3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Tenaya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TNYA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88" w:lineRule="exact"/>
        <w:rPr>
          <w:sz w:val="24"/>
          <w:szCs w:val="24"/>
          <w:color w:val="auto"/>
        </w:rPr>
      </w:pPr>
    </w:p>
    <w:p>
      <w:pPr>
        <w:sectPr>
          <w:pgSz w:w="11900" w:h="16963" w:orient="portrait"/>
          <w:cols w:equalWidth="0" w:num="3">
            <w:col w:w="3200" w:space="720"/>
            <w:col w:w="3095" w:space="720"/>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3920" w:type="dxa"/>
            <w:vAlign w:val="bottom"/>
            <w:gridSpan w:val="11"/>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0"/>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920" w:type="dxa"/>
            <w:vAlign w:val="bottom"/>
            <w:tcBorders>
              <w:top w:val="single" w:sz="8" w:color="EEEEEE"/>
            </w:tcBorders>
          </w:tcPr>
          <w:p>
            <w:pPr>
              <w:spacing w:after="0"/>
              <w:rPr>
                <w:sz w:val="3"/>
                <w:szCs w:val="3"/>
                <w:color w:val="auto"/>
              </w:rPr>
            </w:pPr>
          </w:p>
        </w:tc>
        <w:tc>
          <w:tcPr>
            <w:tcW w:w="34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920" w:type="dxa"/>
            <w:vAlign w:val="bottom"/>
            <w:gridSpan w:val="11"/>
            <w:vMerge w:val="continue"/>
          </w:tcPr>
          <w:p>
            <w:pPr>
              <w:spacing w:after="0"/>
              <w:rPr>
                <w:sz w:val="3"/>
                <w:szCs w:val="3"/>
                <w:color w:val="auto"/>
              </w:rPr>
            </w:pPr>
          </w:p>
        </w:tc>
        <w:tc>
          <w:tcPr>
            <w:tcW w:w="3340" w:type="dxa"/>
            <w:vAlign w:val="bottom"/>
            <w:gridSpan w:val="10"/>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Arial" w:cs="Arial" w:eastAsia="Arial" w:hAnsi="Arial"/>
                <w:sz w:val="13"/>
                <w:szCs w:val="13"/>
                <w:color w:val="auto"/>
              </w:rPr>
              <w:t>Line)</w:t>
            </w: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2"/>
                <w:szCs w:val="12"/>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2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900" w:type="dxa"/>
            <w:vAlign w:val="bottom"/>
          </w:tcPr>
          <w:p>
            <w:pPr>
              <w:spacing w:after="0"/>
              <w:rPr>
                <w:sz w:val="6"/>
                <w:szCs w:val="6"/>
                <w:color w:val="auto"/>
              </w:rPr>
            </w:pPr>
          </w:p>
        </w:tc>
        <w:tc>
          <w:tcPr>
            <w:tcW w:w="4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20" w:type="dxa"/>
            <w:vAlign w:val="bottom"/>
            <w:gridSpan w:val="2"/>
            <w:vMerge w:val="continue"/>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2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ind w:left="20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gridSpan w:val="2"/>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260" w:type="dxa"/>
            <w:vAlign w:val="bottom"/>
            <w:tcBorders>
              <w:bottom w:val="single" w:sz="8" w:color="2C2C2C"/>
            </w:tcBorders>
            <w:gridSpan w:val="2"/>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gridSpan w:val="3"/>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0"/>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340" w:type="dxa"/>
            <w:vAlign w:val="bottom"/>
          </w:tcPr>
          <w:p>
            <w:pPr>
              <w:spacing w:after="0"/>
              <w:rPr>
                <w:sz w:val="15"/>
                <w:szCs w:val="15"/>
                <w:color w:val="auto"/>
              </w:rPr>
            </w:pPr>
          </w:p>
        </w:tc>
        <w:tc>
          <w:tcPr>
            <w:tcW w:w="1060" w:type="dxa"/>
            <w:vAlign w:val="bottom"/>
            <w:gridSpan w:val="3"/>
          </w:tcPr>
          <w:p>
            <w:pPr>
              <w:ind w:left="16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5"/>
          </w:tcPr>
          <w:p>
            <w:pPr>
              <w:ind w:left="220"/>
              <w:spacing w:after="0"/>
              <w:rPr>
                <w:sz w:val="20"/>
                <w:szCs w:val="20"/>
                <w:color w:val="auto"/>
              </w:rPr>
            </w:pPr>
            <w:r>
              <w:rPr>
                <w:rFonts w:ascii="Arial" w:cs="Arial" w:eastAsia="Arial" w:hAnsi="Arial"/>
                <w:sz w:val="12"/>
                <w:szCs w:val="12"/>
                <w:b w:val="1"/>
                <w:bCs w:val="1"/>
                <w:color w:val="auto"/>
              </w:rPr>
              <w:t>2A. Deemed</w:t>
            </w:r>
          </w:p>
        </w:tc>
        <w:tc>
          <w:tcPr>
            <w:tcW w:w="3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5"/>
                <w:szCs w:val="15"/>
                <w:color w:val="auto"/>
              </w:rPr>
            </w:pPr>
          </w:p>
        </w:tc>
        <w:tc>
          <w:tcPr>
            <w:tcW w:w="18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5"/>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40" w:type="dxa"/>
            <w:vAlign w:val="bottom"/>
            <w:gridSpan w:val="7"/>
          </w:tcPr>
          <w:p>
            <w:pPr>
              <w:ind w:left="16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500" w:type="dxa"/>
            <w:vAlign w:val="bottom"/>
          </w:tcPr>
          <w:p>
            <w:pPr>
              <w:spacing w:after="0"/>
              <w:rPr>
                <w:sz w:val="11"/>
                <w:szCs w:val="11"/>
                <w:color w:val="auto"/>
              </w:rPr>
            </w:pP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5"/>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90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90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50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60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10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50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02/10/2026</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520" w:type="dxa"/>
            <w:vAlign w:val="bottom"/>
          </w:tcPr>
          <w:p>
            <w:pPr>
              <w:spacing w:after="0"/>
              <w:rPr>
                <w:sz w:val="21"/>
                <w:szCs w:val="21"/>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161,422</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0.8161</w:t>
            </w:r>
            <w:r>
              <w:rPr>
                <w:rFonts w:ascii="Times New Roman" w:cs="Times New Roman" w:eastAsia="Times New Roman" w:hAnsi="Times New Roman"/>
                <w:sz w:val="22"/>
                <w:szCs w:val="22"/>
                <w:color w:val="008000"/>
                <w:vertAlign w:val="superscript"/>
              </w:rPr>
              <w:t>(1)</w:t>
            </w:r>
          </w:p>
        </w:tc>
        <w:tc>
          <w:tcPr>
            <w:tcW w:w="11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4,253,298</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0" w:type="dxa"/>
            <w:vAlign w:val="bottom"/>
            <w:gridSpan w:val="4"/>
            <w:vMerge w:val="continue"/>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02/10/2026</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520" w:type="dxa"/>
            <w:vAlign w:val="bottom"/>
          </w:tcPr>
          <w:p>
            <w:pPr>
              <w:spacing w:after="0"/>
              <w:rPr>
                <w:sz w:val="21"/>
                <w:szCs w:val="21"/>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182,295</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0.8161</w:t>
            </w:r>
            <w:r>
              <w:rPr>
                <w:rFonts w:ascii="Times New Roman" w:cs="Times New Roman" w:eastAsia="Times New Roman" w:hAnsi="Times New Roman"/>
                <w:sz w:val="22"/>
                <w:szCs w:val="22"/>
                <w:color w:val="008000"/>
                <w:vertAlign w:val="superscript"/>
              </w:rPr>
              <w:t>(1)</w:t>
            </w:r>
          </w:p>
        </w:tc>
        <w:tc>
          <w:tcPr>
            <w:tcW w:w="11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4,803,275</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0" w:type="dxa"/>
            <w:vAlign w:val="bottom"/>
            <w:gridSpan w:val="4"/>
            <w:vMerge w:val="continue"/>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02/11/2026</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520" w:type="dxa"/>
            <w:vAlign w:val="bottom"/>
          </w:tcPr>
          <w:p>
            <w:pPr>
              <w:spacing w:after="0"/>
              <w:rPr>
                <w:sz w:val="21"/>
                <w:szCs w:val="21"/>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1,905,115</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0.6808</w:t>
            </w:r>
            <w:r>
              <w:rPr>
                <w:rFonts w:ascii="Times New Roman" w:cs="Times New Roman" w:eastAsia="Times New Roman" w:hAnsi="Times New Roman"/>
                <w:sz w:val="22"/>
                <w:szCs w:val="22"/>
                <w:color w:val="008000"/>
                <w:vertAlign w:val="superscript"/>
              </w:rPr>
              <w:t>(4)</w:t>
            </w:r>
          </w:p>
        </w:tc>
        <w:tc>
          <w:tcPr>
            <w:tcW w:w="11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2,348,183</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0" w:type="dxa"/>
            <w:vAlign w:val="bottom"/>
            <w:gridSpan w:val="4"/>
            <w:vMerge w:val="continue"/>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02/11/2026</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520" w:type="dxa"/>
            <w:vAlign w:val="bottom"/>
          </w:tcPr>
          <w:p>
            <w:pPr>
              <w:spacing w:after="0"/>
              <w:rPr>
                <w:sz w:val="21"/>
                <w:szCs w:val="21"/>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2,151,458</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0.6808</w:t>
            </w:r>
            <w:r>
              <w:rPr>
                <w:rFonts w:ascii="Times New Roman" w:cs="Times New Roman" w:eastAsia="Times New Roman" w:hAnsi="Times New Roman"/>
                <w:sz w:val="22"/>
                <w:szCs w:val="22"/>
                <w:color w:val="008000"/>
                <w:vertAlign w:val="superscript"/>
              </w:rPr>
              <w:t>(4)</w:t>
            </w:r>
          </w:p>
        </w:tc>
        <w:tc>
          <w:tcPr>
            <w:tcW w:w="11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2,651,817</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0" w:type="dxa"/>
            <w:vAlign w:val="bottom"/>
            <w:gridSpan w:val="4"/>
            <w:vMerge w:val="continue"/>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49,313,559</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9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2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300" w:type="dxa"/>
            <w:vAlign w:val="bottom"/>
            <w:gridSpan w:val="16"/>
          </w:tcPr>
          <w:p>
            <w:pPr>
              <w:ind w:left="4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4"/>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9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2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6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tcPr>
          <w:p>
            <w:pPr>
              <w:ind w:left="32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40" w:type="dxa"/>
            <w:vAlign w:val="bottom"/>
            <w:tcBorders>
              <w:bottom w:val="single" w:sz="8" w:color="2C2C2C"/>
            </w:tcBorders>
            <w:gridSpan w:val="5"/>
          </w:tcPr>
          <w:p>
            <w:pPr>
              <w:spacing w:after="0"/>
              <w:rPr>
                <w:sz w:val="7"/>
                <w:szCs w:val="7"/>
                <w:color w:val="auto"/>
              </w:rPr>
            </w:pPr>
          </w:p>
        </w:tc>
        <w:tc>
          <w:tcPr>
            <w:tcW w:w="102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00" w:type="dxa"/>
            <w:vAlign w:val="bottom"/>
            <w:tcBorders>
              <w:top w:val="single" w:sz="8" w:color="2C2C2C"/>
            </w:tcBorders>
            <w:gridSpan w:val="9"/>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8"/>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COLUMN GROUP III GP, LP</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40" w:type="dxa"/>
            <w:vAlign w:val="bottom"/>
          </w:tcPr>
          <w:p>
            <w:pPr>
              <w:spacing w:after="0"/>
              <w:rPr>
                <w:sz w:val="24"/>
                <w:szCs w:val="24"/>
                <w:color w:val="auto"/>
              </w:rPr>
            </w:pPr>
          </w:p>
        </w:tc>
        <w:tc>
          <w:tcPr>
            <w:tcW w:w="1060" w:type="dxa"/>
            <w:vAlign w:val="bottom"/>
            <w:gridSpan w:val="3"/>
          </w:tcPr>
          <w:p>
            <w:pPr>
              <w:ind w:left="16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 LETTERMAN DR</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BLDG. D, STE. DM-900</w:t>
            </w:r>
          </w:p>
        </w:tc>
        <w:tc>
          <w:tcPr>
            <w:tcW w:w="3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3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7"/>
                <w:szCs w:val="17"/>
                <w:color w:val="0000FF"/>
              </w:rPr>
              <w:t>94129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20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gridSpan w:val="3"/>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40" w:type="dxa"/>
            <w:vAlign w:val="bottom"/>
          </w:tcPr>
          <w:p>
            <w:pPr>
              <w:spacing w:after="0"/>
              <w:rPr>
                <w:sz w:val="24"/>
                <w:szCs w:val="24"/>
                <w:color w:val="auto"/>
              </w:rPr>
            </w:pPr>
          </w:p>
        </w:tc>
        <w:tc>
          <w:tcPr>
            <w:tcW w:w="1060" w:type="dxa"/>
            <w:vAlign w:val="bottom"/>
            <w:gridSpan w:val="3"/>
          </w:tcPr>
          <w:p>
            <w:pPr>
              <w:ind w:left="16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-3669030</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51" w:lineRule="exact"/>
        <w:rPr>
          <w:sz w:val="24"/>
          <w:szCs w:val="24"/>
          <w:color w:val="auto"/>
        </w:rPr>
      </w:pPr>
    </w:p>
    <w:p>
      <w:pPr>
        <w:spacing w:after="0"/>
        <w:rPr>
          <w:sz w:val="20"/>
          <w:szCs w:val="20"/>
          <w:color w:val="auto"/>
        </w:rPr>
      </w:pPr>
      <w:r>
        <w:rPr>
          <w:sz w:val="1"/>
          <w:szCs w:val="1"/>
          <w:color w:val="auto"/>
        </w:rPr>
        <w:drawing>
          <wp:inline distT="0" distB="0" distL="0" distR="0">
            <wp:extent cx="33655" cy="1905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3655" cy="190500"/>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63" w:orient="portrait"/>
          <w:cols w:equalWidth="0" w:num="1">
            <w:col w:w="11080"/>
          </w:cols>
          <w:pgMar w:left="460" w:top="219"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COLUMN GROUP III,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-143510</wp:posOffset>
            </wp:positionV>
            <wp:extent cx="2809240" cy="105263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tcPr>
          <w:p>
            <w:pPr>
              <w:ind w:left="200"/>
              <w:spacing w:after="0"/>
              <w:rPr>
                <w:sz w:val="20"/>
                <w:szCs w:val="20"/>
                <w:color w:val="auto"/>
              </w:rPr>
            </w:pPr>
            <w:r>
              <w:rPr>
                <w:rFonts w:ascii="Arial" w:cs="Arial" w:eastAsia="Arial" w:hAnsi="Arial"/>
                <w:sz w:val="13"/>
                <w:szCs w:val="13"/>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BLDG. D, STE DM-900</w:t>
            </w: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3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36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tcPr>
          <w:p>
            <w:pPr>
              <w:ind w:left="200"/>
              <w:spacing w:after="0"/>
              <w:rPr>
                <w:sz w:val="20"/>
                <w:szCs w:val="20"/>
                <w:color w:val="auto"/>
              </w:rPr>
            </w:pPr>
            <w:r>
              <w:rPr>
                <w:rFonts w:ascii="Arial" w:cs="Arial" w:eastAsia="Arial" w:hAnsi="Arial"/>
                <w:sz w:val="13"/>
                <w:szCs w:val="13"/>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6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560" w:type="dxa"/>
            <w:vAlign w:val="bottom"/>
            <w:tcBorders>
              <w:bottom w:val="single" w:sz="8" w:color="0000EE"/>
            </w:tcBorders>
            <w:gridSpan w:val="2"/>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COLUMN GROUP III-A, LP</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tcPr>
          <w:p>
            <w:pPr>
              <w:ind w:left="200"/>
              <w:spacing w:after="0"/>
              <w:rPr>
                <w:sz w:val="20"/>
                <w:szCs w:val="20"/>
                <w:color w:val="auto"/>
              </w:rPr>
            </w:pPr>
            <w:r>
              <w:rPr>
                <w:rFonts w:ascii="Arial" w:cs="Arial" w:eastAsia="Arial" w:hAnsi="Arial"/>
                <w:sz w:val="13"/>
                <w:szCs w:val="13"/>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 LETTERMAN DR</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BLDG. D, STE, DM-900</w:t>
            </w: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3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36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tcPr>
          <w:p>
            <w:pPr>
              <w:ind w:left="200"/>
              <w:spacing w:after="0"/>
              <w:rPr>
                <w:sz w:val="20"/>
                <w:szCs w:val="20"/>
                <w:color w:val="auto"/>
              </w:rPr>
            </w:pPr>
            <w:r>
              <w:rPr>
                <w:rFonts w:ascii="Arial" w:cs="Arial" w:eastAsia="Arial" w:hAnsi="Arial"/>
                <w:sz w:val="13"/>
                <w:szCs w:val="13"/>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Column Group Opportunity III,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tcPr>
          <w:p>
            <w:pPr>
              <w:ind w:left="200"/>
              <w:spacing w:after="0"/>
              <w:rPr>
                <w:sz w:val="20"/>
                <w:szCs w:val="20"/>
                <w:color w:val="auto"/>
              </w:rPr>
            </w:pPr>
            <w:r>
              <w:rPr>
                <w:rFonts w:ascii="Arial" w:cs="Arial" w:eastAsia="Arial" w:hAnsi="Arial"/>
                <w:sz w:val="13"/>
                <w:szCs w:val="13"/>
                <w:color w:val="auto"/>
              </w:rPr>
              <w:t>(First)</w:t>
            </w:r>
          </w:p>
        </w:tc>
        <w:tc>
          <w:tcPr>
            <w:tcW w:w="1640" w:type="dxa"/>
            <w:vAlign w:val="bottom"/>
          </w:tcPr>
          <w:p>
            <w:pPr>
              <w:ind w:left="2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3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94129</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32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tcPr>
          <w:p>
            <w:pPr>
              <w:ind w:left="200"/>
              <w:spacing w:after="0"/>
              <w:rPr>
                <w:sz w:val="20"/>
                <w:szCs w:val="20"/>
                <w:color w:val="auto"/>
              </w:rPr>
            </w:pPr>
            <w:r>
              <w:rPr>
                <w:rFonts w:ascii="Arial" w:cs="Arial" w:eastAsia="Arial" w:hAnsi="Arial"/>
                <w:sz w:val="13"/>
                <w:szCs w:val="13"/>
                <w:color w:val="auto"/>
              </w:rPr>
              <w:t>(State)</w:t>
            </w:r>
          </w:p>
        </w:tc>
        <w:tc>
          <w:tcPr>
            <w:tcW w:w="1640" w:type="dxa"/>
            <w:vAlign w:val="bottom"/>
          </w:tcPr>
          <w:p>
            <w:pPr>
              <w:ind w:left="2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Column Group Opportunity III GP,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w:t>
            </w:r>
          </w:p>
        </w:tc>
        <w:tc>
          <w:tcPr>
            <w:tcW w:w="1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40" w:type="dxa"/>
            <w:vAlign w:val="bottom"/>
            <w:gridSpan w:val="2"/>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4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00" w:type="dxa"/>
            <w:vAlign w:val="bottom"/>
            <w:gridSpan w:val="4"/>
          </w:tcPr>
          <w:p>
            <w:pPr>
              <w:spacing w:after="0" w:line="227" w:lineRule="exact"/>
              <w:rPr>
                <w:rFonts w:ascii="Times New Roman" w:cs="Times New Roman" w:eastAsia="Times New Roman" w:hAnsi="Times New Roman"/>
                <w:sz w:val="21"/>
                <w:szCs w:val="21"/>
                <w:color w:val="0000EE"/>
              </w:rPr>
            </w:pPr>
            <w:hyperlink r:id="rId23">
              <w:r>
                <w:rPr>
                  <w:rFonts w:ascii="Times New Roman" w:cs="Times New Roman" w:eastAsia="Times New Roman" w:hAnsi="Times New Roman"/>
                  <w:sz w:val="21"/>
                  <w:szCs w:val="21"/>
                  <w:color w:val="0000EE"/>
                </w:rPr>
                <w:t>TCG Opportunity III GP, LLC</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w:t>
            </w:r>
          </w:p>
        </w:tc>
        <w:tc>
          <w:tcPr>
            <w:tcW w:w="1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40" w:type="dxa"/>
            <w:vAlign w:val="bottom"/>
            <w:gridSpan w:val="2"/>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4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1260" w:type="dxa"/>
            <w:vAlign w:val="bottom"/>
            <w:gridSpan w:val="2"/>
          </w:tcPr>
          <w:p>
            <w:pPr>
              <w:spacing w:after="0" w:line="227" w:lineRule="exact"/>
              <w:rPr>
                <w:rFonts w:ascii="Times New Roman" w:cs="Times New Roman" w:eastAsia="Times New Roman" w:hAnsi="Times New Roman"/>
                <w:sz w:val="21"/>
                <w:szCs w:val="21"/>
                <w:color w:val="0000EE"/>
              </w:rPr>
            </w:pPr>
            <w:hyperlink r:id="rId24">
              <w:r>
                <w:rPr>
                  <w:rFonts w:ascii="Times New Roman" w:cs="Times New Roman" w:eastAsia="Times New Roman" w:hAnsi="Times New Roman"/>
                  <w:sz w:val="21"/>
                  <w:szCs w:val="21"/>
                  <w:color w:val="0000EE"/>
                </w:rPr>
                <w:t>Kutzkey Tim</w:t>
              </w:r>
            </w:hyperlink>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 LETTERMAN DRIVE</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BUILDING D, SUITE DM-900</w:t>
      </w:r>
    </w:p>
    <w:p>
      <w:pPr>
        <w:sectPr>
          <w:pgSz w:w="11900" w:h="16838" w:orient="portrait"/>
          <w:cols w:equalWidth="0" w:num="1">
            <w:col w:w="9979"/>
          </w:cols>
          <w:pgMar w:left="480" w:top="125" w:right="1440"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6"/>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2"/>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2"/>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5">
              <w:r>
                <w:rPr>
                  <w:rFonts w:ascii="Times New Roman" w:cs="Times New Roman" w:eastAsia="Times New Roman" w:hAnsi="Times New Roman"/>
                  <w:sz w:val="21"/>
                  <w:szCs w:val="21"/>
                  <w:color w:val="0000EE"/>
                </w:rPr>
                <w:t>Svennilson Peter</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2"/>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-2615565</wp:posOffset>
            </wp:positionV>
            <wp:extent cx="2809240" cy="2694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2809240" cy="2694940"/>
                    </a:xfrm>
                    <a:prstGeom prst="rect">
                      <a:avLst/>
                    </a:prstGeom>
                    <a:noFill/>
                  </pic:spPr>
                </pic:pic>
              </a:graphicData>
            </a:graphic>
          </wp:anchor>
        </w:drawing>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20" w:right="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$0.80 to $0.84,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p>
      <w:pPr>
        <w:spacing w:after="0" w:line="20" w:lineRule="exact"/>
        <w:rPr>
          <w:rFonts w:ascii="Times New Roman" w:cs="Times New Roman" w:eastAsia="Times New Roman" w:hAnsi="Times New Roman"/>
          <w:sz w:val="13"/>
          <w:szCs w:val="13"/>
          <w:color w:val="008000"/>
        </w:rPr>
      </w:pPr>
    </w:p>
    <w:p>
      <w:pPr>
        <w:ind w:left="20" w:right="2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 LP ("TCG III LP"). TCG III GP is the general partner of TCG III LP and may be deemed to have voting, investment and dispositive power with respect to these securities. The managing partners of TCG III GP are Peter Svennilson and Tim Kutzkey (together, the "Managing Partners"). The Managing Partners may be deemed to share voting, investment and dispositive power with respect to such shares. TCG III GP and each of the Managing Partners disclaim beneficial ownership of these shares, except to the extent of their respective pecuniary interest in such shares.</w:t>
      </w:r>
    </w:p>
    <w:p>
      <w:pPr>
        <w:spacing w:after="0" w:line="24" w:lineRule="exact"/>
        <w:rPr>
          <w:rFonts w:ascii="Times New Roman" w:cs="Times New Roman" w:eastAsia="Times New Roman" w:hAnsi="Times New Roman"/>
          <w:sz w:val="13"/>
          <w:szCs w:val="13"/>
          <w:color w:val="008000"/>
        </w:rPr>
      </w:pPr>
    </w:p>
    <w:p>
      <w:pPr>
        <w:jc w:val="both"/>
        <w:ind w:left="20" w:right="1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III-A, LP ("TCG III-A LP"). TCG III GP is the general partner of TCG III-A LP and may be deemed to have voting, investment and dispositive power with respect to these securities. The managing partners of TCG III GP are the Managing Partners. The Managing Partners may be deemed to share voting, investment and dispositive power with respect to such shares. TCG III GP and each of the Managing Partners disclaim beneficial ownership of these shares, except to the extent of their respective pecuniary interest in such shares.</w:t>
      </w:r>
    </w:p>
    <w:p>
      <w:pPr>
        <w:spacing w:after="0" w:line="20" w:lineRule="exact"/>
        <w:rPr>
          <w:rFonts w:ascii="Times New Roman" w:cs="Times New Roman" w:eastAsia="Times New Roman" w:hAnsi="Times New Roman"/>
          <w:sz w:val="13"/>
          <w:szCs w:val="13"/>
          <w:color w:val="008000"/>
        </w:rPr>
      </w:pPr>
    </w:p>
    <w:p>
      <w:pPr>
        <w:jc w:val="both"/>
        <w:ind w:left="20" w:right="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$0.65 to $0.80,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p>
      <w:pPr>
        <w:spacing w:after="0" w:line="20" w:lineRule="exact"/>
        <w:rPr>
          <w:rFonts w:ascii="Times New Roman" w:cs="Times New Roman" w:eastAsia="Times New Roman" w:hAnsi="Times New Roman"/>
          <w:sz w:val="13"/>
          <w:szCs w:val="13"/>
          <w:color w:val="008000"/>
        </w:rPr>
      </w:pPr>
    </w:p>
    <w:p>
      <w:pPr>
        <w:ind w:left="2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TCG Opportunity III LP. The Column Group Opportunity III GP, LP ("TCG Opportunity III GP LP") is the general partner of TCG Opportunity III LP and may be deemed to have voting, investment and dispositive power with respect to these securities. TCG Opportunity III GP, LLC ("TCG Opportunity III GP LLC") is the general partner of TCG Opportunity III GP LP and the ultimate general partner of TCG Opportunity III LP and may be deemed to have voting, investment and dispositive power with respect to these securities. The managing members of TCG Opportunity III GP LLC are the Managing Partners. The Managing Partners may be deemed to share voting, investment and dispositive power with respect to such securities. TCG Opportunity III GP LP, TCG Opportunity III GP LLC and each of the Managing Partners disclaim beneficial ownership of these securities, except to the extent of their respective pecuniary interest in such securities.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20" w:right="620"/>
        <w:spacing w:after="0" w:line="272" w:lineRule="auto"/>
        <w:rPr>
          <w:sz w:val="20"/>
          <w:szCs w:val="20"/>
          <w:color w:val="auto"/>
        </w:rPr>
      </w:pPr>
      <w:r>
        <w:rPr>
          <w:rFonts w:ascii="Times New Roman" w:cs="Times New Roman" w:eastAsia="Times New Roman" w:hAnsi="Times New Roman"/>
          <w:sz w:val="13"/>
          <w:szCs w:val="13"/>
          <w:color w:val="008000"/>
        </w:rPr>
        <w:t>Peter Svennilson and Tim Kutzkey have been added to this Form 4 as Reporting Persons as a result of the retirement of a managing partner of TCG III GP LP and a managing member of TCG Opportunity GP LLC.</w:t>
      </w:r>
    </w:p>
    <w:p>
      <w:pPr>
        <w:sectPr>
          <w:pgSz w:w="11900" w:h="16838" w:orient="portrait"/>
          <w:cols w:equalWidth="0" w:num="1">
            <w:col w:w="10860"/>
          </w:cols>
          <w:pgMar w:left="480" w:top="125" w:right="559" w:bottom="393" w:gutter="0" w:footer="0" w:header="0"/>
        </w:sectPr>
      </w:pPr>
    </w:p>
    <w:p>
      <w:pPr>
        <w:spacing w:after="0" w:line="3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The Column Group 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379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/s/James Evangelista,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10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9410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39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The Column Group III,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195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The Column Group 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531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its general partner /s/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17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2217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Evangelista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79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27952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The Column Group III-A,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138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The Column Group III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1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 its general partner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66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0966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James Evangelista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49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17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877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3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0934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Column Group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80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2660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26606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877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3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0934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Column Group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80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337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43370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877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Attorney-in-Fact for TCG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423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Opportunity III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41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877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Attorney-in-Fact for Tim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17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11017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Kutzkey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877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Attorney-in-Fact for Peter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487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889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86" w:lineRule="exact"/>
        <w:rPr>
          <w:sz w:val="20"/>
          <w:szCs w:val="20"/>
          <w:color w:val="auto"/>
        </w:rPr>
      </w:pPr>
    </w:p>
    <w:p>
      <w:pPr>
        <w:sectPr>
          <w:pgSz w:w="11900" w:h="16838" w:orient="portrait"/>
          <w:cols w:equalWidth="0" w:num="2">
            <w:col w:w="8700" w:space="60"/>
            <w:col w:w="2100"/>
          </w:cols>
          <w:pgMar w:left="480" w:top="125" w:right="559" w:bottom="393"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4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480" w:top="125" w:right="559" w:bottom="39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9"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13" Type="http://schemas.openxmlformats.org/officeDocument/2006/relationships/hyperlink" Target="http://www.sec.gov/cgi-bin/browse-edgar?action=getcompany&amp;CIK=0001790965" TargetMode="External"/><Relationship Id="rId14" Type="http://schemas.openxmlformats.org/officeDocument/2006/relationships/hyperlink" Target="http://www.sec.gov/cgi-bin/browse-edgar?action=getcompany&amp;CIK=0001858848" TargetMode="External"/><Relationship Id="rId18" Type="http://schemas.openxmlformats.org/officeDocument/2006/relationships/hyperlink" Target="http://www.sec.gov/cgi-bin/browse-edgar?action=getcompany&amp;CIK=0001668159" TargetMode="External"/><Relationship Id="rId20" Type="http://schemas.openxmlformats.org/officeDocument/2006/relationships/hyperlink" Target="http://www.sec.gov/cgi-bin/browse-edgar?action=getcompany&amp;CIK=0001668085" TargetMode="External"/><Relationship Id="rId21" Type="http://schemas.openxmlformats.org/officeDocument/2006/relationships/hyperlink" Target="http://www.sec.gov/cgi-bin/browse-edgar?action=getcompany&amp;CIK=0001931825" TargetMode="External"/><Relationship Id="rId22" Type="http://schemas.openxmlformats.org/officeDocument/2006/relationships/hyperlink" Target="http://www.sec.gov/cgi-bin/browse-edgar?action=getcompany&amp;CIK=0001932874" TargetMode="External"/><Relationship Id="rId23" Type="http://schemas.openxmlformats.org/officeDocument/2006/relationships/hyperlink" Target="http://www.sec.gov/cgi-bin/browse-edgar?action=getcompany&amp;CIK=0001932445" TargetMode="External"/><Relationship Id="rId24" Type="http://schemas.openxmlformats.org/officeDocument/2006/relationships/hyperlink" Target="http://www.sec.gov/cgi-bin/browse-edgar?action=getcompany&amp;CIK=0001614186" TargetMode="External"/><Relationship Id="rId25" Type="http://schemas.openxmlformats.org/officeDocument/2006/relationships/hyperlink" Target="http://www.sec.gov/cgi-bin/browse-edgar?action=getcompany&amp;CIK=00016060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2026-02-12T16:26:03Z</dcterms:created>
  <dcterms:modified xsi:type="dcterms:W3CDTF">2026-02-12T16:26:03Z</dcterms:modified>
</cp:coreProperties>
</file>