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0"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March 10, 2023</w:t>
      </w:r>
    </w:p>
    <w:p>
      <w:pPr>
        <w:spacing w:after="0" w:line="50"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5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0720"/>
          </w:cols>
          <w:pgMar w:left="320" w:top="511" w:right="859" w:bottom="1440" w:gutter="0" w:footer="0" w:header="0"/>
        </w:sectPr>
      </w:pPr>
    </w:p>
    <w:p>
      <w:pPr>
        <w:spacing w:after="0" w:line="20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001-40656</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81-3789973</w:t>
      </w:r>
    </w:p>
    <w:p>
      <w:pPr>
        <w:spacing w:after="0" w:line="12" w:lineRule="exact"/>
        <w:rPr>
          <w:sz w:val="24"/>
          <w:szCs w:val="24"/>
          <w:color w:val="auto"/>
        </w:rPr>
      </w:pPr>
    </w:p>
    <w:p>
      <w:pPr>
        <w:sectPr>
          <w:pgSz w:w="11900" w:h="16838" w:orient="portrait"/>
          <w:cols w:equalWidth="0" w:num="3">
            <w:col w:w="4760" w:space="720"/>
            <w:col w:w="2580" w:space="720"/>
            <w:col w:w="1940"/>
          </w:cols>
          <w:pgMar w:left="320" w:top="511" w:right="859" w:bottom="1440" w:gutter="0" w:footer="0" w:header="0"/>
          <w:type w:val="continuous"/>
        </w:sect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20" w:space="720"/>
            <w:col w:w="2500" w:space="720"/>
            <w:col w:w="2060"/>
          </w:cols>
          <w:pgMar w:left="320" w:top="511" w:right="859" w:bottom="1440" w:gutter="0" w:footer="0" w:header="0"/>
          <w:type w:val="continuous"/>
        </w:sectPr>
      </w:pPr>
    </w:p>
    <w:p>
      <w:pPr>
        <w:spacing w:after="0" w:line="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171 Oyster Point Boulevard, Suite 500</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80"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(650) 825-6990</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10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0720"/>
          </w:cols>
          <w:pgMar w:left="320" w:top="511" w:right="859" w:bottom="1440" w:gutter="0" w:footer="0" w:header="0"/>
          <w:type w:val="continuous"/>
        </w:sectPr>
      </w:pPr>
    </w:p>
    <w:p>
      <w:pPr>
        <w:spacing w:after="0" w:line="84"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220" w:firstLine="17"/>
        <w:spacing w:after="0" w:line="379" w:lineRule="auto"/>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60" w:type="dxa"/>
        <w:tblCellMar>
          <w:top w:w="0" w:type="dxa"/>
          <w:left w:w="0" w:type="dxa"/>
          <w:bottom w:w="0" w:type="dxa"/>
          <w:right w:w="0" w:type="dxa"/>
        </w:tblCellMar>
      </w:tblPr>
      <w:tr>
        <w:trPr>
          <w:trHeight w:val="150"/>
        </w:trPr>
        <w:tc>
          <w:tcPr>
            <w:tcW w:w="4180" w:type="dxa"/>
            <w:vAlign w:val="bottom"/>
            <w:vMerge w:val="restart"/>
          </w:tcPr>
          <w:p>
            <w:pPr>
              <w:jc w:val="center"/>
              <w:ind w:right="69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60" w:type="dxa"/>
            <w:vAlign w:val="bottom"/>
          </w:tcPr>
          <w:p>
            <w:pPr>
              <w:jc w:val="center"/>
              <w:ind w:right="42"/>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480" w:type="dxa"/>
            <w:vAlign w:val="bottom"/>
          </w:tcPr>
          <w:p>
            <w:pPr>
              <w:jc w:val="center"/>
              <w:ind w:left="762"/>
              <w:spacing w:after="0" w:line="150" w:lineRule="exact"/>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51"/>
        </w:trPr>
        <w:tc>
          <w:tcPr>
            <w:tcW w:w="4180" w:type="dxa"/>
            <w:vAlign w:val="bottom"/>
            <w:vMerge w:val="continue"/>
          </w:tcPr>
          <w:p>
            <w:pPr>
              <w:spacing w:after="0"/>
              <w:rPr>
                <w:sz w:val="13"/>
                <w:szCs w:val="13"/>
                <w:color w:val="auto"/>
              </w:rPr>
            </w:pPr>
          </w:p>
        </w:tc>
        <w:tc>
          <w:tcPr>
            <w:tcW w:w="2260" w:type="dxa"/>
            <w:vAlign w:val="bottom"/>
          </w:tcPr>
          <w:p>
            <w:pPr>
              <w:jc w:val="center"/>
              <w:ind w:right="42"/>
              <w:spacing w:after="0" w:line="151" w:lineRule="exact"/>
              <w:rPr>
                <w:sz w:val="20"/>
                <w:szCs w:val="20"/>
                <w:color w:val="auto"/>
              </w:rPr>
            </w:pPr>
            <w:r>
              <w:rPr>
                <w:rFonts w:ascii="Times New Roman" w:cs="Times New Roman" w:eastAsia="Times New Roman" w:hAnsi="Times New Roman"/>
                <w:sz w:val="14"/>
                <w:szCs w:val="14"/>
                <w:b w:val="1"/>
                <w:bCs w:val="1"/>
                <w:color w:val="auto"/>
              </w:rPr>
              <w:t>Symbol(s)</w:t>
            </w:r>
          </w:p>
        </w:tc>
        <w:tc>
          <w:tcPr>
            <w:tcW w:w="3480" w:type="dxa"/>
            <w:vAlign w:val="bottom"/>
          </w:tcPr>
          <w:p>
            <w:pPr>
              <w:jc w:val="center"/>
              <w:ind w:left="762"/>
              <w:spacing w:after="0" w:line="151" w:lineRule="exact"/>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4180" w:type="dxa"/>
            <w:vAlign w:val="bottom"/>
          </w:tcPr>
          <w:p>
            <w:pPr>
              <w:jc w:val="center"/>
              <w:ind w:right="699"/>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26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7"/>
              </w:rPr>
              <w:t>TNYA</w:t>
            </w:r>
          </w:p>
        </w:tc>
        <w:tc>
          <w:tcPr>
            <w:tcW w:w="3480" w:type="dxa"/>
            <w:vAlign w:val="bottom"/>
          </w:tcPr>
          <w:p>
            <w:pPr>
              <w:jc w:val="center"/>
              <w:ind w:left="782"/>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9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511" w:right="859" w:bottom="1440" w:gutter="0" w:footer="0" w:header="0"/>
          <w:type w:val="continuous"/>
        </w:sectPr>
      </w:pPr>
    </w:p>
    <w:bookmarkStart w:id="1" w:name="page2"/>
    <w:bookmarkEnd w:id="1"/>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72"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Tenaya Therapeutics, Inc. (“Tenaya”) is aware of recent developments regarding Silicon Valley Bank (“SVB”). Tenaya maintains operating accounts at SVB with a minimal balance compared to Tenaya’s total cash, cash equivalents and investments in marketable securities, and therefore believes its exposure to loss as a result of SVB’s receivership to be immaterial.</w:t>
      </w:r>
    </w:p>
    <w:p>
      <w:pPr>
        <w:spacing w:after="0" w:line="176"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shall not be deemed to be “filed” for purposes of Section 18 of the Securities Exchange Act of 1934, as amended, and shall not be incorporated by reference in any filing under the Securities Act of 1933, as amended, or the Securities Exchange Act of 1934, as amended, except as shall be expressly set forth by specific reference in such a filing.</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statements regarding the Company’s exposure to loss as a result of SVB’s receivership. Actual results may differ from those set forth in or implied by this Current Report on Form 8-K due to the risks and uncertainties associated with such exposure, as well as risks and uncertainties inherent in the Company’s business, including those described in the Company’s other filings with the Securities Exchange Commission. You are cautioned not to place undue reliance on these forward-looking statements. Any forward-looking statements contained in this Current Report on Form 8-K speak only as of the date hereof, and the Company specifically disclaims any obligation to update any forward-looking statement,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40" w:lineRule="exact"/>
        <w:rPr>
          <w:sz w:val="20"/>
          <w:szCs w:val="20"/>
          <w:color w:val="auto"/>
        </w:rPr>
      </w:pPr>
    </w:p>
    <w:p>
      <w:pPr>
        <w:ind w:left="560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34290</wp:posOffset>
            </wp:positionV>
            <wp:extent cx="32575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4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Leone D. Patterson, M.B.A.</w:t>
      </w:r>
    </w:p>
    <w:p>
      <w:pPr>
        <w:spacing w:after="0" w:line="3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2023-03-13T05:27:42Z</dcterms:created>
  <dcterms:modified xsi:type="dcterms:W3CDTF">2023-03-13T05:27:42Z</dcterms:modified>
</cp:coreProperties>
</file>