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Tingley Whittemore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TENAYA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BLVD.,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Tenaya Therapeutics, Inc.</w:t>
              </w:r>
            </w:hyperlink>
            <w:r>
              <w:rPr/>
              <w:t xml:space="preserve"> [ </w:t>
            </w:r>
            <w:r>
              <w:rPr>
                <w:rFonts w:ascii="Times;serif" w:hAnsi="Times;serif"/>
                <w:color w:val="0000FF"/>
                <w:sz w:val="24"/>
                <w:shd w:fill="FFFFFF" w:val="clear"/>
              </w:rPr>
              <w:t>TNYA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937"/>
        <w:gridCol w:w="459"/>
        <w:gridCol w:w="622"/>
        <w:gridCol w:w="1204"/>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(2)</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263,073</w:t>
            </w:r>
            <w:r>
              <w:rPr>
                <w:rFonts w:ascii="Times;serif" w:hAnsi="Times;serif"/>
                <w:color w:val="008000"/>
                <w:position w:val="7"/>
                <w:sz w:val="16"/>
                <w:sz w:val="20"/>
                <w:shd w:fill="FFFFFF" w:val="clear"/>
              </w:rPr>
              <w:t>(3)</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0.6488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10/10/2026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Tenaya Therapeutics, Inc. common stock that will be issued to the Reporting Person upon vesting of restricted stock units. Each restricted stock unit is the economic equivalent of one share of Tenaya Therapeutics,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were granted to the Reporting Person on the Transaction Date pursuant to the Tenaya Therapeutics, Inc. Amended and Restated 2021 Equity Incentive Plan. The restricted stock units will vest as to 1/8th of the total number of shares subject to the restricted stock unit award on February 15, 2027, and 1/8th of the total number of shares subject to the restricted stock unit award every six months thereafter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142,076 shares of Tenaya Therapeutics, Inc. common stock that will be issued to the Reporting Person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 granted pursuant to the Tenaya Therapeutics, Inc. Amended and Restated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Drimmer Rokovich,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8494" TargetMode="External"/><Relationship Id="rId5" Type="http://schemas.openxmlformats.org/officeDocument/2006/relationships/hyperlink" Target="http://www.sec.gov/cgi-bin/browse-edgar?action=getcompany&amp;CIK=0001858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791</Words>
  <Characters>4268</Characters>
  <CharactersWithSpaces>4976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