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440" w:right="260"/>
        <w:spacing w:after="0" w:line="258" w:lineRule="auto"/>
        <w:rPr>
          <w:sz w:val="20"/>
          <w:szCs w:val="20"/>
          <w:color w:val="auto"/>
        </w:rPr>
      </w:pPr>
      <w:r>
        <w:rPr>
          <w:rFonts w:ascii="Arial" w:cs="Arial" w:eastAsia="Arial" w:hAnsi="Arial"/>
          <w:sz w:val="14"/>
          <w:szCs w:val="14"/>
          <w:b w:val="1"/>
          <w:bCs w:val="1"/>
          <w:color w:val="auto"/>
        </w:rPr>
        <w:t>As confidentially submitted to the Securities and Exchange Commission on May 7, 2021 This draft registration statement has not been publicly filed with the Securities and Exchange Commission and all information herein remains strictly confidential.</w:t>
      </w:r>
    </w:p>
    <w:p>
      <w:pPr>
        <w:spacing w:after="0" w:line="59"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1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TENAYA THERAPEUTICS,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74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Delaware</w:t>
            </w:r>
          </w:p>
        </w:tc>
        <w:tc>
          <w:tcPr>
            <w:tcW w:w="38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2836</w:t>
            </w:r>
          </w:p>
        </w:tc>
        <w:tc>
          <w:tcPr>
            <w:tcW w:w="242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81-3789973</w:t>
            </w:r>
          </w:p>
        </w:tc>
      </w:tr>
      <w:tr>
        <w:trPr>
          <w:trHeight w:val="148"/>
        </w:trPr>
        <w:tc>
          <w:tcPr>
            <w:tcW w:w="2740" w:type="dxa"/>
            <w:vAlign w:val="bottom"/>
          </w:tcPr>
          <w:p>
            <w:pPr>
              <w:jc w:val="center"/>
              <w:ind w:right="948"/>
              <w:spacing w:after="0" w:line="149" w:lineRule="exact"/>
              <w:rPr>
                <w:sz w:val="20"/>
                <w:szCs w:val="20"/>
                <w:color w:val="auto"/>
              </w:rPr>
            </w:pPr>
            <w:r>
              <w:rPr>
                <w:rFonts w:ascii="Arial" w:cs="Arial" w:eastAsia="Arial" w:hAnsi="Arial"/>
                <w:sz w:val="14"/>
                <w:szCs w:val="14"/>
                <w:color w:val="auto"/>
                <w:w w:val="95"/>
              </w:rPr>
              <w:t>(State or other jurisdiction of</w:t>
            </w:r>
          </w:p>
        </w:tc>
        <w:tc>
          <w:tcPr>
            <w:tcW w:w="38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4"/>
              </w:rPr>
              <w:t>(Primary Standard Industrial</w:t>
            </w:r>
          </w:p>
        </w:tc>
        <w:tc>
          <w:tcPr>
            <w:tcW w:w="2420" w:type="dxa"/>
            <w:vAlign w:val="bottom"/>
          </w:tcPr>
          <w:p>
            <w:pPr>
              <w:jc w:val="center"/>
              <w:ind w:left="100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740" w:type="dxa"/>
            <w:vAlign w:val="bottom"/>
          </w:tcPr>
          <w:p>
            <w:pPr>
              <w:jc w:val="center"/>
              <w:ind w:right="948"/>
              <w:spacing w:after="0"/>
              <w:rPr>
                <w:sz w:val="20"/>
                <w:szCs w:val="20"/>
                <w:color w:val="auto"/>
              </w:rPr>
            </w:pPr>
            <w:r>
              <w:rPr>
                <w:rFonts w:ascii="Arial" w:cs="Arial" w:eastAsia="Arial" w:hAnsi="Arial"/>
                <w:sz w:val="14"/>
                <w:szCs w:val="14"/>
                <w:color w:val="auto"/>
                <w:w w:val="94"/>
              </w:rPr>
              <w:t>incorporation or organization)</w:t>
            </w:r>
          </w:p>
        </w:tc>
        <w:tc>
          <w:tcPr>
            <w:tcW w:w="3800" w:type="dxa"/>
            <w:vAlign w:val="bottom"/>
          </w:tcPr>
          <w:p>
            <w:pPr>
              <w:jc w:val="center"/>
              <w:ind w:right="8"/>
              <w:spacing w:after="0"/>
              <w:rPr>
                <w:sz w:val="20"/>
                <w:szCs w:val="20"/>
                <w:color w:val="auto"/>
              </w:rPr>
            </w:pPr>
            <w:r>
              <w:rPr>
                <w:rFonts w:ascii="Arial" w:cs="Arial" w:eastAsia="Arial" w:hAnsi="Arial"/>
                <w:sz w:val="14"/>
                <w:szCs w:val="14"/>
                <w:color w:val="auto"/>
                <w:w w:val="94"/>
              </w:rPr>
              <w:t>Classification Code Number)</w:t>
            </w:r>
          </w:p>
        </w:tc>
        <w:tc>
          <w:tcPr>
            <w:tcW w:w="2420" w:type="dxa"/>
            <w:vAlign w:val="bottom"/>
          </w:tcPr>
          <w:p>
            <w:pPr>
              <w:jc w:val="center"/>
              <w:ind w:left="1008"/>
              <w:spacing w:after="0"/>
              <w:rPr>
                <w:sz w:val="20"/>
                <w:szCs w:val="20"/>
                <w:color w:val="auto"/>
              </w:rPr>
            </w:pPr>
            <w:r>
              <w:rPr>
                <w:rFonts w:ascii="Arial" w:cs="Arial" w:eastAsia="Arial" w:hAnsi="Arial"/>
                <w:sz w:val="14"/>
                <w:szCs w:val="14"/>
                <w:color w:val="auto"/>
                <w:w w:val="97"/>
              </w:rPr>
              <w:t>Identification Number)</w:t>
            </w:r>
          </w:p>
        </w:tc>
      </w:tr>
    </w:tbl>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171 Oyster Point Boulevard, 5th Floor</w:t>
      </w:r>
    </w:p>
    <w:p>
      <w:pPr>
        <w:jc w:val="center"/>
        <w:ind w:right="-99"/>
        <w:spacing w:after="0" w:line="226" w:lineRule="auto"/>
        <w:rPr>
          <w:sz w:val="20"/>
          <w:szCs w:val="20"/>
          <w:color w:val="auto"/>
        </w:rPr>
      </w:pPr>
      <w:r>
        <w:rPr>
          <w:rFonts w:ascii="Arial" w:cs="Arial" w:eastAsia="Arial" w:hAnsi="Arial"/>
          <w:sz w:val="14"/>
          <w:szCs w:val="14"/>
          <w:b w:val="1"/>
          <w:bCs w:val="1"/>
          <w:color w:val="auto"/>
        </w:rPr>
        <w:t>South San Francisco, CA 94080</w:t>
      </w:r>
    </w:p>
    <w:p>
      <w:pPr>
        <w:jc w:val="center"/>
        <w:ind w:right="-99"/>
        <w:spacing w:after="0" w:line="221" w:lineRule="auto"/>
        <w:rPr>
          <w:sz w:val="20"/>
          <w:szCs w:val="20"/>
          <w:color w:val="auto"/>
        </w:rPr>
      </w:pPr>
      <w:r>
        <w:rPr>
          <w:rFonts w:ascii="Arial" w:cs="Arial" w:eastAsia="Arial" w:hAnsi="Arial"/>
          <w:sz w:val="14"/>
          <w:szCs w:val="14"/>
          <w:b w:val="1"/>
          <w:bCs w:val="1"/>
          <w:color w:val="auto"/>
        </w:rPr>
        <w:t>(650) 825-6990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Faraz Ali</w:t>
      </w:r>
    </w:p>
    <w:p>
      <w:pPr>
        <w:jc w:val="center"/>
        <w:ind w:right="-9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Tenaya Therapeutics, Inc.</w:t>
      </w:r>
    </w:p>
    <w:p>
      <w:pPr>
        <w:jc w:val="center"/>
        <w:ind w:right="-99"/>
        <w:spacing w:after="0" w:line="222" w:lineRule="auto"/>
        <w:rPr>
          <w:sz w:val="20"/>
          <w:szCs w:val="20"/>
          <w:color w:val="auto"/>
        </w:rPr>
      </w:pPr>
      <w:r>
        <w:rPr>
          <w:rFonts w:ascii="Arial" w:cs="Arial" w:eastAsia="Arial" w:hAnsi="Arial"/>
          <w:sz w:val="14"/>
          <w:szCs w:val="14"/>
          <w:b w:val="1"/>
          <w:bCs w:val="1"/>
          <w:color w:val="auto"/>
        </w:rPr>
        <w:t>171 Oyster Point Boulevard, 5th Floor</w:t>
      </w:r>
    </w:p>
    <w:p>
      <w:pPr>
        <w:jc w:val="center"/>
        <w:ind w:right="-99"/>
        <w:spacing w:after="0" w:line="221" w:lineRule="auto"/>
        <w:rPr>
          <w:sz w:val="20"/>
          <w:szCs w:val="20"/>
          <w:color w:val="auto"/>
        </w:rPr>
      </w:pPr>
      <w:r>
        <w:rPr>
          <w:rFonts w:ascii="Arial" w:cs="Arial" w:eastAsia="Arial" w:hAnsi="Arial"/>
          <w:sz w:val="14"/>
          <w:szCs w:val="14"/>
          <w:b w:val="1"/>
          <w:bCs w:val="1"/>
          <w:color w:val="auto"/>
        </w:rPr>
        <w:t>South San Francisco, CA 94080</w:t>
      </w:r>
    </w:p>
    <w:p>
      <w:pPr>
        <w:jc w:val="center"/>
        <w:ind w:right="-99"/>
        <w:spacing w:after="0" w:line="222" w:lineRule="auto"/>
        <w:rPr>
          <w:sz w:val="20"/>
          <w:szCs w:val="20"/>
          <w:color w:val="auto"/>
        </w:rPr>
      </w:pPr>
      <w:r>
        <w:rPr>
          <w:rFonts w:ascii="Arial" w:cs="Arial" w:eastAsia="Arial" w:hAnsi="Arial"/>
          <w:sz w:val="14"/>
          <w:szCs w:val="14"/>
          <w:b w:val="1"/>
          <w:bCs w:val="1"/>
          <w:color w:val="auto"/>
        </w:rPr>
        <w:t>(650) 825-6990</w:t>
      </w:r>
    </w:p>
    <w:p>
      <w:pPr>
        <w:jc w:val="center"/>
        <w:ind w:right="-9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84" w:lineRule="exact"/>
        <w:rPr>
          <w:sz w:val="24"/>
          <w:szCs w:val="24"/>
          <w:color w:val="auto"/>
        </w:rPr>
      </w:pPr>
    </w:p>
    <w:tbl>
      <w:tblPr>
        <w:tblLayout w:type="fixed"/>
        <w:tblInd w:w="1880" w:type="dxa"/>
        <w:tblCellMar>
          <w:top w:w="0" w:type="dxa"/>
          <w:left w:w="0" w:type="dxa"/>
          <w:bottom w:w="0" w:type="dxa"/>
          <w:right w:w="0" w:type="dxa"/>
        </w:tblCellMar>
      </w:tblPr>
      <w:tr>
        <w:trPr>
          <w:trHeight w:val="182"/>
        </w:trPr>
        <w:tc>
          <w:tcPr>
            <w:tcW w:w="2720" w:type="dxa"/>
            <w:vAlign w:val="bottom"/>
          </w:tcPr>
          <w:p>
            <w:pPr>
              <w:spacing w:after="0"/>
              <w:rPr>
                <w:sz w:val="15"/>
                <w:szCs w:val="15"/>
                <w:color w:val="auto"/>
              </w:rPr>
            </w:pPr>
          </w:p>
        </w:tc>
        <w:tc>
          <w:tcPr>
            <w:tcW w:w="4680" w:type="dxa"/>
            <w:vAlign w:val="bottom"/>
          </w:tcPr>
          <w:p>
            <w:pPr>
              <w:ind w:left="720"/>
              <w:spacing w:after="0"/>
              <w:rPr>
                <w:sz w:val="20"/>
                <w:szCs w:val="20"/>
                <w:color w:val="auto"/>
              </w:rPr>
            </w:pPr>
            <w:r>
              <w:rPr>
                <w:rFonts w:ascii="Arial" w:cs="Arial" w:eastAsia="Arial" w:hAnsi="Arial"/>
                <w:sz w:val="14"/>
                <w:szCs w:val="14"/>
                <w:i w:val="1"/>
                <w:iCs w:val="1"/>
                <w:color w:val="auto"/>
              </w:rPr>
              <w:t>Copies to:</w:t>
            </w:r>
          </w:p>
        </w:tc>
      </w:tr>
      <w:tr>
        <w:trPr>
          <w:trHeight w:val="236"/>
        </w:trPr>
        <w:tc>
          <w:tcPr>
            <w:tcW w:w="2720" w:type="dxa"/>
            <w:vAlign w:val="bottom"/>
          </w:tcPr>
          <w:p>
            <w:pPr>
              <w:jc w:val="center"/>
              <w:ind w:right="668"/>
              <w:spacing w:after="0"/>
              <w:rPr>
                <w:sz w:val="20"/>
                <w:szCs w:val="20"/>
                <w:color w:val="auto"/>
              </w:rPr>
            </w:pPr>
            <w:r>
              <w:rPr>
                <w:rFonts w:ascii="Arial" w:cs="Arial" w:eastAsia="Arial" w:hAnsi="Arial"/>
                <w:sz w:val="14"/>
                <w:szCs w:val="14"/>
                <w:color w:val="auto"/>
                <w:w w:val="96"/>
              </w:rPr>
              <w:t>Kenneth A. Clark</w:t>
            </w:r>
          </w:p>
        </w:tc>
        <w:tc>
          <w:tcPr>
            <w:tcW w:w="4680" w:type="dxa"/>
            <w:vAlign w:val="bottom"/>
          </w:tcPr>
          <w:p>
            <w:pPr>
              <w:jc w:val="center"/>
              <w:ind w:left="2928"/>
              <w:spacing w:after="0"/>
              <w:rPr>
                <w:sz w:val="20"/>
                <w:szCs w:val="20"/>
                <w:color w:val="auto"/>
              </w:rPr>
            </w:pPr>
            <w:r>
              <w:rPr>
                <w:rFonts w:ascii="Arial" w:cs="Arial" w:eastAsia="Arial" w:hAnsi="Arial"/>
                <w:sz w:val="14"/>
                <w:szCs w:val="14"/>
                <w:color w:val="auto"/>
                <w:w w:val="91"/>
              </w:rPr>
              <w:t>Alan F. Denenberg</w:t>
            </w:r>
          </w:p>
        </w:tc>
      </w:tr>
      <w:tr>
        <w:trPr>
          <w:trHeight w:val="148"/>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3"/>
              </w:rPr>
              <w:t>Jennifer Knapp</w:t>
            </w:r>
          </w:p>
        </w:tc>
        <w:tc>
          <w:tcPr>
            <w:tcW w:w="4680" w:type="dxa"/>
            <w:vAlign w:val="bottom"/>
          </w:tcPr>
          <w:p>
            <w:pPr>
              <w:jc w:val="center"/>
              <w:ind w:left="2908"/>
              <w:spacing w:after="0" w:line="149" w:lineRule="exact"/>
              <w:rPr>
                <w:sz w:val="20"/>
                <w:szCs w:val="20"/>
                <w:color w:val="auto"/>
              </w:rPr>
            </w:pPr>
            <w:r>
              <w:rPr>
                <w:rFonts w:ascii="Arial" w:cs="Arial" w:eastAsia="Arial" w:hAnsi="Arial"/>
                <w:sz w:val="14"/>
                <w:szCs w:val="14"/>
                <w:color w:val="auto"/>
                <w:w w:val="90"/>
              </w:rPr>
              <w:t>Stephen Salmon</w:t>
            </w:r>
          </w:p>
        </w:tc>
      </w:tr>
      <w:tr>
        <w:trPr>
          <w:trHeight w:val="149"/>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3"/>
              </w:rPr>
              <w:t>Jennifer Fang</w:t>
            </w:r>
          </w:p>
        </w:tc>
        <w:tc>
          <w:tcPr>
            <w:tcW w:w="4680" w:type="dxa"/>
            <w:vAlign w:val="bottom"/>
          </w:tcPr>
          <w:p>
            <w:pPr>
              <w:jc w:val="center"/>
              <w:ind w:left="2928"/>
              <w:spacing w:after="0" w:line="149" w:lineRule="exact"/>
              <w:rPr>
                <w:sz w:val="20"/>
                <w:szCs w:val="20"/>
                <w:color w:val="auto"/>
              </w:rPr>
            </w:pPr>
            <w:r>
              <w:rPr>
                <w:rFonts w:ascii="Arial" w:cs="Arial" w:eastAsia="Arial" w:hAnsi="Arial"/>
                <w:sz w:val="14"/>
                <w:szCs w:val="14"/>
                <w:color w:val="auto"/>
                <w:w w:val="99"/>
              </w:rPr>
              <w:t>Davis Polk &amp; Wardwell LLP</w:t>
            </w:r>
          </w:p>
        </w:tc>
      </w:tr>
      <w:tr>
        <w:trPr>
          <w:trHeight w:val="148"/>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5"/>
              </w:rPr>
              <w:t>Wilson Sonsini Goodrich &amp; Rosati</w:t>
            </w:r>
          </w:p>
        </w:tc>
        <w:tc>
          <w:tcPr>
            <w:tcW w:w="4680" w:type="dxa"/>
            <w:vAlign w:val="bottom"/>
          </w:tcPr>
          <w:p>
            <w:pPr>
              <w:jc w:val="center"/>
              <w:ind w:left="2928"/>
              <w:spacing w:after="0" w:line="149" w:lineRule="exact"/>
              <w:rPr>
                <w:sz w:val="20"/>
                <w:szCs w:val="20"/>
                <w:color w:val="auto"/>
              </w:rPr>
            </w:pPr>
            <w:r>
              <w:rPr>
                <w:rFonts w:ascii="Arial" w:cs="Arial" w:eastAsia="Arial" w:hAnsi="Arial"/>
                <w:sz w:val="14"/>
                <w:szCs w:val="14"/>
                <w:color w:val="auto"/>
                <w:w w:val="93"/>
              </w:rPr>
              <w:t>1600 El Camino Real</w:t>
            </w:r>
          </w:p>
        </w:tc>
      </w:tr>
      <w:tr>
        <w:trPr>
          <w:trHeight w:val="149"/>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3"/>
              </w:rPr>
              <w:t>Professional Corporation</w:t>
            </w:r>
          </w:p>
        </w:tc>
        <w:tc>
          <w:tcPr>
            <w:tcW w:w="4680" w:type="dxa"/>
            <w:vAlign w:val="bottom"/>
          </w:tcPr>
          <w:p>
            <w:pPr>
              <w:jc w:val="center"/>
              <w:ind w:left="2928"/>
              <w:spacing w:after="0" w:line="149" w:lineRule="exact"/>
              <w:rPr>
                <w:sz w:val="20"/>
                <w:szCs w:val="20"/>
                <w:color w:val="auto"/>
              </w:rPr>
            </w:pPr>
            <w:r>
              <w:rPr>
                <w:rFonts w:ascii="Arial" w:cs="Arial" w:eastAsia="Arial" w:hAnsi="Arial"/>
                <w:sz w:val="14"/>
                <w:szCs w:val="14"/>
                <w:color w:val="auto"/>
                <w:w w:val="96"/>
              </w:rPr>
              <w:t>Menlo Park, CA 94025</w:t>
            </w:r>
          </w:p>
        </w:tc>
      </w:tr>
      <w:tr>
        <w:trPr>
          <w:trHeight w:val="148"/>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4"/>
              </w:rPr>
              <w:t>650 Page Mill Road</w:t>
            </w:r>
          </w:p>
        </w:tc>
        <w:tc>
          <w:tcPr>
            <w:tcW w:w="4680" w:type="dxa"/>
            <w:vAlign w:val="bottom"/>
          </w:tcPr>
          <w:p>
            <w:pPr>
              <w:jc w:val="center"/>
              <w:ind w:left="2908"/>
              <w:spacing w:after="0" w:line="149" w:lineRule="exact"/>
              <w:rPr>
                <w:sz w:val="20"/>
                <w:szCs w:val="20"/>
                <w:color w:val="auto"/>
              </w:rPr>
            </w:pPr>
            <w:r>
              <w:rPr>
                <w:rFonts w:ascii="Arial" w:cs="Arial" w:eastAsia="Arial" w:hAnsi="Arial"/>
                <w:sz w:val="14"/>
                <w:szCs w:val="14"/>
                <w:color w:val="auto"/>
                <w:w w:val="93"/>
              </w:rPr>
              <w:t>(650) 752-2000</w:t>
            </w:r>
          </w:p>
        </w:tc>
      </w:tr>
      <w:tr>
        <w:trPr>
          <w:trHeight w:val="148"/>
        </w:trPr>
        <w:tc>
          <w:tcPr>
            <w:tcW w:w="2720" w:type="dxa"/>
            <w:vAlign w:val="bottom"/>
          </w:tcPr>
          <w:p>
            <w:pPr>
              <w:jc w:val="center"/>
              <w:ind w:right="668"/>
              <w:spacing w:after="0" w:line="149" w:lineRule="exact"/>
              <w:rPr>
                <w:sz w:val="20"/>
                <w:szCs w:val="20"/>
                <w:color w:val="auto"/>
              </w:rPr>
            </w:pPr>
            <w:r>
              <w:rPr>
                <w:rFonts w:ascii="Arial" w:cs="Arial" w:eastAsia="Arial" w:hAnsi="Arial"/>
                <w:sz w:val="14"/>
                <w:szCs w:val="14"/>
                <w:color w:val="auto"/>
                <w:w w:val="96"/>
              </w:rPr>
              <w:t>Palo Alto, CA 94304</w:t>
            </w:r>
          </w:p>
        </w:tc>
        <w:tc>
          <w:tcPr>
            <w:tcW w:w="4680" w:type="dxa"/>
            <w:vAlign w:val="bottom"/>
          </w:tcPr>
          <w:p>
            <w:pPr>
              <w:spacing w:after="0"/>
              <w:rPr>
                <w:sz w:val="12"/>
                <w:szCs w:val="12"/>
                <w:color w:val="auto"/>
              </w:rPr>
            </w:pPr>
          </w:p>
        </w:tc>
      </w:tr>
      <w:tr>
        <w:trPr>
          <w:trHeight w:val="182"/>
        </w:trPr>
        <w:tc>
          <w:tcPr>
            <w:tcW w:w="2720" w:type="dxa"/>
            <w:vAlign w:val="bottom"/>
          </w:tcPr>
          <w:p>
            <w:pPr>
              <w:jc w:val="center"/>
              <w:ind w:right="668"/>
              <w:spacing w:after="0"/>
              <w:rPr>
                <w:sz w:val="20"/>
                <w:szCs w:val="20"/>
                <w:color w:val="auto"/>
              </w:rPr>
            </w:pPr>
            <w:r>
              <w:rPr>
                <w:rFonts w:ascii="Arial" w:cs="Arial" w:eastAsia="Arial" w:hAnsi="Arial"/>
                <w:sz w:val="14"/>
                <w:szCs w:val="14"/>
                <w:color w:val="auto"/>
                <w:w w:val="93"/>
              </w:rPr>
              <w:t>(650) 493-9300</w:t>
            </w:r>
          </w:p>
        </w:tc>
        <w:tc>
          <w:tcPr>
            <w:tcW w:w="4680" w:type="dxa"/>
            <w:vAlign w:val="bottom"/>
          </w:tcPr>
          <w:p>
            <w:pPr>
              <w:spacing w:after="0"/>
              <w:rPr>
                <w:sz w:val="15"/>
                <w:szCs w:val="15"/>
                <w:color w:val="auto"/>
              </w:rPr>
            </w:pPr>
          </w:p>
        </w:tc>
      </w:tr>
    </w:tbl>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As soon as practicable after the effective date of this Registration Statement.</w:t>
      </w:r>
    </w:p>
    <w:p>
      <w:pPr>
        <w:spacing w:after="0" w:line="84" w:lineRule="exact"/>
        <w:rPr>
          <w:sz w:val="24"/>
          <w:szCs w:val="24"/>
          <w:color w:val="auto"/>
        </w:rPr>
      </w:pPr>
    </w:p>
    <w:p>
      <w:pPr>
        <w:ind w:left="120" w:right="36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6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6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0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3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3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5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40" w:type="dxa"/>
            <w:vAlign w:val="bottom"/>
          </w:tcPr>
          <w:p>
            <w:pPr>
              <w:ind w:left="33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112"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9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7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300" w:type="dxa"/>
            <w:vAlign w:val="bottom"/>
            <w:tcBorders>
              <w:right w:val="single" w:sz="8" w:color="auto"/>
            </w:tcBorders>
            <w:vMerge w:val="continue"/>
          </w:tcPr>
          <w:p>
            <w:pPr>
              <w:spacing w:after="0"/>
              <w:rPr>
                <w:sz w:val="12"/>
                <w:szCs w:val="12"/>
                <w:color w:val="auto"/>
              </w:rPr>
            </w:pPr>
          </w:p>
        </w:tc>
        <w:tc>
          <w:tcPr>
            <w:tcW w:w="198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98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Offering Price(1)(2)</w:t>
            </w:r>
          </w:p>
        </w:tc>
        <w:tc>
          <w:tcPr>
            <w:tcW w:w="17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980" w:type="dxa"/>
            <w:vAlign w:val="bottom"/>
            <w:tcBorders>
              <w:bottom w:val="single" w:sz="8" w:color="auto"/>
              <w:right w:val="single" w:sz="8" w:color="auto"/>
            </w:tcBorders>
          </w:tcPr>
          <w:p>
            <w:pPr>
              <w:jc w:val="right"/>
              <w:ind w:right="1071"/>
              <w:spacing w:after="0" w:line="142"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if any.</w:t>
      </w:r>
    </w:p>
    <w:p>
      <w:pPr>
        <w:spacing w:after="0" w:line="80" w:lineRule="exact"/>
        <w:rPr>
          <w:sz w:val="24"/>
          <w:szCs w:val="24"/>
          <w:color w:val="auto"/>
        </w:rPr>
      </w:pPr>
    </w:p>
    <w:p>
      <w:pPr>
        <w:ind w:left="120" w:right="8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6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PROSPECTUS (Subject to Completion)</w:t>
      </w:r>
    </w:p>
    <w:p>
      <w:pPr>
        <w:spacing w:after="0" w:line="8"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22"/>
          <w:szCs w:val="22"/>
          <w:i w:val="1"/>
          <w:iCs w:val="1"/>
          <w:color w:val="DE1A1E"/>
        </w:rPr>
        <w:t>Issued</w:t>
      </w:r>
      <w:r>
        <w:rPr>
          <w:sz w:val="20"/>
          <w:szCs w:val="20"/>
          <w:color w:val="auto"/>
        </w:rPr>
        <w:tab/>
      </w:r>
      <w:r>
        <w:rPr>
          <w:rFonts w:ascii="Arial" w:cs="Arial" w:eastAsia="Arial" w:hAnsi="Arial"/>
          <w:sz w:val="22"/>
          <w:szCs w:val="22"/>
          <w:i w:val="1"/>
          <w:iCs w:val="1"/>
          <w:color w:val="DE1A1E"/>
        </w:rPr>
        <w:t>, 2021</w:t>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i w:val="1"/>
                <w:iCs w:val="1"/>
                <w:color w:val="auto"/>
                <w:w w:val="96"/>
              </w:rPr>
              <w:t>Tenaya Therapeutics, Inc. is offering</w:t>
            </w:r>
          </w:p>
        </w:tc>
        <w:tc>
          <w:tcPr>
            <w:tcW w:w="7760" w:type="dxa"/>
            <w:vAlign w:val="bottom"/>
            <w:gridSpan w:val="5"/>
          </w:tcPr>
          <w:p>
            <w:pPr>
              <w:ind w:left="320"/>
              <w:spacing w:after="0"/>
              <w:rPr>
                <w:sz w:val="20"/>
                <w:szCs w:val="20"/>
                <w:color w:val="auto"/>
              </w:rPr>
            </w:pPr>
            <w:r>
              <w:rPr>
                <w:rFonts w:ascii="Arial" w:cs="Arial" w:eastAsia="Arial" w:hAnsi="Arial"/>
                <w:sz w:val="18"/>
                <w:szCs w:val="18"/>
                <w:b w:val="1"/>
                <w:bCs w:val="1"/>
                <w:i w:val="1"/>
                <w:iCs w:val="1"/>
                <w:color w:val="auto"/>
                <w:w w:val="86"/>
              </w:rPr>
              <w:t>shares of our common stock. This is the initial public offering, and no public market currently exists</w:t>
            </w:r>
          </w:p>
        </w:tc>
      </w:tr>
      <w:tr>
        <w:trPr>
          <w:trHeight w:val="230"/>
        </w:trPr>
        <w:tc>
          <w:tcPr>
            <w:tcW w:w="760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8"/>
              </w:rPr>
              <w:t>for our shares of common stock. We anticipate that the initial public offering price will be between $</w:t>
            </w:r>
          </w:p>
        </w:tc>
        <w:tc>
          <w:tcPr>
            <w:tcW w:w="8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and $</w:t>
            </w:r>
          </w:p>
        </w:tc>
        <w:tc>
          <w:tcPr>
            <w:tcW w:w="23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per share.</w:t>
            </w:r>
          </w:p>
        </w:tc>
      </w:tr>
      <w:tr>
        <w:trPr>
          <w:trHeight w:val="324"/>
        </w:trPr>
        <w:tc>
          <w:tcPr>
            <w:tcW w:w="4340" w:type="dxa"/>
            <w:vAlign w:val="bottom"/>
            <w:gridSpan w:val="2"/>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98"/>
        </w:trPr>
        <w:tc>
          <w:tcPr>
            <w:tcW w:w="43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We intend to apply to list the common stock on the</w:t>
            </w:r>
          </w:p>
        </w:tc>
        <w:tc>
          <w:tcPr>
            <w:tcW w:w="32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under the symbol “TNYA”.</w:t>
            </w:r>
          </w:p>
        </w:tc>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205740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0" w:right="72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common stock involves risks. See the section titled “</w:t>
      </w:r>
      <w:hyperlink w:anchor="page18">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201930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i w:val="1"/>
                <w:iCs w:val="1"/>
                <w:color w:val="auto"/>
              </w:rPr>
              <w:t>PRICE $</w:t>
            </w:r>
          </w:p>
        </w:tc>
        <w:tc>
          <w:tcPr>
            <w:tcW w:w="4340" w:type="dxa"/>
            <w:vAlign w:val="bottom"/>
            <w:gridSpan w:val="4"/>
          </w:tcPr>
          <w:p>
            <w:pPr>
              <w:jc w:val="right"/>
              <w:ind w:right="3340"/>
              <w:spacing w:after="0"/>
              <w:rPr>
                <w:sz w:val="20"/>
                <w:szCs w:val="20"/>
                <w:color w:val="auto"/>
              </w:rPr>
            </w:pPr>
            <w:r>
              <w:rPr>
                <w:rFonts w:ascii="Arial" w:cs="Arial" w:eastAsia="Arial" w:hAnsi="Arial"/>
                <w:sz w:val="18"/>
                <w:szCs w:val="18"/>
                <w:i w:val="1"/>
                <w:iCs w:val="1"/>
                <w:color w:val="auto"/>
              </w:rPr>
              <w:t>A SHARE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0" w:type="dxa"/>
            <w:vAlign w:val="bottom"/>
          </w:tcPr>
          <w:p>
            <w:pPr>
              <w:spacing w:after="0"/>
              <w:rPr>
                <w:sz w:val="1"/>
                <w:szCs w:val="1"/>
                <w:color w:val="auto"/>
              </w:rPr>
            </w:pPr>
          </w:p>
        </w:tc>
      </w:tr>
      <w:tr>
        <w:trPr>
          <w:trHeight w:val="366"/>
        </w:trPr>
        <w:tc>
          <w:tcPr>
            <w:tcW w:w="4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60" w:type="dxa"/>
            <w:vAlign w:val="bottom"/>
            <w:gridSpan w:val="3"/>
          </w:tcPr>
          <w:p>
            <w:pPr>
              <w:jc w:val="right"/>
              <w:ind w:right="1280"/>
              <w:spacing w:after="0" w:line="149" w:lineRule="exact"/>
              <w:rPr>
                <w:sz w:val="20"/>
                <w:szCs w:val="20"/>
                <w:color w:val="auto"/>
              </w:rPr>
            </w:pPr>
            <w:r>
              <w:rPr>
                <w:rFonts w:ascii="Arial" w:cs="Arial" w:eastAsia="Arial" w:hAnsi="Arial"/>
                <w:sz w:val="14"/>
                <w:szCs w:val="14"/>
                <w:b w:val="1"/>
                <w:bCs w:val="1"/>
                <w:i w:val="1"/>
                <w:iCs w:val="1"/>
                <w:color w:val="auto"/>
              </w:rPr>
              <w:t>Price to</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0" w:type="dxa"/>
            <w:vAlign w:val="bottom"/>
          </w:tcPr>
          <w:p>
            <w:pPr>
              <w:spacing w:after="0"/>
              <w:rPr>
                <w:sz w:val="1"/>
                <w:szCs w:val="1"/>
                <w:color w:val="auto"/>
              </w:rPr>
            </w:pPr>
          </w:p>
        </w:tc>
      </w:tr>
      <w:tr>
        <w:trPr>
          <w:trHeight w:val="167"/>
        </w:trPr>
        <w:tc>
          <w:tcPr>
            <w:tcW w:w="5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Share</w:t>
            </w: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0"/>
              </w:rPr>
              <w:t>Public</w:t>
            </w:r>
          </w:p>
        </w:tc>
        <w:tc>
          <w:tcPr>
            <w:tcW w:w="13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0" w:type="dxa"/>
            <w:vAlign w:val="bottom"/>
          </w:tcPr>
          <w:p>
            <w:pPr>
              <w:spacing w:after="0"/>
              <w:rPr>
                <w:sz w:val="1"/>
                <w:szCs w:val="1"/>
                <w:color w:val="auto"/>
              </w:rPr>
            </w:pPr>
          </w:p>
        </w:tc>
      </w:tr>
      <w:tr>
        <w:trPr>
          <w:trHeight w:val="195"/>
        </w:trPr>
        <w:tc>
          <w:tcPr>
            <w:tcW w:w="5480" w:type="dxa"/>
            <w:vAlign w:val="bottom"/>
            <w:gridSpan w:val="2"/>
            <w:vMerge w:val="continue"/>
          </w:tcPr>
          <w:p>
            <w:pPr>
              <w:spacing w:after="0"/>
              <w:rPr>
                <w:sz w:val="16"/>
                <w:szCs w:val="16"/>
                <w:color w:val="auto"/>
              </w:rPr>
            </w:pPr>
          </w:p>
        </w:tc>
        <w:tc>
          <w:tcPr>
            <w:tcW w:w="2640" w:type="dxa"/>
            <w:vAlign w:val="bottom"/>
            <w:gridSpan w:val="2"/>
          </w:tcPr>
          <w:p>
            <w:pPr>
              <w:spacing w:after="0"/>
              <w:rPr>
                <w:sz w:val="16"/>
                <w:szCs w:val="16"/>
                <w:color w:val="auto"/>
              </w:rPr>
            </w:pPr>
          </w:p>
        </w:tc>
        <w:tc>
          <w:tcPr>
            <w:tcW w:w="1700" w:type="dxa"/>
            <w:vAlign w:val="bottom"/>
            <w:gridSpan w:val="2"/>
          </w:tcPr>
          <w:p>
            <w:pPr>
              <w:jc w:val="right"/>
              <w:ind w:right="1280"/>
              <w:spacing w:after="0" w:line="195" w:lineRule="exact"/>
              <w:rPr>
                <w:sz w:val="20"/>
                <w:szCs w:val="20"/>
                <w:color w:val="auto"/>
              </w:rPr>
            </w:pPr>
            <w:r>
              <w:rPr>
                <w:rFonts w:ascii="Arial" w:cs="Arial" w:eastAsia="Arial" w:hAnsi="Arial"/>
                <w:sz w:val="18"/>
                <w:szCs w:val="18"/>
                <w:i w:val="1"/>
                <w:iCs w:val="1"/>
                <w:color w:val="auto"/>
              </w:rPr>
              <w:t>$</w:t>
            </w:r>
          </w:p>
        </w:tc>
        <w:tc>
          <w:tcPr>
            <w:tcW w:w="940" w:type="dxa"/>
            <w:vAlign w:val="bottom"/>
          </w:tcPr>
          <w:p>
            <w:pPr>
              <w:jc w:val="right"/>
              <w:ind w:right="142"/>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Total</w:t>
            </w:r>
          </w:p>
        </w:tc>
        <w:tc>
          <w:tcPr>
            <w:tcW w:w="2640" w:type="dxa"/>
            <w:vAlign w:val="bottom"/>
            <w:gridSpan w:val="2"/>
          </w:tcPr>
          <w:p>
            <w:pPr>
              <w:jc w:val="right"/>
              <w:ind w:right="8"/>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jc w:val="right"/>
              <w:ind w:right="64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“Underwriters” for a description of the compensation payable to the underwriters.</w:t>
      </w:r>
    </w:p>
    <w:p>
      <w:pPr>
        <w:spacing w:after="0" w:line="158" w:lineRule="exact"/>
        <w:rPr>
          <w:sz w:val="20"/>
          <w:szCs w:val="20"/>
          <w:color w:val="auto"/>
        </w:rPr>
      </w:pPr>
    </w:p>
    <w:p>
      <w:pPr>
        <w:ind w:left="120"/>
        <w:spacing w:after="0"/>
        <w:tabs>
          <w:tab w:leader="none" w:pos="5260" w:val="left"/>
        </w:tabs>
        <w:rPr>
          <w:sz w:val="20"/>
          <w:szCs w:val="20"/>
          <w:color w:val="auto"/>
        </w:rPr>
      </w:pPr>
      <w:r>
        <w:rPr>
          <w:rFonts w:ascii="Arial" w:cs="Arial" w:eastAsia="Arial" w:hAnsi="Arial"/>
          <w:sz w:val="18"/>
          <w:szCs w:val="18"/>
          <w:i w:val="1"/>
          <w:iCs w:val="1"/>
          <w:color w:val="auto"/>
        </w:rPr>
        <w:t>We have granted the underwriters the right to purchase up to</w:t>
      </w:r>
      <w:r>
        <w:rPr>
          <w:sz w:val="20"/>
          <w:szCs w:val="20"/>
          <w:color w:val="auto"/>
        </w:rPr>
        <w:tab/>
      </w:r>
      <w:r>
        <w:rPr>
          <w:rFonts w:ascii="Arial" w:cs="Arial" w:eastAsia="Arial" w:hAnsi="Arial"/>
          <w:sz w:val="16"/>
          <w:szCs w:val="16"/>
          <w:i w:val="1"/>
          <w:iCs w:val="1"/>
          <w:color w:val="auto"/>
        </w:rPr>
        <w:t>additional shares of our common stock to cover over-allotments, if any.</w:t>
      </w:r>
    </w:p>
    <w:p>
      <w:pPr>
        <w:spacing w:after="0" w:line="14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i w:val="1"/>
                <w:iCs w:val="1"/>
                <w:color w:val="auto"/>
                <w:w w:val="95"/>
              </w:rPr>
              <w:t>The underwriters expect to deliver the shares against payment in New York, New York, on or about</w:t>
            </w: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205740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29"/>
          <w:szCs w:val="29"/>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jc w:val="center"/>
        <w:ind w:right="2360"/>
        <w:spacing w:after="0"/>
        <w:rPr>
          <w:sz w:val="20"/>
          <w:szCs w:val="20"/>
          <w:color w:val="auto"/>
        </w:rPr>
      </w:pPr>
      <w:r>
        <w:rPr>
          <w:rFonts w:ascii="Arial" w:cs="Arial" w:eastAsia="Arial" w:hAnsi="Arial"/>
          <w:sz w:val="28"/>
          <w:szCs w:val="28"/>
          <w:i w:val="1"/>
          <w:iCs w:val="1"/>
          <w:color w:val="auto"/>
        </w:rPr>
        <w:t>Cowen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30"/>
          <w:szCs w:val="30"/>
          <w:i w:val="1"/>
          <w:iCs w:val="1"/>
          <w:color w:val="auto"/>
        </w:rPr>
        <w:t>Piper Sandler</w:t>
      </w:r>
    </w:p>
    <w:p>
      <w:pPr>
        <w:spacing w:after="0" w:line="96" w:lineRule="exact"/>
        <w:rPr>
          <w:sz w:val="20"/>
          <w:szCs w:val="20"/>
          <w:color w:val="auto"/>
        </w:rPr>
      </w:pPr>
    </w:p>
    <w:p>
      <w:pPr>
        <w:sectPr>
          <w:pgSz w:w="11900" w:h="16838" w:orient="portrait"/>
          <w:cols w:equalWidth="0" w:num="3">
            <w:col w:w="4620" w:space="720"/>
            <w:col w:w="3260" w:space="720"/>
            <w:col w:w="1820"/>
          </w:cols>
          <w:pgMar w:left="320" w:top="459" w:right="439" w:bottom="1440" w:gutter="0" w:footer="0" w:header="0"/>
          <w:type w:val="continuous"/>
        </w:sectPr>
      </w:pPr>
    </w:p>
    <w:p>
      <w:pPr>
        <w:jc w:val="center"/>
        <w:ind w:left="340"/>
        <w:spacing w:after="0"/>
        <w:rPr>
          <w:sz w:val="20"/>
          <w:szCs w:val="20"/>
          <w:color w:val="auto"/>
        </w:rPr>
      </w:pPr>
      <w:r>
        <w:rPr>
          <w:rFonts w:ascii="Arial" w:cs="Arial" w:eastAsia="Arial" w:hAnsi="Arial"/>
          <w:sz w:val="26"/>
          <w:szCs w:val="26"/>
          <w:i w:val="1"/>
          <w:iCs w:val="1"/>
          <w:color w:val="auto"/>
        </w:rPr>
        <w:t>Chardan</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4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Page</w:t>
            </w:r>
          </w:p>
        </w:tc>
        <w:tc>
          <w:tcPr>
            <w:tcW w:w="5000" w:type="dxa"/>
            <w:vAlign w:val="bottom"/>
            <w:gridSpan w:val="13"/>
            <w:vMerge w:val="restart"/>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840" w:type="dxa"/>
            <w:vAlign w:val="bottom"/>
            <w:gridSpan w:val="16"/>
            <w:vMerge w:val="continue"/>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500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gridSpan w:val="1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2760" w:type="dxa"/>
            <w:vAlign w:val="bottom"/>
            <w:gridSpan w:val="5"/>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15</w:t>
            </w:r>
          </w:p>
        </w:tc>
        <w:tc>
          <w:tcPr>
            <w:tcW w:w="5000" w:type="dxa"/>
            <w:vAlign w:val="bottom"/>
            <w:gridSpan w:val="13"/>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CERTAIN RELATIONSHIPS AND RELATED PARTY</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5"/>
          </w:tcPr>
          <w:p>
            <w:pPr>
              <w:spacing w:after="0" w:line="196"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SPECIAL NOTE REGARDING FORWARD- LOOKING</w:t>
              </w:r>
            </w:hyperlink>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gridSpan w:val="12"/>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STATEMENTS</w:t>
              </w:r>
            </w:hyperlink>
          </w:p>
        </w:tc>
        <w:tc>
          <w:tcPr>
            <w:tcW w:w="288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93</w:t>
            </w:r>
          </w:p>
        </w:tc>
        <w:tc>
          <w:tcPr>
            <w:tcW w:w="24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217">
              <w:r>
                <w:rPr>
                  <w:rFonts w:ascii="Arial" w:cs="Arial" w:eastAsia="Arial" w:hAnsi="Arial"/>
                  <w:sz w:val="18"/>
                  <w:szCs w:val="18"/>
                  <w:color w:val="0000EE"/>
                  <w:w w:val="96"/>
                </w:rPr>
                <w:t>PRINCIPAL STOCKHOLDERS</w:t>
              </w:r>
            </w:hyperlink>
          </w:p>
        </w:tc>
        <w:tc>
          <w:tcPr>
            <w:tcW w:w="25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196"/>
        </w:trPr>
        <w:tc>
          <w:tcPr>
            <w:tcW w:w="4840" w:type="dxa"/>
            <w:vAlign w:val="bottom"/>
            <w:gridSpan w:val="1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MARKET, INDUSTRY AND OTHER DATA</w:t>
              </w:r>
            </w:hyperlink>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95</w:t>
            </w:r>
          </w:p>
        </w:tc>
        <w:tc>
          <w:tcPr>
            <w:tcW w:w="5000" w:type="dxa"/>
            <w:vAlign w:val="bottom"/>
            <w:gridSpan w:val="1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217</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USE OF PROCEEDS</w:t>
              </w:r>
            </w:hyperlink>
          </w:p>
        </w:tc>
        <w:tc>
          <w:tcPr>
            <w:tcW w:w="1720" w:type="dxa"/>
            <w:vAlign w:val="bottom"/>
            <w:gridSpan w:val="3"/>
          </w:tcPr>
          <w:p>
            <w:pPr>
              <w:spacing w:after="0"/>
              <w:rPr>
                <w:sz w:val="17"/>
                <w:szCs w:val="17"/>
                <w:color w:val="auto"/>
              </w:rPr>
            </w:pPr>
          </w:p>
        </w:tc>
        <w:tc>
          <w:tcPr>
            <w:tcW w:w="1520" w:type="dxa"/>
            <w:vAlign w:val="bottom"/>
            <w:gridSpan w:val="3"/>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96</w:t>
            </w:r>
          </w:p>
        </w:tc>
        <w:tc>
          <w:tcPr>
            <w:tcW w:w="318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226">
              <w:r>
                <w:rPr>
                  <w:rFonts w:ascii="Arial" w:cs="Arial" w:eastAsia="Arial" w:hAnsi="Arial"/>
                  <w:sz w:val="18"/>
                  <w:szCs w:val="18"/>
                  <w:color w:val="0000EE"/>
                  <w:w w:val="95"/>
                </w:rPr>
                <w:t>SHARES ELIGIBLE FOR FUTURE SALE</w:t>
              </w:r>
            </w:hyperlink>
          </w:p>
        </w:tc>
        <w:tc>
          <w:tcPr>
            <w:tcW w:w="18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223</w:t>
            </w:r>
          </w:p>
        </w:tc>
        <w:tc>
          <w:tcPr>
            <w:tcW w:w="0" w:type="dxa"/>
            <w:vAlign w:val="bottom"/>
          </w:tcPr>
          <w:p>
            <w:pPr>
              <w:spacing w:after="0"/>
              <w:rPr>
                <w:sz w:val="1"/>
                <w:szCs w:val="1"/>
                <w:color w:val="auto"/>
              </w:rPr>
            </w:pPr>
          </w:p>
        </w:tc>
      </w:tr>
      <w:tr>
        <w:trPr>
          <w:trHeight w:val="196"/>
        </w:trPr>
        <w:tc>
          <w:tcPr>
            <w:tcW w:w="1580" w:type="dxa"/>
            <w:vAlign w:val="bottom"/>
            <w:gridSpan w:val="9"/>
          </w:tcPr>
          <w:p>
            <w:pPr>
              <w:spacing w:after="0" w:line="196" w:lineRule="exact"/>
              <w:rPr>
                <w:rFonts w:ascii="Arial" w:cs="Arial" w:eastAsia="Arial" w:hAnsi="Arial"/>
                <w:sz w:val="18"/>
                <w:szCs w:val="18"/>
                <w:color w:val="0000EE"/>
                <w:w w:val="99"/>
              </w:rPr>
            </w:pPr>
            <w:hyperlink w:anchor="page101">
              <w:r>
                <w:rPr>
                  <w:rFonts w:ascii="Arial" w:cs="Arial" w:eastAsia="Arial" w:hAnsi="Arial"/>
                  <w:sz w:val="18"/>
                  <w:szCs w:val="18"/>
                  <w:color w:val="0000EE"/>
                  <w:w w:val="99"/>
                </w:rPr>
                <w:t>DIVIDEND POLICY</w:t>
              </w:r>
            </w:hyperlink>
          </w:p>
        </w:tc>
        <w:tc>
          <w:tcPr>
            <w:tcW w:w="3260" w:type="dxa"/>
            <w:vAlign w:val="bottom"/>
            <w:gridSpan w:val="7"/>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98</w:t>
            </w:r>
          </w:p>
        </w:tc>
        <w:tc>
          <w:tcPr>
            <w:tcW w:w="5000" w:type="dxa"/>
            <w:vAlign w:val="bottom"/>
            <w:gridSpan w:val="13"/>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MATERIAL U.S. FEDERAL INCOME TAX</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w:anchor="page102">
              <w:r>
                <w:rPr>
                  <w:rFonts w:ascii="Arial" w:cs="Arial" w:eastAsia="Arial" w:hAnsi="Arial"/>
                  <w:sz w:val="18"/>
                  <w:szCs w:val="18"/>
                  <w:color w:val="0000EE"/>
                  <w:w w:val="98"/>
                </w:rPr>
                <w:t>CAPITALIZATION</w:t>
              </w:r>
            </w:hyperlink>
          </w:p>
        </w:tc>
        <w:tc>
          <w:tcPr>
            <w:tcW w:w="120" w:type="dxa"/>
            <w:vAlign w:val="bottom"/>
          </w:tcPr>
          <w:p>
            <w:pPr>
              <w:spacing w:after="0"/>
              <w:rPr>
                <w:sz w:val="17"/>
                <w:szCs w:val="17"/>
                <w:color w:val="auto"/>
              </w:rPr>
            </w:pPr>
          </w:p>
        </w:tc>
        <w:tc>
          <w:tcPr>
            <w:tcW w:w="3260" w:type="dxa"/>
            <w:vAlign w:val="bottom"/>
            <w:gridSpan w:val="7"/>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99</w:t>
            </w:r>
          </w:p>
        </w:tc>
        <w:tc>
          <w:tcPr>
            <w:tcW w:w="180" w:type="dxa"/>
            <w:vAlign w:val="bottom"/>
          </w:tcPr>
          <w:p>
            <w:pPr>
              <w:spacing w:after="0"/>
              <w:rPr>
                <w:sz w:val="17"/>
                <w:szCs w:val="17"/>
                <w:color w:val="auto"/>
              </w:rPr>
            </w:pPr>
          </w:p>
        </w:tc>
        <w:tc>
          <w:tcPr>
            <w:tcW w:w="376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228">
              <w:r>
                <w:rPr>
                  <w:rFonts w:ascii="Arial" w:cs="Arial" w:eastAsia="Arial" w:hAnsi="Arial"/>
                  <w:sz w:val="18"/>
                  <w:szCs w:val="18"/>
                  <w:color w:val="0000EE"/>
                  <w:w w:val="94"/>
                </w:rPr>
                <w:t>CONSIDERARTIONS FOR NON-U.S. HOLDERS</w:t>
              </w:r>
            </w:hyperlink>
          </w:p>
        </w:tc>
        <w:tc>
          <w:tcPr>
            <w:tcW w:w="10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225</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DILUTION</w:t>
              </w:r>
            </w:hyperlink>
          </w:p>
        </w:tc>
        <w:tc>
          <w:tcPr>
            <w:tcW w:w="3960" w:type="dxa"/>
            <w:vAlign w:val="bottom"/>
            <w:gridSpan w:val="13"/>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101</w:t>
            </w:r>
          </w:p>
        </w:tc>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232">
              <w:r>
                <w:rPr>
                  <w:rFonts w:ascii="Arial" w:cs="Arial" w:eastAsia="Arial" w:hAnsi="Arial"/>
                  <w:sz w:val="18"/>
                  <w:szCs w:val="18"/>
                  <w:color w:val="0000EE"/>
                  <w:w w:val="96"/>
                </w:rPr>
                <w:t>UNDERWRITERS</w:t>
              </w:r>
            </w:hyperlink>
          </w:p>
        </w:tc>
        <w:tc>
          <w:tcPr>
            <w:tcW w:w="35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229</w:t>
            </w:r>
          </w:p>
        </w:tc>
        <w:tc>
          <w:tcPr>
            <w:tcW w:w="0" w:type="dxa"/>
            <w:vAlign w:val="bottom"/>
          </w:tcPr>
          <w:p>
            <w:pPr>
              <w:spacing w:after="0"/>
              <w:rPr>
                <w:sz w:val="1"/>
                <w:szCs w:val="1"/>
                <w:color w:val="auto"/>
              </w:rPr>
            </w:pPr>
          </w:p>
        </w:tc>
      </w:tr>
      <w:tr>
        <w:trPr>
          <w:trHeight w:val="196"/>
        </w:trPr>
        <w:tc>
          <w:tcPr>
            <w:tcW w:w="4840" w:type="dxa"/>
            <w:vAlign w:val="bottom"/>
            <w:gridSpan w:val="16"/>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SELECTED FINANCIAL DATA</w:t>
              </w:r>
            </w:hyperlink>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104</w:t>
            </w:r>
          </w:p>
        </w:tc>
        <w:tc>
          <w:tcPr>
            <w:tcW w:w="5000" w:type="dxa"/>
            <w:vAlign w:val="bottom"/>
            <w:gridSpan w:val="13"/>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240</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5"/>
          </w:tcPr>
          <w:p>
            <w:pPr>
              <w:spacing w:after="0" w:line="196" w:lineRule="exact"/>
              <w:rPr>
                <w:rFonts w:ascii="Arial" w:cs="Arial" w:eastAsia="Arial" w:hAnsi="Arial"/>
                <w:sz w:val="18"/>
                <w:szCs w:val="18"/>
                <w:color w:val="0000EE"/>
                <w:w w:val="97"/>
              </w:rPr>
            </w:pPr>
            <w:hyperlink w:anchor="page109">
              <w:r>
                <w:rPr>
                  <w:rFonts w:ascii="Arial" w:cs="Arial" w:eastAsia="Arial" w:hAnsi="Arial"/>
                  <w:sz w:val="18"/>
                  <w:szCs w:val="18"/>
                  <w:color w:val="0000EE"/>
                  <w:w w:val="97"/>
                </w:rPr>
                <w:t>MANAGEMENT’S DISCUSSION AND ANALYSIS OF</w:t>
              </w:r>
            </w:hyperlink>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20" w:type="dxa"/>
            <w:vAlign w:val="bottom"/>
            <w:gridSpan w:val="8"/>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109">
              <w:r>
                <w:rPr>
                  <w:rFonts w:ascii="Arial" w:cs="Arial" w:eastAsia="Arial" w:hAnsi="Arial"/>
                  <w:sz w:val="18"/>
                  <w:szCs w:val="18"/>
                  <w:color w:val="0000EE"/>
                  <w:w w:val="97"/>
                </w:rPr>
                <w:t>FINANCIAL CONDITION AND RESULTS OF</w:t>
              </w:r>
            </w:hyperlink>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2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243">
              <w:r>
                <w:rPr>
                  <w:rFonts w:ascii="Arial" w:cs="Arial" w:eastAsia="Arial" w:hAnsi="Arial"/>
                  <w:sz w:val="18"/>
                  <w:szCs w:val="18"/>
                  <w:color w:val="0000EE"/>
                  <w:w w:val="97"/>
                </w:rPr>
                <w:t>WHERE YOU CAN FIND MORE INFORMATION</w:t>
              </w:r>
            </w:hyperlink>
          </w:p>
        </w:tc>
        <w:tc>
          <w:tcPr>
            <w:tcW w:w="11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4"/>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OPERATIONS</w:t>
              </w:r>
            </w:hyperlink>
          </w:p>
        </w:tc>
        <w:tc>
          <w:tcPr>
            <w:tcW w:w="3560" w:type="dxa"/>
            <w:vAlign w:val="bottom"/>
            <w:gridSpan w:val="11"/>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106</w:t>
            </w:r>
          </w:p>
        </w:tc>
        <w:tc>
          <w:tcPr>
            <w:tcW w:w="5000" w:type="dxa"/>
            <w:vAlign w:val="bottom"/>
            <w:gridSpan w:val="13"/>
          </w:tcPr>
          <w:p>
            <w:pPr>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BUSINESS</w:t>
              </w:r>
            </w:hyperlink>
          </w:p>
        </w:tc>
        <w:tc>
          <w:tcPr>
            <w:tcW w:w="3980" w:type="dxa"/>
            <w:vAlign w:val="bottom"/>
            <w:gridSpan w:val="14"/>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117</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94">
              <w:r>
                <w:rPr>
                  <w:rFonts w:ascii="Arial" w:cs="Arial" w:eastAsia="Arial" w:hAnsi="Arial"/>
                  <w:sz w:val="18"/>
                  <w:szCs w:val="18"/>
                  <w:color w:val="0000EE"/>
                  <w:w w:val="99"/>
                </w:rPr>
                <w:t>MANAGEMENT</w:t>
              </w:r>
            </w:hyperlink>
          </w:p>
        </w:tc>
        <w:tc>
          <w:tcPr>
            <w:tcW w:w="3540" w:type="dxa"/>
            <w:vAlign w:val="bottom"/>
            <w:gridSpan w:val="10"/>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191</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Neither we nor the underwriters have authorized anyone to provide you any information or make any representations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titled “Risk Factors” and our financial statements and the related notes appearing elsewhere in this prospectus, before making an investment decision. As used in this prospectus, unless the context otherwise requires, references to “we,” “us,” “our,” “our company,” and “Tenaya” refer to Tenaya Therapeutics, Inc.</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are a biotechnology company committed to a bold mission: to discover, design, develop and deliver curative therapies that address the underlying drivers of heart disease. Our vision is to change the treatment paradigm for heart disease, the leading cause of death in the world, and in doing so improve and extend the lives of millions of individuals and families fighting this debilitating disease. We are advancing a pipeline of disease-modifying therapies developed using our product platforms and core internal capabilities to target defined sub-populations of patients with rare or highly prevalent forms of heart disease.</w:t>
      </w:r>
    </w:p>
    <w:p>
      <w:pPr>
        <w:spacing w:after="0" w:line="188" w:lineRule="exact"/>
        <w:rPr>
          <w:sz w:val="20"/>
          <w:szCs w:val="20"/>
          <w:color w:val="auto"/>
        </w:rPr>
      </w:pPr>
    </w:p>
    <w:p>
      <w:pPr>
        <w:ind w:left="300" w:right="180" w:firstLine="426"/>
        <w:spacing w:after="0" w:line="257" w:lineRule="auto"/>
        <w:rPr>
          <w:sz w:val="20"/>
          <w:szCs w:val="20"/>
          <w:color w:val="auto"/>
        </w:rPr>
      </w:pPr>
      <w:r>
        <w:rPr>
          <w:rFonts w:ascii="Arial" w:cs="Arial" w:eastAsia="Arial" w:hAnsi="Arial"/>
          <w:sz w:val="18"/>
          <w:szCs w:val="18"/>
          <w:color w:val="auto"/>
        </w:rPr>
        <w:t>Founded by leading cardiovascular scientists from the J. David Gladstone Institutes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 agnostic manner, including gene therapies, small molecules, and biologics.</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are advancing a deep and diverse pipeline including gene therapies and small molecules with the opportunity to advance multiple product</w:t>
      </w:r>
    </w:p>
    <w:p>
      <w:pPr>
        <w:spacing w:after="0" w:line="46" w:lineRule="exact"/>
        <w:rPr>
          <w:sz w:val="20"/>
          <w:szCs w:val="20"/>
          <w:color w:val="auto"/>
        </w:rPr>
      </w:pPr>
    </w:p>
    <w:p>
      <w:pPr>
        <w:ind w:left="300" w:right="20"/>
        <w:spacing w:after="0" w:line="286" w:lineRule="auto"/>
        <w:rPr>
          <w:sz w:val="20"/>
          <w:szCs w:val="20"/>
          <w:color w:val="auto"/>
        </w:rPr>
      </w:pPr>
      <w:r>
        <w:rPr>
          <w:rFonts w:ascii="Arial" w:cs="Arial" w:eastAsia="Arial" w:hAnsi="Arial"/>
          <w:sz w:val="16"/>
          <w:szCs w:val="16"/>
          <w:color w:val="auto"/>
        </w:rPr>
        <w:t>candidates into the clinic by . Our most advanced product candidate from our Gene Therapy platform, TN-201, is a potentially curative, one-time adeno-associated virus (AAV)-based gene therapy to address genetic hypertrophic cardiomyopathy (gHCM)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TN-201, currently in IND-enabling studies,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MYBPC3 protein. Our DWORF program, an AAV-based gene therapy designed to express the Dwarf Open Reading Frame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in the heart, has potentially broad utility in genetic dilated cardiomyopathy (gDCM) and heart failure (HF) with reduced ejection fraction (EF), where EF is below 40% (HFrEF), and is currently at the candidate selection stage. Our Reprogramming program for cardiac regeneration can potentially replace heart cells lost in patients experiencing HF due to prior myocardial infarction (MI) and is currently at the candidate selection stage. Our HDAC6-specific small molecule inhibitor (HDAC6i) program, for which a product candidate has been selected, has potentially broad utility in HF where EF is greater than or equal to 50%, called preserved EF (HFpEF), and gDCM. In addition, we have numerous earlier-stage programs emerging from our product platforms to address other forms of HF.</w:t>
      </w:r>
    </w:p>
    <w:p>
      <w:pPr>
        <w:spacing w:after="0" w:line="27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Product Platforms</w:t>
      </w:r>
    </w:p>
    <w:p>
      <w:pPr>
        <w:spacing w:after="0" w:line="117"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 to address different problems that have historically plagued the development of novel therapies for heart disease. We believe these three product platforms together yield better insight into disease processes, create more opportunities for successful drug development, mitigate scientific risks, and differentiate our efforts relative to competitors.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8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60" w:hanging="347"/>
        <w:spacing w:after="0" w:line="255"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Gene Therapy</w:t>
      </w:r>
      <w:r>
        <w:rPr>
          <w:rFonts w:ascii="Arial" w:cs="Arial" w:eastAsia="Arial" w:hAnsi="Arial"/>
          <w:sz w:val="18"/>
          <w:szCs w:val="18"/>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to target cardiomyocytes (CMs), cardiac fibroblasts (CFs) or other cells important to the proper functioning of the heart.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97" w:lineRule="exact"/>
        <w:rPr>
          <w:rFonts w:ascii="Arial" w:cs="Arial" w:eastAsia="Arial" w:hAnsi="Arial"/>
          <w:sz w:val="18"/>
          <w:szCs w:val="18"/>
          <w:color w:val="auto"/>
        </w:rPr>
      </w:pPr>
    </w:p>
    <w:p>
      <w:pPr>
        <w:ind w:left="1240" w:right="60" w:hanging="347"/>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Cellular Regeneration</w:t>
      </w:r>
      <w:r>
        <w:rPr>
          <w:rFonts w:ascii="Arial" w:cs="Arial" w:eastAsia="Arial" w:hAnsi="Arial"/>
          <w:sz w:val="18"/>
          <w:szCs w:val="18"/>
          <w:color w:val="auto"/>
        </w:rPr>
        <w:t xml:space="preserve"> platform uses viral vectors to deliver genes to specific cells in the heart to regenerate CMs </w:t>
      </w:r>
      <w:r>
        <w:rPr>
          <w:rFonts w:ascii="Arial" w:cs="Arial" w:eastAsia="Arial" w:hAnsi="Arial"/>
          <w:sz w:val="18"/>
          <w:szCs w:val="18"/>
          <w:i w:val="1"/>
          <w:iCs w:val="1"/>
          <w:color w:val="auto"/>
        </w:rPr>
        <w:t>in vivo</w:t>
      </w:r>
      <w:r>
        <w:rPr>
          <w:rFonts w:ascii="Arial" w:cs="Arial" w:eastAsia="Arial" w:hAnsi="Arial"/>
          <w:sz w:val="18"/>
          <w:szCs w:val="18"/>
          <w:color w:val="auto"/>
        </w:rPr>
        <w:t>. The product candidates arising from this platform are intended to overcome the shortcomings of traditional therapies that are not able to address the loss of CMs. We believe this platform has potentially broad utility across a range of heart conditions that result in the loss of CMs, including MI, chemotherapy-related toxicity, and viral infection.</w:t>
      </w:r>
    </w:p>
    <w:p>
      <w:pPr>
        <w:spacing w:after="0" w:line="92" w:lineRule="exact"/>
        <w:rPr>
          <w:rFonts w:ascii="Arial" w:cs="Arial" w:eastAsia="Arial" w:hAnsi="Arial"/>
          <w:sz w:val="18"/>
          <w:szCs w:val="18"/>
          <w:color w:val="auto"/>
        </w:rPr>
      </w:pPr>
    </w:p>
    <w:p>
      <w:pPr>
        <w:ind w:left="1240" w:hanging="347"/>
        <w:spacing w:after="0" w:line="273"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b w:val="1"/>
          <w:bCs w:val="1"/>
          <w:i w:val="1"/>
          <w:iCs w:val="1"/>
          <w:color w:val="auto"/>
        </w:rPr>
        <w:t>Precision Medicine</w:t>
      </w:r>
      <w:r>
        <w:rPr>
          <w:rFonts w:ascii="Arial" w:cs="Arial" w:eastAsia="Arial" w:hAnsi="Arial"/>
          <w:sz w:val="17"/>
          <w:szCs w:val="17"/>
          <w:color w:val="auto"/>
        </w:rPr>
        <w:t xml:space="preserve"> platform uses human induced pluripotent stem cell-derived CMs (hiPSC-CMs) as proprietary disease models and analysis of human genetics for the identification of new targets, validation of known targets, and high-throughput screening for drug discovery. This platform is intended to overcome the shortcomings of traditional drug development efforts that rely more heavily on efficacy in animal models to develop therapies intended for human heart disease. We believe this platform has potentially broad utility for the identification of targets and therapies in a modality-agnostic manner—including gene therapy, small molecules, and biologics—for both genetic and non-genetic forms of heart disease.</w:t>
      </w:r>
    </w:p>
    <w:p>
      <w:pPr>
        <w:spacing w:after="0" w:line="2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Approach and Capabilities</w:t>
      </w:r>
    </w:p>
    <w:p>
      <w:pPr>
        <w:spacing w:after="0" w:line="117" w:lineRule="exact"/>
        <w:rPr>
          <w:sz w:val="20"/>
          <w:szCs w:val="20"/>
          <w:color w:val="auto"/>
        </w:rPr>
      </w:pPr>
    </w:p>
    <w:p>
      <w:pPr>
        <w:ind w:left="300" w:right="280" w:firstLine="426"/>
        <w:spacing w:after="0" w:line="279" w:lineRule="auto"/>
        <w:rPr>
          <w:sz w:val="20"/>
          <w:szCs w:val="20"/>
          <w:color w:val="auto"/>
        </w:rPr>
      </w:pPr>
      <w:r>
        <w:rPr>
          <w:rFonts w:ascii="Arial" w:cs="Arial" w:eastAsia="Arial" w:hAnsi="Arial"/>
          <w:sz w:val="17"/>
          <w:szCs w:val="17"/>
          <w:color w:val="auto"/>
        </w:rPr>
        <w:t>We have five core internal capabilities, as displayed below, to support our product platforms and our pipeline programs. We believe these integrated capabilities provide us with several advantages and differentiate our efforts relative to competitors, particularly for our AAV-based development efforts. We believe these capabilities can collectively support rapid product development, precise product delivery, and efficient production; ultimately improving the probability of technical and regulatory success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Our Core Capabilities Supporting Our Differentiated Product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internalized and integrated capabilities to support our product platforms include:</w:t>
      </w:r>
    </w:p>
    <w:p>
      <w:pPr>
        <w:spacing w:after="0" w:line="131" w:lineRule="exact"/>
        <w:rPr>
          <w:sz w:val="20"/>
          <w:szCs w:val="20"/>
          <w:color w:val="auto"/>
        </w:rPr>
      </w:pPr>
    </w:p>
    <w:p>
      <w:pPr>
        <w:ind w:left="1240" w:hanging="347"/>
        <w:spacing w:after="0" w:line="25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Disease Models</w:t>
      </w:r>
      <w:r>
        <w:rPr>
          <w:rFonts w:ascii="Arial" w:cs="Arial" w:eastAsia="Arial" w:hAnsi="Arial"/>
          <w:sz w:val="18"/>
          <w:szCs w:val="18"/>
          <w:color w:val="auto"/>
        </w:rPr>
        <w:t>. We have internalized the ability to create and integrate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models within our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organization. For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disease models, we have a dedicated onsite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97" w:lineRule="exact"/>
        <w:rPr>
          <w:rFonts w:ascii="Arial" w:cs="Arial" w:eastAsia="Arial" w:hAnsi="Arial"/>
          <w:sz w:val="18"/>
          <w:szCs w:val="18"/>
          <w:color w:val="auto"/>
        </w:rPr>
      </w:pPr>
    </w:p>
    <w:p>
      <w:pPr>
        <w:ind w:left="1240" w:right="140" w:hanging="347"/>
        <w:spacing w:after="0" w:line="25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Capsid Engineering</w:t>
      </w:r>
      <w:r>
        <w:rPr>
          <w:rFonts w:ascii="Arial" w:cs="Arial" w:eastAsia="Arial" w:hAnsi="Arial"/>
          <w:sz w:val="18"/>
          <w:szCs w:val="18"/>
          <w:color w:val="auto"/>
        </w:rPr>
        <w:t>. We have established in-house AAV capsid engineering capabilities and have screened over one billion variants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diverse, proprietary libraries to discover novel AAV capsids with desirable therapeutic properties to support our programs. Our capsids have improved tropism for the heart compared to other organs and for specific cells within the heart; improved transduction and expression within the heart cells; and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97" w:lineRule="exact"/>
        <w:rPr>
          <w:rFonts w:ascii="Arial" w:cs="Arial" w:eastAsia="Arial" w:hAnsi="Arial"/>
          <w:sz w:val="18"/>
          <w:szCs w:val="18"/>
          <w:color w:val="auto"/>
        </w:rPr>
      </w:pPr>
    </w:p>
    <w:p>
      <w:pPr>
        <w:ind w:left="1240" w:right="240" w:hanging="347"/>
        <w:spacing w:after="0" w:line="259"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Promoters and Regulatory Elements</w:t>
      </w:r>
      <w:r>
        <w:rPr>
          <w:rFonts w:ascii="Arial" w:cs="Arial" w:eastAsia="Arial" w:hAnsi="Arial"/>
          <w:sz w:val="18"/>
          <w:szCs w:val="18"/>
          <w:color w:val="auto"/>
        </w:rPr>
        <w:t>. We have created novel promoters and regulatory elements to support our gene therapy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cellular regeneration programs. We use these elements to help ensure a more precise expression of therapeutic payloads in different cell types in the heart. We believe our innovations in promoters and regulatory elements can support the successful clinical development of our product candidates.</w:t>
      </w:r>
    </w:p>
    <w:p>
      <w:pPr>
        <w:spacing w:after="0" w:line="92" w:lineRule="exact"/>
        <w:rPr>
          <w:rFonts w:ascii="Arial" w:cs="Arial" w:eastAsia="Arial" w:hAnsi="Arial"/>
          <w:sz w:val="18"/>
          <w:szCs w:val="18"/>
          <w:color w:val="auto"/>
        </w:rPr>
      </w:pPr>
    </w:p>
    <w:p>
      <w:pPr>
        <w:ind w:left="1240" w:right="300" w:hanging="347"/>
        <w:spacing w:after="0" w:line="293"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Drug Delivery</w:t>
      </w:r>
      <w:r>
        <w:rPr>
          <w:rFonts w:ascii="Arial" w:cs="Arial" w:eastAsia="Arial" w:hAnsi="Arial"/>
          <w:sz w:val="16"/>
          <w:szCs w:val="16"/>
          <w:color w:val="auto"/>
        </w:rPr>
        <w:t>. Gene delivery is considered one of the biggest challenges to successful translation of cardiac gene therapy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products. We believe it is important to explore different routes of administration (ROAs) as well as different infusion- or injection-based catheters to support more targeted delivery and more efficient uptake of gene therapies for the heart. We prioritize head-to-head comparison of different ROAs in large animal models. We are also developing a novel transendocardial injection catheter for precise delivery of therapeutic payloads around the scar area of an infarcted heart. We believe our discoveries in drug delivery can help widen the therapeutic index of our product candidates by reducing the dose required for a therapeutic benefit.</w:t>
      </w: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73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6732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347"/>
        <w:spacing w:after="0" w:line="254"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We have taken important steps towards internalizing AAV manufacturing capabilities, expertise and intellectual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to support our emerging portfolio of gene therapy product candidates and to have greater control over our product development. We have produced non-clinical material involving both parental and novel AAV capsids at the 50L and 200L scales to support early research and IND-enabling studies in small and large animal models. We have initiated construction of a 94,000 square-foot current Good Manufacturing Practices (cGMP) facility in the San Francisco Bay Area near our research labs to enable smooth scale-up of production to support first-in-human studies, initially at the 1000L scale. We expect this facility will be operational by the end of 2021.</w:t>
      </w:r>
    </w:p>
    <w:p>
      <w:pPr>
        <w:spacing w:after="0" w:line="30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We are building a deep and diverse pipeline with therapeutic programs intended for rare or orphan diseases, such as genetic cardiomyopathies, as well as programs intended for larger indications, such as HFpEF. We have exclusive worldwide rights to all of our programs. Our current pipeline is summarized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Gene Therapy Programs</w:t>
      </w:r>
    </w:p>
    <w:p>
      <w:pPr>
        <w:spacing w:after="0" w:line="127" w:lineRule="exact"/>
        <w:rPr>
          <w:sz w:val="20"/>
          <w:szCs w:val="20"/>
          <w:color w:val="auto"/>
        </w:rPr>
      </w:pPr>
    </w:p>
    <w:p>
      <w:pPr>
        <w:ind w:left="1240" w:hanging="523"/>
        <w:spacing w:after="0" w:line="287"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MYBPC3 Gene Therapy Program for gHCM</w:t>
      </w:r>
      <w:r>
        <w:rPr>
          <w:rFonts w:ascii="Arial" w:cs="Arial" w:eastAsia="Arial" w:hAnsi="Arial"/>
          <w:sz w:val="16"/>
          <w:szCs w:val="16"/>
          <w:color w:val="auto"/>
        </w:rPr>
        <w:t>. We are developing an AAV-based gene therapy designed to deliver a functional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MYBPC3 </w:t>
      </w:r>
      <w:r>
        <w:rPr>
          <w:rFonts w:ascii="Arial" w:cs="Arial" w:eastAsia="Arial" w:hAnsi="Arial"/>
          <w:sz w:val="16"/>
          <w:szCs w:val="16"/>
          <w:color w:val="auto"/>
        </w:rPr>
        <w:t>gene in adults and children with gHCM due to</w:t>
      </w:r>
      <w:r>
        <w:rPr>
          <w:rFonts w:ascii="Arial" w:cs="Arial" w:eastAsia="Arial" w:hAnsi="Arial"/>
          <w:sz w:val="16"/>
          <w:szCs w:val="16"/>
          <w:i w:val="1"/>
          <w:iCs w:val="1"/>
          <w:color w:val="auto"/>
        </w:rPr>
        <w:t xml:space="preserve"> MYBPC3 </w:t>
      </w:r>
      <w:r>
        <w:rPr>
          <w:rFonts w:ascii="Arial" w:cs="Arial" w:eastAsia="Arial" w:hAnsi="Arial"/>
          <w:sz w:val="16"/>
          <w:szCs w:val="16"/>
          <w:color w:val="auto"/>
        </w:rPr>
        <w:t>gene mutations. We have demonstrated significant and durable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disease reversal and survival in a relevant murine model, as well as tolerability in mice and non-human primates (NHPs). Our product candidate, TN-201, uses a differentiated approach designed to enable robust expression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in the heart. The</w:t>
      </w:r>
    </w:p>
    <w:p>
      <w:pPr>
        <w:spacing w:after="0" w:line="2" w:lineRule="exact"/>
        <w:rPr>
          <w:sz w:val="20"/>
          <w:szCs w:val="20"/>
          <w:color w:val="auto"/>
        </w:rPr>
      </w:pPr>
    </w:p>
    <w:p>
      <w:pPr>
        <w:ind w:left="1240" w:right="120"/>
        <w:spacing w:after="0" w:line="281" w:lineRule="auto"/>
        <w:rPr>
          <w:sz w:val="20"/>
          <w:szCs w:val="20"/>
          <w:color w:val="auto"/>
        </w:rPr>
      </w:pPr>
      <w:r>
        <w:rPr>
          <w:rFonts w:ascii="Arial" w:cs="Arial" w:eastAsia="Arial" w:hAnsi="Arial"/>
          <w:sz w:val="16"/>
          <w:szCs w:val="16"/>
          <w:color w:val="auto"/>
        </w:rPr>
        <w:t>program is currently in IND-enabling studies, and we have obtained feedback from multiple regulatory agencies to guide our path to clinical development. We intend to submit an investigational new drug application (IND) or a clinical trial application (CTA) to the</w:t>
      </w:r>
    </w:p>
    <w:p>
      <w:pPr>
        <w:spacing w:after="0" w:line="1" w:lineRule="exact"/>
        <w:rPr>
          <w:sz w:val="20"/>
          <w:szCs w:val="20"/>
          <w:color w:val="auto"/>
        </w:rPr>
      </w:pPr>
    </w:p>
    <w:p>
      <w:pPr>
        <w:ind w:left="1240"/>
        <w:spacing w:after="0"/>
        <w:tabs>
          <w:tab w:leader="none" w:pos="9160" w:val="left"/>
        </w:tabs>
        <w:rPr>
          <w:sz w:val="20"/>
          <w:szCs w:val="20"/>
          <w:color w:val="auto"/>
        </w:rPr>
      </w:pPr>
      <w:r>
        <w:rPr>
          <w:rFonts w:ascii="Arial" w:cs="Arial" w:eastAsia="Arial" w:hAnsi="Arial"/>
          <w:sz w:val="18"/>
          <w:szCs w:val="18"/>
          <w:color w:val="auto"/>
        </w:rPr>
        <w:t>U.S. Food and Drug Administration (FDA) or European Medicines Agency (EMA), respectively, by</w:t>
      </w:r>
      <w:r>
        <w:rPr>
          <w:sz w:val="20"/>
          <w:szCs w:val="20"/>
          <w:color w:val="auto"/>
        </w:rPr>
        <w:tab/>
      </w:r>
      <w:r>
        <w:rPr>
          <w:rFonts w:ascii="Arial" w:cs="Arial" w:eastAsia="Arial" w:hAnsi="Arial"/>
          <w:sz w:val="13"/>
          <w:szCs w:val="13"/>
          <w:color w:val="auto"/>
        </w:rPr>
        <w:t>.</w:t>
      </w:r>
    </w:p>
    <w:p>
      <w:pPr>
        <w:spacing w:after="0" w:line="112" w:lineRule="exact"/>
        <w:rPr>
          <w:sz w:val="20"/>
          <w:szCs w:val="20"/>
          <w:color w:val="auto"/>
        </w:rPr>
      </w:pPr>
    </w:p>
    <w:p>
      <w:pPr>
        <w:ind w:left="1240" w:right="140" w:hanging="523"/>
        <w:spacing w:after="0" w:line="256"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DWORF Gene Therapy Program for gDCM and HFrEF</w:t>
      </w:r>
      <w:r>
        <w:rPr>
          <w:rFonts w:ascii="Arial" w:cs="Arial" w:eastAsia="Arial" w:hAnsi="Arial"/>
          <w:sz w:val="18"/>
          <w:szCs w:val="18"/>
          <w:color w:val="auto"/>
        </w:rPr>
        <w:t>. We are developing an AAV-based gene therapy designed to deliver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DWORF </w:t>
      </w:r>
      <w:r>
        <w:rPr>
          <w:rFonts w:ascii="Arial" w:cs="Arial" w:eastAsia="Arial" w:hAnsi="Arial"/>
          <w:sz w:val="18"/>
          <w:szCs w:val="18"/>
          <w:color w:val="auto"/>
        </w:rPr>
        <w:t>gene for patients with gDCM and HFrEF. DWORF is a muscle-specific micro-peptide first discovered by our co-founder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evidence for the therapeutic benefit of over-expression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in multiple murine models, including models of gDCM and HFrEF, as well as tolerability in murine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spacing w:after="0" w:line="308" w:lineRule="auto"/>
        <w:rPr>
          <w:sz w:val="20"/>
          <w:szCs w:val="20"/>
          <w:color w:val="auto"/>
        </w:rPr>
      </w:pPr>
      <w:r>
        <w:rPr>
          <w:rFonts w:ascii="Arial" w:cs="Arial" w:eastAsia="Arial" w:hAnsi="Arial"/>
          <w:sz w:val="17"/>
          <w:szCs w:val="17"/>
          <w:color w:val="auto"/>
        </w:rPr>
        <w:t>models. These findings in animal models support the advancement of this program in patients with genetic cardiomyopathies due to specific mutations as well as more prevalent HF populations. This program is currently at the candidate selection stage.</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Cellular Regeneration Program</w:t>
      </w:r>
    </w:p>
    <w:p>
      <w:pPr>
        <w:spacing w:after="0" w:line="127" w:lineRule="exact"/>
        <w:rPr>
          <w:sz w:val="20"/>
          <w:szCs w:val="20"/>
          <w:color w:val="auto"/>
        </w:rPr>
      </w:pPr>
    </w:p>
    <w:p>
      <w:pPr>
        <w:ind w:left="1240" w:right="40" w:hanging="523"/>
        <w:spacing w:after="0" w:line="272"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Reprogramming Program for HF due to prior MI. </w:t>
      </w:r>
      <w:r>
        <w:rPr>
          <w:rFonts w:ascii="Arial" w:cs="Arial" w:eastAsia="Arial" w:hAnsi="Arial"/>
          <w:sz w:val="17"/>
          <w:szCs w:val="17"/>
          <w:color w:val="auto"/>
        </w:rPr>
        <w:t>We have made significant advances in our unique approach to cellular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regeneration using viral vectors to deliver genes that drive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reprogramming of resident CFs to create new CMs. This approach was first demonstrated by our co-founder Deepak Srivastava, M.D. We have discovered a proprietary combination of three genes that can drive robust reprogramming when delivered together in a single AAV capsid. We have demonstrated significant and durable disease reversal as well as tolerability in multiple small and large animal models. Results of this approach in a pig model of HF due to prior MI were presented at the American Society of Gene &amp; Cell Therapy conference in 2020 and represent what we believe is the first-ever successful demonstration of the therapeutic benefit of this approach in a large animal model with a human-sized heart. This program is currently at the candidate selection stage.</w:t>
      </w:r>
    </w:p>
    <w:p>
      <w:pPr>
        <w:spacing w:after="0" w:line="284"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Precision Medicine Program</w:t>
      </w:r>
    </w:p>
    <w:p>
      <w:pPr>
        <w:spacing w:after="0" w:line="127" w:lineRule="exact"/>
        <w:rPr>
          <w:sz w:val="20"/>
          <w:szCs w:val="20"/>
          <w:color w:val="auto"/>
        </w:rPr>
      </w:pPr>
    </w:p>
    <w:p>
      <w:pPr>
        <w:ind w:left="1240" w:hanging="523"/>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HDAC6i for HFpEF and gDCM. </w:t>
      </w:r>
      <w:r>
        <w:rPr>
          <w:rFonts w:ascii="Arial" w:cs="Arial" w:eastAsia="Arial" w:hAnsi="Arial"/>
          <w:sz w:val="16"/>
          <w:szCs w:val="16"/>
          <w:color w:val="auto"/>
        </w:rPr>
        <w:t>Inhibitors of histone deacetylases (HDACs) have long been considered promising targets for many</w:t>
      </w:r>
    </w:p>
    <w:p>
      <w:pPr>
        <w:spacing w:after="0" w:line="50" w:lineRule="exact"/>
        <w:rPr>
          <w:sz w:val="20"/>
          <w:szCs w:val="20"/>
          <w:color w:val="auto"/>
        </w:rPr>
      </w:pPr>
    </w:p>
    <w:p>
      <w:pPr>
        <w:ind w:left="1240" w:right="20"/>
        <w:spacing w:after="0" w:line="281" w:lineRule="auto"/>
        <w:rPr>
          <w:sz w:val="20"/>
          <w:szCs w:val="20"/>
          <w:color w:val="auto"/>
        </w:rPr>
      </w:pPr>
      <w:r>
        <w:rPr>
          <w:rFonts w:ascii="Arial" w:cs="Arial" w:eastAsia="Arial" w:hAnsi="Arial"/>
          <w:sz w:val="16"/>
          <w:szCs w:val="16"/>
          <w:color w:val="auto"/>
        </w:rPr>
        <w:t xml:space="preserve">indications in a range of therapeutic areas. Several partially selective HDAC6i are already in clinical development, but none for a heart disease indication. We have discovered a highly specific and potent HDAC6i for which medicinal chemistry has been completed and we have filed patent applications for two chemical series. We have also demonstrated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of these molecules in multiple animal models, including in two different models of HFpEF as well as in a model of gDCM. Our product candidate, TYA-11631, has not demonstrated evidence of toxicity at levels dosed to date in small and large animal species. We intend to initiate</w:t>
      </w:r>
    </w:p>
    <w:p>
      <w:pPr>
        <w:spacing w:after="0" w:line="3" w:lineRule="exact"/>
        <w:rPr>
          <w:sz w:val="20"/>
          <w:szCs w:val="20"/>
          <w:color w:val="auto"/>
        </w:rPr>
      </w:pPr>
    </w:p>
    <w:p>
      <w:pPr>
        <w:ind w:left="1240"/>
        <w:spacing w:after="0"/>
        <w:tabs>
          <w:tab w:leader="none" w:pos="3700" w:val="left"/>
        </w:tabs>
        <w:rPr>
          <w:sz w:val="20"/>
          <w:szCs w:val="20"/>
          <w:color w:val="auto"/>
        </w:rPr>
      </w:pPr>
      <w:r>
        <w:rPr>
          <w:rFonts w:ascii="Arial" w:cs="Arial" w:eastAsia="Arial" w:hAnsi="Arial"/>
          <w:sz w:val="18"/>
          <w:szCs w:val="18"/>
          <w:color w:val="auto"/>
        </w:rPr>
        <w:t>IND-enabling studies in</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Overview of Heart Disease</w:t>
      </w:r>
    </w:p>
    <w:p>
      <w:pPr>
        <w:spacing w:after="0" w:line="117"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congenital heart disease (CHD), and CHD is the leading cause of birth defect-related morbidity and mortality. There are over 250 known genetically defined disorders where the primary source of morbidity and mortality involves the heart. There are few approved products that target the underlying cause of such diseases. Recent analysis has shown that after decades of reduction in the mortality rate due to HF, these rates are once again rising over the last decade, highlighting the need for improved treatments.</w:t>
      </w:r>
    </w:p>
    <w:p>
      <w:pPr>
        <w:spacing w:after="0" w:line="165"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due to normal aging or due to environmental factors.</w:t>
      </w: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33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7033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table below illustrates four broad categories of heart disease:</w:t>
      </w:r>
    </w:p>
    <w:p>
      <w:pPr>
        <w:spacing w:after="0" w:line="244" w:lineRule="exact"/>
        <w:rPr>
          <w:sz w:val="20"/>
          <w:szCs w:val="20"/>
          <w:color w:val="auto"/>
        </w:rPr>
      </w:pPr>
    </w:p>
    <w:p>
      <w:pPr>
        <w:ind w:left="1700"/>
        <w:spacing w:after="0"/>
        <w:tabs>
          <w:tab w:leader="none" w:pos="7080" w:val="left"/>
        </w:tabs>
        <w:rPr>
          <w:sz w:val="20"/>
          <w:szCs w:val="20"/>
          <w:color w:val="auto"/>
        </w:rPr>
      </w:pPr>
      <w:r>
        <w:rPr>
          <w:rFonts w:ascii="Arial" w:cs="Arial" w:eastAsia="Arial" w:hAnsi="Arial"/>
          <w:sz w:val="14"/>
          <w:szCs w:val="14"/>
          <w:b w:val="1"/>
          <w:bCs w:val="1"/>
          <w:u w:val="single" w:color="auto"/>
          <w:color w:val="auto"/>
        </w:rPr>
        <w:t>CATEGORIES</w:t>
      </w:r>
      <w:r>
        <w:rPr>
          <w:sz w:val="20"/>
          <w:szCs w:val="20"/>
          <w:color w:val="auto"/>
        </w:rPr>
        <w:tab/>
      </w:r>
      <w:r>
        <w:rPr>
          <w:rFonts w:ascii="Arial" w:cs="Arial" w:eastAsia="Arial" w:hAnsi="Arial"/>
          <w:sz w:val="14"/>
          <w:szCs w:val="14"/>
          <w:b w:val="1"/>
          <w:bCs w:val="1"/>
          <w:color w:val="auto"/>
        </w:rPr>
        <w:t>DESCRIPTION</w:t>
      </w:r>
    </w:p>
    <w:p>
      <w:pPr>
        <w:spacing w:after="0" w:line="347" w:lineRule="exact"/>
        <w:rPr>
          <w:sz w:val="20"/>
          <w:szCs w:val="20"/>
          <w:color w:val="auto"/>
        </w:rPr>
      </w:pPr>
    </w:p>
    <w:p>
      <w:pPr>
        <w:ind w:left="4240" w:right="240"/>
        <w:spacing w:after="0" w:line="255" w:lineRule="auto"/>
        <w:rPr>
          <w:sz w:val="20"/>
          <w:szCs w:val="20"/>
          <w:color w:val="auto"/>
        </w:rPr>
      </w:pPr>
      <w:r>
        <w:rPr>
          <w:rFonts w:ascii="Arial" w:cs="Arial" w:eastAsia="Arial" w:hAnsi="Arial"/>
          <w:sz w:val="18"/>
          <w:szCs w:val="18"/>
          <w:color w:val="auto"/>
        </w:rPr>
        <w:t>HF is a heart condition in which the heart’s pumping capacity is not adequate to meet the demands for blood and oxygen required by the rest of the body. HF can be the result of a range of conditions that lead to weakening of the heart muscle. Conditions that can be associated with the development of HF include a heart attack, uncontrolled high blood pressure, congenital heart disease (heart defects present at birth), and genetic cardiomyopathies.</w:t>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Heart Failure (HF)</w:t>
      </w:r>
    </w:p>
    <w:p>
      <w:pPr>
        <w:spacing w:after="0" w:line="200" w:lineRule="exact"/>
        <w:rPr>
          <w:sz w:val="20"/>
          <w:szCs w:val="20"/>
          <w:color w:val="auto"/>
        </w:rPr>
      </w:pPr>
    </w:p>
    <w:p>
      <w:pPr>
        <w:spacing w:after="0" w:line="268" w:lineRule="exact"/>
        <w:rPr>
          <w:sz w:val="20"/>
          <w:szCs w:val="20"/>
          <w:color w:val="auto"/>
        </w:rPr>
      </w:pPr>
    </w:p>
    <w:p>
      <w:pPr>
        <w:ind w:left="4240" w:right="20"/>
        <w:spacing w:after="0" w:line="253" w:lineRule="auto"/>
        <w:rPr>
          <w:sz w:val="20"/>
          <w:szCs w:val="20"/>
          <w:color w:val="auto"/>
        </w:rPr>
      </w:pPr>
      <w:r>
        <w:rPr>
          <w:rFonts w:ascii="Arial" w:cs="Arial" w:eastAsia="Arial" w:hAnsi="Arial"/>
          <w:sz w:val="18"/>
          <w:szCs w:val="18"/>
          <w:color w:val="auto"/>
        </w:rPr>
        <w:t>Arrhythmia is one of the most common heart conditions and is described as any change in the heart’s normal electrical impulses. Electrical impulses from within the heart initiate each heartbeat and ensure its normal pumping function. Arrhythmias can cause the heart to beat too quickly, too slowly or irregularly, resulting in a broad range of symptoms as well as sudden death and stroke.</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Arrhythmia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4240" w:right="60"/>
        <w:spacing w:after="0" w:line="263" w:lineRule="auto"/>
        <w:rPr>
          <w:sz w:val="20"/>
          <w:szCs w:val="20"/>
          <w:color w:val="auto"/>
        </w:rPr>
      </w:pPr>
      <w:r>
        <w:rPr>
          <w:rFonts w:ascii="Arial" w:cs="Arial" w:eastAsia="Arial" w:hAnsi="Arial"/>
          <w:sz w:val="18"/>
          <w:szCs w:val="18"/>
          <w:color w:val="auto"/>
        </w:rPr>
        <w:t>Heart value disease occurs when there is a problem with one or more of the four valves that normally work in unison to make sure that blood is pumped in the proper direction through the four chambers of the heart.</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Heart Valve Disease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40"/>
        <w:spacing w:after="0" w:line="263" w:lineRule="auto"/>
        <w:rPr>
          <w:sz w:val="20"/>
          <w:szCs w:val="20"/>
          <w:color w:val="auto"/>
        </w:rPr>
      </w:pPr>
      <w:r>
        <w:rPr>
          <w:rFonts w:ascii="Arial" w:cs="Arial" w:eastAsia="Arial" w:hAnsi="Arial"/>
          <w:sz w:val="18"/>
          <w:szCs w:val="18"/>
          <w:color w:val="auto"/>
        </w:rPr>
        <w:t>CAD is among the most common type of heart disease and occurs when plaque grows in the walls of the coronary arteries, limiting the blood flow to the heart’s muscle. CAD can ultimately lead to a heart attack.</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Coronary Artery Disease (CAD)</w:t>
      </w:r>
    </w:p>
    <w:p>
      <w:pPr>
        <w:spacing w:after="0" w:line="34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Current Challenges in the Development of Novel Therapies for Heart Disease</w:t>
      </w:r>
    </w:p>
    <w:p>
      <w:pPr>
        <w:spacing w:after="0" w:line="117" w:lineRule="exact"/>
        <w:rPr>
          <w:sz w:val="20"/>
          <w:szCs w:val="20"/>
          <w:color w:val="auto"/>
        </w:rPr>
      </w:pPr>
    </w:p>
    <w:p>
      <w:pPr>
        <w:ind w:left="300" w:right="160" w:firstLine="426"/>
        <w:spacing w:after="0" w:line="277" w:lineRule="auto"/>
        <w:rPr>
          <w:sz w:val="20"/>
          <w:szCs w:val="20"/>
          <w:color w:val="auto"/>
        </w:rPr>
      </w:pPr>
      <w:r>
        <w:rPr>
          <w:rFonts w:ascii="Arial" w:cs="Arial" w:eastAsia="Arial" w:hAnsi="Arial"/>
          <w:sz w:val="18"/>
          <w:szCs w:val="18"/>
          <w:color w:val="auto"/>
        </w:rPr>
        <w:t>While there is clearly significant unmet need in the field of heart disease, historically there have been many challenges in developing novel therapies for the different forms of heart disease. These challenges include, but are not limited to:</w:t>
      </w:r>
    </w:p>
    <w:p>
      <w:pPr>
        <w:spacing w:after="0" w:line="76" w:lineRule="exact"/>
        <w:rPr>
          <w:sz w:val="20"/>
          <w:szCs w:val="20"/>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Most development efforts focus on treating symptoms rather than targeting the underlying causes of diseases;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new disease-modifying targets is challenging;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Genetic diagnosis and genetic counseling are limited;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Regenerative therapy science is still in its early stages;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 therapy science for the heart is still maturing;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7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8707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requirements are stringent;</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development are high;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 access barriers are challenging.</w:t>
      </w:r>
    </w:p>
    <w:p>
      <w:pPr>
        <w:spacing w:after="0" w:line="225"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These factors have contributed to a decline in successful heart disease drug development. However, there are recent signs of improvement, notably due to the improving rate of genetic testing, potentially from more education by physicians and patient advocacy groups, as well as increased availability of free genetic testing covering more than 150 relevant genes associated with inherited arrhythmia and cardiomyopathy conditions. We believe with the evolving understanding of heart disease in the scientific community and general public, there are significant opportunities where we can benefit from and support the evolution towards more precise diagnosis, drug development, and treatment for heart disease, as depicted in the diagram below.</w:t>
      </w:r>
    </w:p>
    <w:p>
      <w:pPr>
        <w:spacing w:after="0" w:line="18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The Evolving Landscape of Heart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scientific advancements to discover, develop, manufacture and ultimately commercialize a deep and diverse pipeline of novel therapies. The key components of our strategy to achieve these goals are:</w:t>
      </w:r>
    </w:p>
    <w:p>
      <w:pPr>
        <w:spacing w:after="0" w:line="92" w:lineRule="exact"/>
        <w:rPr>
          <w:sz w:val="20"/>
          <w:szCs w:val="20"/>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disease-modifying and potentially curative therapies;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 exclusively on heart disease;</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Discover novel therapies using three product platforms in parallel;</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Target defined sub-populations of patients most likely to respond to our therapies;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a deep and diverse pipeline of therapies;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Internalize and integrate core capabilities to support our innovation;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Become a fully integrated biopharmaceutical company with commercial capabilities.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320" w:top="459"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History and Team</w:t>
      </w:r>
    </w:p>
    <w:p>
      <w:pPr>
        <w:spacing w:after="0" w:line="117"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We were incorporated in August 2016 by The Column Group, in partnership with leading scientific and clinical researchers in cardiovascular genetics and muscle biology at the Gladstone Institutes and UTSW. Since our founding, we have attracted a talented group of industry experts and scientists as part of a highly innovative organization of over 75 employees.</w:t>
      </w:r>
    </w:p>
    <w:p>
      <w:pPr>
        <w:spacing w:after="0" w:line="184"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We are led by a team of executives and directors with significant experience in the discovery, development, manufacture, and commercialization of novel therapeutics, specifically in the fields of rare diseases, gene therapies, and heart disease. Faraz Ali,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57"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Since inception, we have raised approximately $248 million in equity financing from leading venture, strategic and public investors, including The Column Group, Casdin Capital, SymBiosis II, LLC, Fidelity Management &amp; Research Company, RTW Investments, RA Capital Management, funds and accounts advised by T. Rowe Price Associates, GV and others who share our vision to build a highly innovative, integrated biotechnology company delivering next-generation therapies that address the underlying causes of heart disease.</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00" w:right="420" w:firstLine="426"/>
        <w:spacing w:after="0" w:line="263"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89" w:lineRule="exact"/>
        <w:rPr>
          <w:sz w:val="20"/>
          <w:szCs w:val="20"/>
          <w:color w:val="auto"/>
        </w:rPr>
      </w:pPr>
    </w:p>
    <w:p>
      <w:pPr>
        <w:ind w:left="1240" w:right="160" w:hanging="523"/>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89" w:lineRule="exact"/>
        <w:rPr>
          <w:rFonts w:ascii="Arial" w:cs="Arial" w:eastAsia="Arial" w:hAnsi="Arial"/>
          <w:sz w:val="18"/>
          <w:szCs w:val="18"/>
          <w:color w:val="auto"/>
        </w:rPr>
      </w:pPr>
    </w:p>
    <w:p>
      <w:pPr>
        <w:ind w:left="1240" w:right="10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not generated any product revenue to date, have incurred significant net losses since our inception, and expect to continue to incur significant net losses for the foreseeable future.</w:t>
      </w:r>
    </w:p>
    <w:p>
      <w:pPr>
        <w:spacing w:after="0" w:line="75" w:lineRule="exact"/>
        <w:rPr>
          <w:rFonts w:ascii="Arial" w:cs="Arial" w:eastAsia="Arial" w:hAnsi="Arial"/>
          <w:sz w:val="18"/>
          <w:szCs w:val="18"/>
          <w:color w:val="auto"/>
        </w:rPr>
      </w:pPr>
    </w:p>
    <w:p>
      <w:pPr>
        <w:ind w:left="1240" w:right="18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75" w:lineRule="exact"/>
        <w:rPr>
          <w:rFonts w:ascii="Arial" w:cs="Arial" w:eastAsia="Arial" w:hAnsi="Arial"/>
          <w:sz w:val="18"/>
          <w:szCs w:val="18"/>
          <w:color w:val="auto"/>
        </w:rPr>
      </w:pPr>
    </w:p>
    <w:p>
      <w:pPr>
        <w:ind w:left="1240" w:right="40" w:hanging="523"/>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9"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operations and financial results could be adversely impacted by the COVID-19 pandemic in the United States and the rest of the world.</w:t>
      </w:r>
    </w:p>
    <w:p>
      <w:pPr>
        <w:spacing w:after="0" w:line="75" w:lineRule="exact"/>
        <w:rPr>
          <w:rFonts w:ascii="Arial" w:cs="Arial" w:eastAsia="Arial" w:hAnsi="Arial"/>
          <w:sz w:val="18"/>
          <w:szCs w:val="18"/>
          <w:color w:val="auto"/>
        </w:rPr>
      </w:pPr>
    </w:p>
    <w:p>
      <w:pPr>
        <w:ind w:left="1240" w:right="500" w:hanging="523"/>
        <w:spacing w:after="0" w:line="311"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54" w:lineRule="exact"/>
        <w:rPr>
          <w:rFonts w:ascii="Arial" w:cs="Arial" w:eastAsia="Arial" w:hAnsi="Arial"/>
          <w:sz w:val="16"/>
          <w:szCs w:val="16"/>
          <w:color w:val="auto"/>
        </w:rPr>
      </w:pPr>
    </w:p>
    <w:p>
      <w:pPr>
        <w:ind w:left="1240" w:right="20" w:hanging="523"/>
        <w:spacing w:after="0" w:line="311"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mechanisms of action of our product candidates are unproven, and we do not know whether we will be able to develop any drug of commercial value.</w:t>
      </w:r>
    </w:p>
    <w:p>
      <w:pPr>
        <w:spacing w:after="0" w:line="75" w:lineRule="exact"/>
        <w:rPr>
          <w:rFonts w:ascii="Arial" w:cs="Arial" w:eastAsia="Arial" w:hAnsi="Arial"/>
          <w:sz w:val="18"/>
          <w:szCs w:val="18"/>
          <w:color w:val="auto"/>
        </w:rPr>
      </w:pPr>
    </w:p>
    <w:p>
      <w:pPr>
        <w:ind w:left="1240" w:hanging="523"/>
        <w:spacing w:after="0" w:line="25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93" w:lineRule="exact"/>
        <w:rPr>
          <w:rFonts w:ascii="Arial" w:cs="Arial" w:eastAsia="Arial" w:hAnsi="Arial"/>
          <w:sz w:val="18"/>
          <w:szCs w:val="18"/>
          <w:color w:val="auto"/>
        </w:rPr>
      </w:pPr>
    </w:p>
    <w:p>
      <w:pPr>
        <w:ind w:left="1240" w:hanging="523"/>
        <w:spacing w:after="0" w:line="286"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0" w:lineRule="exact"/>
        <w:rPr>
          <w:rFonts w:ascii="Arial" w:cs="Arial" w:eastAsia="Arial" w:hAnsi="Arial"/>
          <w:sz w:val="17"/>
          <w:szCs w:val="17"/>
          <w:color w:val="auto"/>
        </w:rPr>
      </w:pPr>
    </w:p>
    <w:p>
      <w:pPr>
        <w:ind w:left="1240" w:hanging="523"/>
        <w:spacing w:after="0" w:line="259"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2" w:lineRule="exact"/>
        <w:rPr>
          <w:rFonts w:ascii="Arial" w:cs="Arial" w:eastAsia="Arial" w:hAnsi="Arial"/>
          <w:sz w:val="18"/>
          <w:szCs w:val="18"/>
          <w:color w:val="auto"/>
        </w:rPr>
      </w:pPr>
    </w:p>
    <w:p>
      <w:pPr>
        <w:ind w:left="1240" w:right="12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89" w:lineRule="exact"/>
        <w:rPr>
          <w:rFonts w:ascii="Arial" w:cs="Arial" w:eastAsia="Arial" w:hAnsi="Arial"/>
          <w:sz w:val="18"/>
          <w:szCs w:val="18"/>
          <w:color w:val="auto"/>
        </w:rPr>
      </w:pPr>
    </w:p>
    <w:p>
      <w:pPr>
        <w:jc w:val="both"/>
        <w:ind w:left="1240" w:right="2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9" w:lineRule="exact"/>
        <w:rPr>
          <w:rFonts w:ascii="Arial" w:cs="Arial" w:eastAsia="Arial" w:hAnsi="Arial"/>
          <w:sz w:val="18"/>
          <w:szCs w:val="18"/>
          <w:color w:val="auto"/>
        </w:rPr>
      </w:pPr>
    </w:p>
    <w:p>
      <w:pPr>
        <w:ind w:left="1240" w:right="200" w:hanging="523"/>
        <w:spacing w:after="0" w:line="30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in-licensed one issued patent, but we do not currently own any issued patents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2" w:lineRule="exact"/>
        <w:rPr>
          <w:rFonts w:ascii="Arial" w:cs="Arial" w:eastAsia="Arial" w:hAnsi="Arial"/>
          <w:sz w:val="16"/>
          <w:szCs w:val="16"/>
          <w:color w:val="auto"/>
        </w:rPr>
      </w:pPr>
    </w:p>
    <w:p>
      <w:pPr>
        <w:ind w:left="1240" w:right="20" w:hanging="523"/>
        <w:spacing w:after="0" w:line="30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62" w:lineRule="exact"/>
        <w:rPr>
          <w:rFonts w:ascii="Arial" w:cs="Arial" w:eastAsia="Arial" w:hAnsi="Arial"/>
          <w:sz w:val="16"/>
          <w:szCs w:val="16"/>
          <w:color w:val="auto"/>
        </w:rPr>
      </w:pPr>
    </w:p>
    <w:p>
      <w:pPr>
        <w:ind w:left="1240" w:right="14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We were incorporated in Delaware in August 2016. Our principal executive offices are located at 171 Oyster Point Boulevard, 5th Floor, South San Francisco, CA 94080. Our telephone number is (650) 825-6990.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0"/>
        <w:spacing w:after="0" w:line="263" w:lineRule="auto"/>
        <w:rPr>
          <w:sz w:val="20"/>
          <w:szCs w:val="20"/>
          <w:color w:val="auto"/>
        </w:rPr>
      </w:pPr>
      <w:r>
        <w:rPr>
          <w:rFonts w:ascii="Arial" w:cs="Arial" w:eastAsia="Arial" w:hAnsi="Arial"/>
          <w:sz w:val="18"/>
          <w:szCs w:val="18"/>
          <w:color w:val="auto"/>
        </w:rPr>
        <w:t>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We use the Tenaya logo and other marks as unregistered trademarks in the United States and certain other countries. This prospectus contains references to our trademarks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owner of these trademarks and trade names. We do not intend our use or display of other entities’ trade names or trademarks to imply a relationship with, or endorsement or sponsorship of us by, any other entity.</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U.S.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020" w:type="dxa"/>
            <w:vAlign w:val="bottom"/>
            <w:gridSpan w:val="2"/>
          </w:tcPr>
          <w:p>
            <w:pPr>
              <w:spacing w:after="0"/>
              <w:rPr>
                <w:sz w:val="20"/>
                <w:szCs w:val="20"/>
                <w:color w:val="auto"/>
              </w:rPr>
            </w:pPr>
            <w:r>
              <w:rPr>
                <w:rFonts w:ascii="Arial" w:cs="Arial" w:eastAsia="Arial" w:hAnsi="Arial"/>
                <w:sz w:val="18"/>
                <w:szCs w:val="18"/>
                <w:color w:val="auto"/>
              </w:rPr>
              <w:t>Common stock offered by us</w:t>
            </w:r>
          </w:p>
        </w:tc>
        <w:tc>
          <w:tcPr>
            <w:tcW w:w="38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shares.</w:t>
            </w:r>
          </w:p>
        </w:tc>
        <w:tc>
          <w:tcPr>
            <w:tcW w:w="5100" w:type="dxa"/>
            <w:vAlign w:val="bottom"/>
          </w:tcPr>
          <w:p>
            <w:pPr>
              <w:spacing w:after="0"/>
              <w:rPr>
                <w:sz w:val="24"/>
                <w:szCs w:val="24"/>
                <w:color w:val="auto"/>
              </w:rPr>
            </w:pPr>
          </w:p>
        </w:tc>
      </w:tr>
      <w:tr>
        <w:trPr>
          <w:trHeight w:val="296"/>
        </w:trPr>
        <w:tc>
          <w:tcPr>
            <w:tcW w:w="4020" w:type="dxa"/>
            <w:vAlign w:val="bottom"/>
            <w:gridSpan w:val="2"/>
          </w:tcPr>
          <w:p>
            <w:pPr>
              <w:spacing w:after="0"/>
              <w:rPr>
                <w:sz w:val="20"/>
                <w:szCs w:val="20"/>
                <w:color w:val="auto"/>
              </w:rPr>
            </w:pPr>
            <w:r>
              <w:rPr>
                <w:rFonts w:ascii="Arial" w:cs="Arial" w:eastAsia="Arial" w:hAnsi="Arial"/>
                <w:sz w:val="18"/>
                <w:szCs w:val="18"/>
                <w:color w:val="auto"/>
              </w:rPr>
              <w:t>Option to purchase additional shares</w:t>
            </w: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9"/>
              </w:rPr>
              <w:t>We have granted the underwriters an option for a period of 30 days to purchase up</w:t>
            </w:r>
          </w:p>
        </w:tc>
      </w:tr>
      <w:tr>
        <w:trPr>
          <w:trHeight w:val="230"/>
        </w:trPr>
        <w:tc>
          <w:tcPr>
            <w:tcW w:w="1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to</w:t>
            </w: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additional shares of our common stock.</w:t>
            </w:r>
          </w:p>
        </w:tc>
      </w:tr>
      <w:tr>
        <w:trPr>
          <w:trHeight w:val="283"/>
        </w:trPr>
        <w:tc>
          <w:tcPr>
            <w:tcW w:w="4020" w:type="dxa"/>
            <w:vAlign w:val="bottom"/>
            <w:gridSpan w:val="2"/>
          </w:tcPr>
          <w:p>
            <w:pPr>
              <w:spacing w:after="0"/>
              <w:rPr>
                <w:sz w:val="20"/>
                <w:szCs w:val="20"/>
                <w:color w:val="auto"/>
              </w:rPr>
            </w:pPr>
            <w:r>
              <w:rPr>
                <w:rFonts w:ascii="Arial" w:cs="Arial" w:eastAsia="Arial" w:hAnsi="Arial"/>
                <w:sz w:val="18"/>
                <w:szCs w:val="18"/>
                <w:color w:val="auto"/>
                <w:w w:val="91"/>
              </w:rPr>
              <w:t>Common stock to be outstanding immediately after this</w:t>
            </w:r>
          </w:p>
        </w:tc>
        <w:tc>
          <w:tcPr>
            <w:tcW w:w="380" w:type="dxa"/>
            <w:vAlign w:val="bottom"/>
          </w:tcPr>
          <w:p>
            <w:pPr>
              <w:spacing w:after="0"/>
              <w:rPr>
                <w:sz w:val="24"/>
                <w:szCs w:val="24"/>
                <w:color w:val="auto"/>
              </w:rPr>
            </w:pPr>
          </w:p>
        </w:tc>
        <w:tc>
          <w:tcPr>
            <w:tcW w:w="1100" w:type="dxa"/>
            <w:vAlign w:val="bottom"/>
          </w:tcPr>
          <w:p>
            <w:pPr>
              <w:ind w:left="400"/>
              <w:spacing w:after="0"/>
              <w:rPr>
                <w:sz w:val="20"/>
                <w:szCs w:val="20"/>
                <w:color w:val="auto"/>
              </w:rPr>
            </w:pPr>
            <w:r>
              <w:rPr>
                <w:rFonts w:ascii="Arial" w:cs="Arial" w:eastAsia="Arial" w:hAnsi="Arial"/>
                <w:sz w:val="18"/>
                <w:szCs w:val="18"/>
                <w:color w:val="auto"/>
                <w:w w:val="83"/>
              </w:rPr>
              <w:t>shares (or</w:t>
            </w:r>
          </w:p>
        </w:tc>
        <w:tc>
          <w:tcPr>
            <w:tcW w:w="5100" w:type="dxa"/>
            <w:vAlign w:val="bottom"/>
          </w:tcPr>
          <w:p>
            <w:pPr>
              <w:ind w:left="820"/>
              <w:spacing w:after="0"/>
              <w:rPr>
                <w:sz w:val="20"/>
                <w:szCs w:val="20"/>
                <w:color w:val="auto"/>
              </w:rPr>
            </w:pPr>
            <w:r>
              <w:rPr>
                <w:rFonts w:ascii="Arial" w:cs="Arial" w:eastAsia="Arial" w:hAnsi="Arial"/>
                <w:sz w:val="18"/>
                <w:szCs w:val="18"/>
                <w:color w:val="auto"/>
                <w:w w:val="97"/>
              </w:rPr>
              <w:t>shares if the underwriters exercise in full their option to</w:t>
            </w:r>
          </w:p>
        </w:tc>
      </w:tr>
      <w:tr>
        <w:trPr>
          <w:trHeight w:val="230"/>
        </w:trPr>
        <w:tc>
          <w:tcPr>
            <w:tcW w:w="1300" w:type="dxa"/>
            <w:vAlign w:val="bottom"/>
          </w:tcPr>
          <w:p>
            <w:pPr>
              <w:ind w:left="80"/>
              <w:spacing w:after="0"/>
              <w:rPr>
                <w:sz w:val="20"/>
                <w:szCs w:val="20"/>
                <w:color w:val="auto"/>
              </w:rPr>
            </w:pPr>
            <w:r>
              <w:rPr>
                <w:rFonts w:ascii="Arial" w:cs="Arial" w:eastAsia="Arial" w:hAnsi="Arial"/>
                <w:sz w:val="18"/>
                <w:szCs w:val="18"/>
                <w:color w:val="auto"/>
              </w:rPr>
              <w:t>offering</w:t>
            </w:r>
          </w:p>
        </w:tc>
        <w:tc>
          <w:tcPr>
            <w:tcW w:w="2720" w:type="dxa"/>
            <w:vAlign w:val="bottom"/>
          </w:tcPr>
          <w:p>
            <w:pPr>
              <w:spacing w:after="0"/>
              <w:rPr>
                <w:sz w:val="20"/>
                <w:szCs w:val="20"/>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purchase additional shares).</w:t>
            </w:r>
          </w:p>
        </w:tc>
      </w:tr>
      <w:tr>
        <w:trPr>
          <w:trHeight w:val="296"/>
        </w:trPr>
        <w:tc>
          <w:tcPr>
            <w:tcW w:w="1300" w:type="dxa"/>
            <w:vAlign w:val="bottom"/>
          </w:tcPr>
          <w:p>
            <w:pPr>
              <w:spacing w:after="0"/>
              <w:rPr>
                <w:sz w:val="20"/>
                <w:szCs w:val="20"/>
                <w:color w:val="auto"/>
              </w:rPr>
            </w:pPr>
            <w:r>
              <w:rPr>
                <w:rFonts w:ascii="Arial" w:cs="Arial" w:eastAsia="Arial" w:hAnsi="Arial"/>
                <w:sz w:val="18"/>
                <w:szCs w:val="18"/>
                <w:color w:val="auto"/>
                <w:w w:val="97"/>
              </w:rPr>
              <w:t>Use of proceeds</w:t>
            </w:r>
          </w:p>
        </w:tc>
        <w:tc>
          <w:tcPr>
            <w:tcW w:w="2720" w:type="dxa"/>
            <w:vAlign w:val="bottom"/>
          </w:tcPr>
          <w:p>
            <w:pPr>
              <w:spacing w:after="0"/>
              <w:rPr>
                <w:sz w:val="24"/>
                <w:szCs w:val="24"/>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We estimate that the net proceeds from this offering will be approximately $</w:t>
            </w:r>
          </w:p>
        </w:tc>
      </w:tr>
      <w:tr>
        <w:trPr>
          <w:trHeight w:val="216"/>
        </w:trPr>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million, or $</w:t>
            </w:r>
          </w:p>
        </w:tc>
        <w:tc>
          <w:tcPr>
            <w:tcW w:w="5100" w:type="dxa"/>
            <w:vAlign w:val="bottom"/>
          </w:tcPr>
          <w:p>
            <w:pPr>
              <w:ind w:left="20"/>
              <w:spacing w:after="0"/>
              <w:rPr>
                <w:sz w:val="20"/>
                <w:szCs w:val="20"/>
                <w:color w:val="auto"/>
              </w:rPr>
            </w:pPr>
            <w:r>
              <w:rPr>
                <w:rFonts w:ascii="Arial" w:cs="Arial" w:eastAsia="Arial" w:hAnsi="Arial"/>
                <w:sz w:val="18"/>
                <w:szCs w:val="18"/>
                <w:color w:val="auto"/>
                <w:w w:val="98"/>
              </w:rPr>
              <w:t>million if the underwriters exercise in full their option to purchase</w:t>
            </w:r>
          </w:p>
        </w:tc>
      </w:tr>
      <w:tr>
        <w:trPr>
          <w:trHeight w:val="216"/>
        </w:trPr>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additional shares of common stock, assuming an initial public offering price of $</w:t>
            </w:r>
          </w:p>
        </w:tc>
      </w:tr>
      <w:tr>
        <w:trPr>
          <w:trHeight w:val="216"/>
        </w:trPr>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7"/>
              </w:rPr>
              <w:t>per share, which is the midpoint of the price range set forth on the cover page of this</w:t>
            </w:r>
          </w:p>
        </w:tc>
      </w:tr>
      <w:tr>
        <w:trPr>
          <w:trHeight w:val="216"/>
        </w:trPr>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89"/>
              </w:rPr>
              <w:t>prospectus, and after deducting the underwriting discounts and commissions and estimated</w:t>
            </w:r>
          </w:p>
        </w:tc>
      </w:tr>
      <w:tr>
        <w:trPr>
          <w:trHeight w:val="230"/>
        </w:trPr>
        <w:tc>
          <w:tcPr>
            <w:tcW w:w="1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offering expenses payable by us.</w:t>
            </w:r>
          </w:p>
        </w:tc>
      </w:tr>
      <w:tr>
        <w:trPr>
          <w:trHeight w:val="283"/>
        </w:trPr>
        <w:tc>
          <w:tcPr>
            <w:tcW w:w="1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3"/>
              </w:rPr>
              <w:t>We currently intend to use the net proceeds from this offering, together with our existing</w:t>
            </w:r>
          </w:p>
        </w:tc>
      </w:tr>
      <w:tr>
        <w:trPr>
          <w:trHeight w:val="216"/>
        </w:trPr>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9"/>
              </w:rPr>
              <w:t>cash and cash equivalents, to fund our ongoing and planned preclinical and clinical</w:t>
            </w:r>
          </w:p>
        </w:tc>
      </w:tr>
      <w:tr>
        <w:trPr>
          <w:trHeight w:val="216"/>
        </w:trPr>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5"/>
              </w:rPr>
              <w:t>development of our most advanced product candidates in our MYBPC3 Gene Therapy</w:t>
            </w:r>
          </w:p>
        </w:tc>
      </w:tr>
      <w:tr>
        <w:trPr>
          <w:trHeight w:val="216"/>
        </w:trPr>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8"/>
              </w:rPr>
              <w:t>program and HDAC6i programs, the continued development of our other programs,</w:t>
            </w:r>
          </w:p>
        </w:tc>
      </w:tr>
      <w:tr>
        <w:trPr>
          <w:trHeight w:val="216"/>
        </w:trPr>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1"/>
              </w:rPr>
              <w:t>including our DWORF and Reprogramming programs, the expansion of our manufacturing</w:t>
            </w:r>
          </w:p>
        </w:tc>
      </w:tr>
      <w:tr>
        <w:trPr>
          <w:trHeight w:val="216"/>
        </w:trPr>
        <w:tc>
          <w:tcPr>
            <w:tcW w:w="1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3"/>
              </w:rPr>
              <w:t>capabilities and facilities and the remainder, if any, for working capital and other general</w:t>
            </w:r>
          </w:p>
        </w:tc>
      </w:tr>
      <w:tr>
        <w:trPr>
          <w:trHeight w:val="230"/>
        </w:trPr>
        <w:tc>
          <w:tcPr>
            <w:tcW w:w="1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corporate purposes. See the section titled “Use of Proceeds.”</w:t>
            </w:r>
          </w:p>
        </w:tc>
      </w:tr>
      <w:tr>
        <w:trPr>
          <w:trHeight w:val="283"/>
        </w:trPr>
        <w:tc>
          <w:tcPr>
            <w:tcW w:w="1300" w:type="dxa"/>
            <w:vAlign w:val="bottom"/>
          </w:tcPr>
          <w:p>
            <w:pPr>
              <w:spacing w:after="0"/>
              <w:rPr>
                <w:sz w:val="20"/>
                <w:szCs w:val="20"/>
                <w:color w:val="auto"/>
              </w:rPr>
            </w:pPr>
            <w:r>
              <w:rPr>
                <w:rFonts w:ascii="Arial" w:cs="Arial" w:eastAsia="Arial" w:hAnsi="Arial"/>
                <w:sz w:val="18"/>
                <w:szCs w:val="18"/>
                <w:color w:val="auto"/>
              </w:rPr>
              <w:t>Risk factors</w:t>
            </w:r>
          </w:p>
        </w:tc>
        <w:tc>
          <w:tcPr>
            <w:tcW w:w="2720" w:type="dxa"/>
            <w:vAlign w:val="bottom"/>
          </w:tcPr>
          <w:p>
            <w:pPr>
              <w:spacing w:after="0"/>
              <w:rPr>
                <w:sz w:val="24"/>
                <w:szCs w:val="24"/>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w w:val="94"/>
              </w:rPr>
              <w:t>See the section titled “Risk Factors” for a discussion of factors that you should carefully</w:t>
            </w:r>
          </w:p>
        </w:tc>
      </w:tr>
      <w:tr>
        <w:trPr>
          <w:trHeight w:val="230"/>
        </w:trPr>
        <w:tc>
          <w:tcPr>
            <w:tcW w:w="1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580" w:type="dxa"/>
            <w:vAlign w:val="bottom"/>
            <w:gridSpan w:val="3"/>
          </w:tcPr>
          <w:p>
            <w:pPr>
              <w:ind w:left="20"/>
              <w:spacing w:after="0"/>
              <w:rPr>
                <w:sz w:val="20"/>
                <w:szCs w:val="20"/>
                <w:color w:val="auto"/>
              </w:rPr>
            </w:pPr>
            <w:r>
              <w:rPr>
                <w:rFonts w:ascii="Arial" w:cs="Arial" w:eastAsia="Arial" w:hAnsi="Arial"/>
                <w:sz w:val="18"/>
                <w:szCs w:val="18"/>
                <w:color w:val="auto"/>
              </w:rPr>
              <w:t>consider before deciding to invest in shares of our common stock.</w:t>
            </w:r>
          </w:p>
        </w:tc>
      </w:tr>
      <w:tr>
        <w:trPr>
          <w:trHeight w:val="297"/>
        </w:trPr>
        <w:tc>
          <w:tcPr>
            <w:tcW w:w="1300" w:type="dxa"/>
            <w:vAlign w:val="bottom"/>
          </w:tcPr>
          <w:p>
            <w:pPr>
              <w:spacing w:after="0"/>
              <w:rPr>
                <w:sz w:val="20"/>
                <w:szCs w:val="20"/>
                <w:color w:val="auto"/>
              </w:rPr>
            </w:pPr>
            <w:r>
              <w:rPr>
                <w:rFonts w:ascii="Arial" w:cs="Arial" w:eastAsia="Arial" w:hAnsi="Arial"/>
                <w:sz w:val="18"/>
                <w:szCs w:val="18"/>
                <w:color w:val="auto"/>
              </w:rPr>
              <w:t>Proposed</w:t>
            </w:r>
          </w:p>
        </w:tc>
        <w:tc>
          <w:tcPr>
            <w:tcW w:w="2720" w:type="dxa"/>
            <w:vAlign w:val="bottom"/>
          </w:tcPr>
          <w:p>
            <w:pPr>
              <w:ind w:left="140"/>
              <w:spacing w:after="0"/>
              <w:rPr>
                <w:sz w:val="20"/>
                <w:szCs w:val="20"/>
                <w:color w:val="auto"/>
              </w:rPr>
            </w:pPr>
            <w:r>
              <w:rPr>
                <w:rFonts w:ascii="Arial" w:cs="Arial" w:eastAsia="Arial" w:hAnsi="Arial"/>
                <w:sz w:val="18"/>
                <w:szCs w:val="18"/>
                <w:color w:val="auto"/>
              </w:rPr>
              <w:t>trading symbol</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“TNYA”</w:t>
            </w:r>
          </w:p>
        </w:tc>
        <w:tc>
          <w:tcPr>
            <w:tcW w:w="5100" w:type="dxa"/>
            <w:vAlign w:val="bottom"/>
          </w:tcPr>
          <w:p>
            <w:pPr>
              <w:spacing w:after="0"/>
              <w:rPr>
                <w:sz w:val="24"/>
                <w:szCs w:val="24"/>
                <w:color w:val="auto"/>
              </w:rPr>
            </w:pPr>
          </w:p>
        </w:tc>
      </w:tr>
    </w:tbl>
    <w:p>
      <w:pPr>
        <w:spacing w:after="0" w:line="215" w:lineRule="exact"/>
        <w:rPr>
          <w:sz w:val="20"/>
          <w:szCs w:val="20"/>
          <w:color w:val="auto"/>
        </w:rPr>
      </w:pPr>
    </w:p>
    <w:p>
      <w:pPr>
        <w:ind w:left="300" w:right="620" w:firstLine="426"/>
        <w:spacing w:after="0" w:line="342" w:lineRule="auto"/>
        <w:rPr>
          <w:sz w:val="20"/>
          <w:szCs w:val="20"/>
          <w:color w:val="auto"/>
        </w:rPr>
      </w:pPr>
      <w:r>
        <w:rPr>
          <w:rFonts w:ascii="Arial" w:cs="Arial" w:eastAsia="Arial" w:hAnsi="Arial"/>
          <w:sz w:val="16"/>
          <w:szCs w:val="16"/>
          <w:color w:val="auto"/>
        </w:rPr>
        <w:t>The number of shares of our common stock to be outstanding after this offering is based on 154,223,285 shares of our common stock outstanding as of December 31, 2020 (including our convertible preferred stock on an as-converted basis), and excludes:</w:t>
      </w:r>
    </w:p>
    <w:p>
      <w:pPr>
        <w:spacing w:after="0" w:line="29" w:lineRule="exact"/>
        <w:rPr>
          <w:sz w:val="20"/>
          <w:szCs w:val="20"/>
          <w:color w:val="auto"/>
        </w:rPr>
      </w:pPr>
    </w:p>
    <w:p>
      <w:pPr>
        <w:ind w:left="1240" w:right="220" w:hanging="523"/>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6,965,000 shares of common stock issuable upon exercise of options outstanding as of December 31, 2020 with a weighted-average exercise price of $0.29 per share;</w:t>
      </w:r>
    </w:p>
    <w:p>
      <w:pPr>
        <w:spacing w:after="0" w:line="75" w:lineRule="exact"/>
        <w:rPr>
          <w:rFonts w:ascii="Arial" w:cs="Arial" w:eastAsia="Arial" w:hAnsi="Arial"/>
          <w:sz w:val="18"/>
          <w:szCs w:val="18"/>
          <w:color w:val="auto"/>
        </w:rPr>
      </w:pPr>
    </w:p>
    <w:p>
      <w:pPr>
        <w:ind w:left="1940" w:hanging="1223"/>
        <w:spacing w:after="0"/>
        <w:tabs>
          <w:tab w:leader="none" w:pos="1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shares of common stock issuable upon exercise of options granted after December 31, 2020, with a weighted-average</w:t>
      </w:r>
    </w:p>
    <w:p>
      <w:pPr>
        <w:spacing w:after="0" w:line="35" w:lineRule="exact"/>
        <w:rPr>
          <w:sz w:val="20"/>
          <w:szCs w:val="20"/>
          <w:color w:val="auto"/>
        </w:rPr>
      </w:pPr>
    </w:p>
    <w:p>
      <w:pPr>
        <w:ind w:left="1240"/>
        <w:spacing w:after="0"/>
        <w:tabs>
          <w:tab w:leader="none" w:pos="326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240" w:right="460" w:hanging="523"/>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2,473,024 shares of common stock reserved for future issuance under our Amended and Restated 2016 Equity Incentive Plan, as amended, as of December 31, 2020;</w:t>
      </w:r>
    </w:p>
    <w:p>
      <w:pPr>
        <w:spacing w:after="0" w:line="75" w:lineRule="exact"/>
        <w:rPr>
          <w:rFonts w:ascii="Arial" w:cs="Arial" w:eastAsia="Arial" w:hAnsi="Arial"/>
          <w:sz w:val="18"/>
          <w:szCs w:val="18"/>
          <w:color w:val="auto"/>
        </w:rPr>
      </w:pPr>
    </w:p>
    <w:p>
      <w:pPr>
        <w:ind w:left="1240" w:hanging="523"/>
        <w:spacing w:after="0" w:line="311" w:lineRule="auto"/>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2021 Equity Incentive Plan (2021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41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2241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line="259" w:lineRule="auto"/>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2021 Employee Stock Purchase Plan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31" w:lineRule="exact"/>
        <w:rPr>
          <w:sz w:val="20"/>
          <w:szCs w:val="20"/>
          <w:color w:val="auto"/>
        </w:rPr>
      </w:pPr>
    </w:p>
    <w:p>
      <w:pPr>
        <w:ind w:left="1240" w:hanging="523"/>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 in this offering;</w:t>
      </w:r>
    </w:p>
    <w:p>
      <w:pPr>
        <w:spacing w:after="0" w:line="130" w:lineRule="exact"/>
        <w:rPr>
          <w:rFonts w:ascii="Arial" w:cs="Arial" w:eastAsia="Arial" w:hAnsi="Arial"/>
          <w:sz w:val="18"/>
          <w:szCs w:val="18"/>
          <w:color w:val="auto"/>
        </w:rPr>
      </w:pPr>
    </w:p>
    <w:p>
      <w:pPr>
        <w:ind w:left="1240" w:right="60" w:hanging="523"/>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December 31, 2020 into an aggregate of 146,961,309 shares of our common stock immediately prior to the completion of this offering; and</w:t>
      </w:r>
    </w:p>
    <w:p>
      <w:pPr>
        <w:spacing w:after="0" w:line="75" w:lineRule="exact"/>
        <w:rPr>
          <w:rFonts w:ascii="Arial" w:cs="Arial" w:eastAsia="Arial" w:hAnsi="Arial"/>
          <w:sz w:val="18"/>
          <w:szCs w:val="18"/>
          <w:color w:val="auto"/>
        </w:rPr>
      </w:pPr>
    </w:p>
    <w:p>
      <w:pPr>
        <w:ind w:left="1240" w:right="120" w:hanging="523"/>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80"/>
          </w:cols>
          <w:pgMar w:left="320" w:top="459" w:right="8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0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The following tables summarize our financial data for the periods indicated. We have derived the statements of operations data for the years ended December 31, 2019 and 2020 and the balance sheet data as of December 31, 2020 from our audited financial statements included elsewhere in this prospectus.</w:t>
      </w:r>
    </w:p>
    <w:p>
      <w:pPr>
        <w:spacing w:after="0" w:line="184" w:lineRule="exact"/>
        <w:rPr>
          <w:sz w:val="20"/>
          <w:szCs w:val="20"/>
          <w:color w:val="auto"/>
        </w:rPr>
      </w:pPr>
    </w:p>
    <w:p>
      <w:pPr>
        <w:ind w:left="300" w:right="160" w:firstLine="426"/>
        <w:spacing w:after="0" w:line="257" w:lineRule="auto"/>
        <w:rPr>
          <w:sz w:val="20"/>
          <w:szCs w:val="20"/>
          <w:color w:val="auto"/>
        </w:rPr>
      </w:pPr>
      <w:r>
        <w:rPr>
          <w:rFonts w:ascii="Arial" w:cs="Arial" w:eastAsia="Arial" w:hAnsi="Arial"/>
          <w:sz w:val="18"/>
          <w:szCs w:val="18"/>
          <w:color w:val="auto"/>
        </w:rPr>
        <w:t>You should read the following summary financial data together with the section titled “Management’s Discussion and Analysis of Financial Condition and Results of Operations” and our financial statements and the related notes included elsewhere in this prospectus. The summary financial data in this section are not intended to replace our financial statements and are qualified in their entirety by our financial statements and related notes included elsewhere in this prospectus. Our historical results are not necessarily indicative of the results that may be expected in the future.</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5"/>
          </w:tcPr>
          <w:p>
            <w:pPr>
              <w:jc w:val="center"/>
              <w:ind w:right="31"/>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and per share data)</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38,912</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Net loss before income taxes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(26,231)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(38,395)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4,534,692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5,832,594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w w:val="99"/>
              </w:rPr>
              <w:t>Weighted-average shares used in computing pro forma net loss per share, basic and diluted(1)</w:t>
            </w: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80" w:hanging="422"/>
        <w:spacing w:after="0" w:line="311"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unaudited pro forma net loss per share for the year ended December 31, 2020 was computed using the weighted-average number of shares of common stock outstanding, including the pro forma effect of the conversation of all outstanding shares of our convertible preferred stock into shares of common stock, as if such conversion had occurred at the beginning of the period, or their issuance dates, if later.</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16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49161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2"/>
              </w:rPr>
              <w:t>As of December 31, 2020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Actual</w:t>
            </w:r>
          </w:p>
        </w:tc>
        <w:tc>
          <w:tcPr>
            <w:tcW w:w="16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860" w:type="dxa"/>
            <w:vAlign w:val="bottom"/>
          </w:tcPr>
          <w:p>
            <w:pPr>
              <w:ind w:left="40"/>
              <w:spacing w:after="0" w:line="119" w:lineRule="exact"/>
              <w:rPr>
                <w:sz w:val="20"/>
                <w:szCs w:val="20"/>
                <w:color w:val="auto"/>
              </w:rPr>
            </w:pPr>
            <w:r>
              <w:rPr>
                <w:rFonts w:ascii="Arial" w:cs="Arial" w:eastAsia="Arial" w:hAnsi="Arial"/>
                <w:sz w:val="13"/>
                <w:szCs w:val="13"/>
                <w:b w:val="1"/>
                <w:bCs w:val="1"/>
                <w:color w:val="auto"/>
                <w:w w:val="96"/>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adjusted</w:t>
            </w:r>
            <w:r>
              <w:rPr>
                <w:rFonts w:ascii="Arial" w:cs="Arial" w:eastAsia="Arial" w:hAnsi="Arial"/>
                <w:sz w:val="12"/>
                <w:szCs w:val="12"/>
                <w:b w:val="1"/>
                <w:bCs w:val="1"/>
                <w:color w:val="auto"/>
                <w:w w:val="98"/>
              </w:rPr>
              <w:t>(2)(3)</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20" w:type="dxa"/>
            <w:vAlign w:val="bottom"/>
            <w:gridSpan w:val="2"/>
          </w:tcPr>
          <w:p>
            <w:pPr>
              <w:jc w:val="right"/>
              <w:ind w:right="68"/>
              <w:spacing w:after="0"/>
              <w:rPr>
                <w:sz w:val="20"/>
                <w:szCs w:val="20"/>
                <w:color w:val="auto"/>
              </w:rPr>
            </w:pPr>
            <w:r>
              <w:rPr>
                <w:rFonts w:ascii="Arial" w:cs="Arial" w:eastAsia="Arial" w:hAnsi="Arial"/>
                <w:sz w:val="18"/>
                <w:szCs w:val="18"/>
                <w:color w:val="auto"/>
              </w:rPr>
              <w:t>$128,535</w:t>
            </w:r>
          </w:p>
        </w:tc>
        <w:tc>
          <w:tcPr>
            <w:tcW w:w="1620" w:type="dxa"/>
            <w:vAlign w:val="bottom"/>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32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124,923</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3220" w:type="dxa"/>
            <w:vAlign w:val="bottom"/>
            <w:gridSpan w:val="2"/>
          </w:tcPr>
          <w:p>
            <w:pPr>
              <w:jc w:val="right"/>
              <w:ind w:right="68"/>
              <w:spacing w:after="0"/>
              <w:rPr>
                <w:sz w:val="20"/>
                <w:szCs w:val="20"/>
                <w:color w:val="auto"/>
              </w:rPr>
            </w:pPr>
            <w:r>
              <w:rPr>
                <w:rFonts w:ascii="Arial" w:cs="Arial" w:eastAsia="Arial" w:hAnsi="Arial"/>
                <w:sz w:val="18"/>
                <w:szCs w:val="18"/>
                <w:color w:val="auto"/>
              </w:rPr>
              <w:t>148,161</w:t>
            </w: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220,754</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20" w:type="dxa"/>
            <w:vAlign w:val="bottom"/>
            <w:gridSpan w:val="2"/>
          </w:tcPr>
          <w:p>
            <w:pPr>
              <w:jc w:val="right"/>
              <w:ind w:right="68"/>
              <w:spacing w:after="0"/>
              <w:rPr>
                <w:sz w:val="20"/>
                <w:szCs w:val="20"/>
                <w:color w:val="auto"/>
              </w:rPr>
            </w:pPr>
            <w:r>
              <w:rPr>
                <w:rFonts w:ascii="Arial" w:cs="Arial" w:eastAsia="Arial" w:hAnsi="Arial"/>
                <w:sz w:val="18"/>
                <w:szCs w:val="18"/>
                <w:color w:val="auto"/>
              </w:rPr>
              <w:t>1,583</w:t>
            </w: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(82,812)</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3220" w:type="dxa"/>
            <w:vAlign w:val="bottom"/>
            <w:gridSpan w:val="2"/>
          </w:tcPr>
          <w:p>
            <w:pPr>
              <w:jc w:val="right"/>
              <w:ind w:right="8"/>
              <w:spacing w:after="0"/>
              <w:rPr>
                <w:sz w:val="20"/>
                <w:szCs w:val="20"/>
                <w:color w:val="auto"/>
              </w:rPr>
            </w:pPr>
            <w:r>
              <w:rPr>
                <w:rFonts w:ascii="Arial" w:cs="Arial" w:eastAsia="Arial" w:hAnsi="Arial"/>
                <w:sz w:val="18"/>
                <w:szCs w:val="18"/>
                <w:color w:val="auto"/>
              </w:rPr>
              <w:t>(81,315)</w:t>
            </w:r>
          </w:p>
        </w:tc>
        <w:tc>
          <w:tcPr>
            <w:tcW w:w="1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60" w:hanging="422"/>
        <w:spacing w:after="0" w:line="26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 forma balance sheet data gives effect to: (i) the receipt of $20.0 million in aggregate net proceeds from the issuance and sale of our Series C convertible preferred stock during the first quarter of 2021, (ii) the automatic conversion of all outstanding shares of our convertible preferred stock into an aggregate of 156,613,818 shares of our common stock immediately prior to the completion of this offering, as if such conversion had occurred on December 31, 2020; (iii) the related reclassification of our convertible preferred stock aggregate carrying value to permanent equity; and (iv) the filing and effectiveness of our amended and restated certificate of incorporation immediately prior to the closing of this offering and this amendment will be in a pre-effective amendment.</w:t>
      </w:r>
    </w:p>
    <w:p>
      <w:pPr>
        <w:ind w:left="720" w:hanging="422"/>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 forma as adjusted balance sheet data gives effect to: (i) the pro forma adjustments set forth in footnote (1) above; and (ii) the</w:t>
      </w:r>
    </w:p>
    <w:p>
      <w:pPr>
        <w:spacing w:after="0" w:line="21" w:lineRule="exact"/>
        <w:rPr>
          <w:sz w:val="20"/>
          <w:szCs w:val="20"/>
          <w:color w:val="auto"/>
        </w:rPr>
      </w:pPr>
    </w:p>
    <w:p>
      <w:pPr>
        <w:ind w:left="720" w:right="40"/>
        <w:spacing w:after="0" w:line="250" w:lineRule="auto"/>
        <w:rPr>
          <w:sz w:val="20"/>
          <w:szCs w:val="20"/>
          <w:color w:val="auto"/>
        </w:rPr>
      </w:pPr>
      <w:r>
        <w:rPr>
          <w:rFonts w:ascii="Arial" w:cs="Arial" w:eastAsia="Arial" w:hAnsi="Arial"/>
          <w:sz w:val="18"/>
          <w:szCs w:val="18"/>
          <w:color w:val="auto"/>
        </w:rPr>
        <w:t>issuance and sale of shares of our common stock in this offering at an assumed initial public offering price of $ per share (which is the midpoint of the estimated price range set forth on the cover page of this prospectus), and after deducting underwriting discounts and commissions and estimated offering expenses payable by us.</w:t>
      </w:r>
    </w:p>
    <w:p>
      <w:pPr>
        <w:spacing w:after="0" w:line="1" w:lineRule="exact"/>
        <w:rPr>
          <w:sz w:val="20"/>
          <w:szCs w:val="20"/>
          <w:color w:val="auto"/>
        </w:rPr>
      </w:pPr>
    </w:p>
    <w:p>
      <w:pPr>
        <w:ind w:left="720" w:hanging="422"/>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 forma as adjusted information discussed above is illustrative only and will depend on the actual initial public offering price and other</w:t>
      </w:r>
    </w:p>
    <w:p>
      <w:pPr>
        <w:spacing w:after="0" w:line="32" w:lineRule="exact"/>
        <w:rPr>
          <w:sz w:val="20"/>
          <w:szCs w:val="20"/>
          <w:color w:val="auto"/>
        </w:rPr>
      </w:pPr>
    </w:p>
    <w:p>
      <w:pPr>
        <w:ind w:left="720" w:right="20"/>
        <w:spacing w:after="0" w:line="281" w:lineRule="auto"/>
        <w:rPr>
          <w:sz w:val="20"/>
          <w:szCs w:val="20"/>
          <w:color w:val="auto"/>
        </w:rPr>
      </w:pPr>
      <w:r>
        <w:rPr>
          <w:rFonts w:ascii="Arial" w:cs="Arial" w:eastAsia="Arial" w:hAnsi="Arial"/>
          <w:sz w:val="16"/>
          <w:szCs w:val="16"/>
          <w:color w:val="auto"/>
        </w:rPr>
        <w:t>terms of this offering determined at pricing. Each $1.00 increase (decrease) in the assumed initial public offering price of $ per share (which is the midpoint of the estimated price range set forth on the cover page of this prospectus), would increase (decrease) each of cash and</w:t>
      </w:r>
    </w:p>
    <w:p>
      <w:pPr>
        <w:spacing w:after="0" w:line="1" w:lineRule="exact"/>
        <w:rPr>
          <w:sz w:val="20"/>
          <w:szCs w:val="20"/>
          <w:color w:val="auto"/>
        </w:rPr>
      </w:pPr>
    </w:p>
    <w:p>
      <w:pPr>
        <w:ind w:left="720" w:right="60"/>
        <w:spacing w:after="0" w:line="915" w:lineRule="auto"/>
        <w:rPr>
          <w:sz w:val="20"/>
          <w:szCs w:val="20"/>
          <w:color w:val="auto"/>
        </w:rPr>
      </w:pPr>
      <w:r>
        <w:rPr>
          <w:rFonts w:ascii="Arial" w:cs="Arial" w:eastAsia="Arial" w:hAnsi="Arial"/>
          <w:sz w:val="16"/>
          <w:szCs w:val="16"/>
          <w:color w:val="auto"/>
        </w:rPr>
        <w:t>cash equivalents, working capital, total assets additional paid-in capital and total stockholders’ (deficit) equity by $ million, assuming that the number of shares of common stock offered by us, as set forth on the cover page of this prospectus, remains the same, and after deducting underwriting discounts and commissions and estimated offering expenses payable by us. Similarly, each increase (decrease) of 1,000,000 shares in the number of shares of common stock offered by us would increase (decrease) each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20" w:right="360"/>
        <w:spacing w:after="0" w:line="255" w:lineRule="auto"/>
        <w:rPr>
          <w:sz w:val="20"/>
          <w:szCs w:val="20"/>
          <w:color w:val="auto"/>
        </w:rPr>
      </w:pPr>
      <w:r>
        <w:rPr>
          <w:rFonts w:ascii="Arial" w:cs="Arial" w:eastAsia="Arial" w:hAnsi="Arial"/>
          <w:sz w:val="18"/>
          <w:szCs w:val="18"/>
          <w:color w:val="auto"/>
        </w:rPr>
        <w:t>working capital, total assets, additional paid-in capital and total stockholders’ (deficit) equity by $ million, assuming the assumed initial public offering price of $ per share remains the same, and after deducting underwriting discounts and commissions and estimated offering expenses payable by us.</w:t>
      </w:r>
    </w:p>
    <w:p>
      <w:pPr>
        <w:spacing w:after="0" w:line="3" w:lineRule="exact"/>
        <w:rPr>
          <w:sz w:val="20"/>
          <w:szCs w:val="20"/>
          <w:color w:val="auto"/>
        </w:rPr>
      </w:pPr>
    </w:p>
    <w:p>
      <w:pPr>
        <w:ind w:left="720" w:right="260" w:hanging="422"/>
        <w:spacing w:after="0" w:line="26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audited financial statements and the related notes included elsewhere in this prospectus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Need for Additional Capital and Limited Operating History</w:t>
      </w:r>
    </w:p>
    <w:p>
      <w:pPr>
        <w:spacing w:after="0" w:line="229" w:lineRule="exact"/>
        <w:rPr>
          <w:sz w:val="20"/>
          <w:szCs w:val="20"/>
          <w:color w:val="auto"/>
        </w:rPr>
      </w:pPr>
    </w:p>
    <w:p>
      <w:pPr>
        <w:ind w:left="560" w:right="320"/>
        <w:spacing w:after="0" w:line="263" w:lineRule="auto"/>
        <w:rPr>
          <w:sz w:val="20"/>
          <w:szCs w:val="20"/>
          <w:color w:val="auto"/>
        </w:rPr>
      </w:pPr>
      <w:r>
        <w:rPr>
          <w:rFonts w:ascii="Arial" w:cs="Arial" w:eastAsia="Arial" w:hAnsi="Arial"/>
          <w:sz w:val="18"/>
          <w:szCs w:val="18"/>
          <w:b w:val="1"/>
          <w:bCs w:val="1"/>
          <w:i w:val="1"/>
          <w:iCs w:val="1"/>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76"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not yet demonstrated our ability to successfully initiate and complete any clinical trials, obtain marketing approvals, manufacture a clinical- or commercial-scale product or arrange for a third-party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have not generated any product revenue to date, have incurred significant net losses since our inception, and expect to continue to incur significant net losses for the foreseeable future.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incurred significant net losses since our inception, have not generated any product revenue to date and have financed our operations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through private placements of our convertible preferred stock. Our net loss was $38.4 million for the year ended December 31, 2020.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we had an accumulated deficit of $82.8 million. Substantially all of our losses have resulted from expenses incurred in connection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our research and development programs and from general and administrative costs associated with our operations. We are still in the early stages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development of our product candidates and have not yet initiated or completed any clinical trials. Our product candidates will require substantial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development time and resources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300"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92" w:lineRule="exact"/>
        <w:rPr>
          <w:sz w:val="20"/>
          <w:szCs w:val="20"/>
          <w:color w:val="auto"/>
        </w:rPr>
      </w:pPr>
    </w:p>
    <w:p>
      <w:pPr>
        <w:ind w:left="1080" w:right="580" w:hanging="532"/>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regulatory approval to commence clinical trials of our product candidates;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our product candidates and any other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initiation and successful patient enrollment and completion of clinical trials on a timely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acceptable frequency and severity of adverse events in the clinical trials;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profiles that are satisfactory to the U.S. Food and Drug Administration (FDA) or any comparable foreign regulatory authority for marketing approval;</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operating a manufacturing facility and developing an efficient and scalable manufacturing process for our product candidates;</w:t>
      </w:r>
    </w:p>
    <w:p>
      <w:pPr>
        <w:spacing w:after="0" w:line="75"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outputs from our capsid engineering and promotor and regulator elements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maintaining, and expanding patent and other intellectual property protection, trade secret protection and regulatory exclusivity, both in the United States and internationally;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defending against third-party infringement, misappropriation, or other claims, if any;</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products and patients’ willingness to pay in the absence of such coverage and adequate reimbursement;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additional funding to develop, manufacture and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costs, including any unforeseen costs, that we may incur as a result of nonclinical study or clinical trial delays due to COVID-19 or other causes;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including clinical, scientific, management and administrative personnel.</w:t>
      </w:r>
    </w:p>
    <w:p>
      <w:pPr>
        <w:spacing w:after="0" w:line="22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1"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may also experience delays in establishing our manufacturing facility, developing a sustainable, reproducible and scalable manufacturing process or transferring that process to commercial partners, which may prevent us from initiating and completing our planned clinical trials or commercializing our product candidates on a timely or profitable basis, if at all.</w:t>
      </w:r>
    </w:p>
    <w:p>
      <w:pPr>
        <w:spacing w:after="0" w:line="292" w:lineRule="exact"/>
        <w:rPr>
          <w:sz w:val="20"/>
          <w:szCs w:val="20"/>
          <w:color w:val="auto"/>
        </w:rPr>
      </w:pPr>
    </w:p>
    <w:p>
      <w:pPr>
        <w:jc w:val="both"/>
        <w:ind w:left="560" w:right="48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of December 31, 2020, we had $128.5 million in cash and cash equivalents. In January 2021, we received $20.0 million in gross proceeds from the sale and issuance of our Series C convertible preferred stock. Based on our current operating plan, we believe that the net proceeds from this</w:t>
      </w:r>
    </w:p>
    <w:p>
      <w:pPr>
        <w:ind w:left="120"/>
        <w:spacing w:after="0" w:line="253" w:lineRule="auto"/>
        <w:rPr>
          <w:sz w:val="20"/>
          <w:szCs w:val="20"/>
          <w:color w:val="auto"/>
        </w:rPr>
      </w:pPr>
      <w:r>
        <w:rPr>
          <w:rFonts w:ascii="Arial" w:cs="Arial" w:eastAsia="Arial" w:hAnsi="Arial"/>
          <w:sz w:val="18"/>
          <w:szCs w:val="18"/>
          <w:color w:val="auto"/>
        </w:rPr>
        <w:t>offering, together with our existing cash and cash equivalents, will be sufficient to fund our operations .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programs as well as develop our proprietary drug discovery platforms.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European Medicines Agency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Following this offering, we also expect to incur additional costs associated with operating as a public company. Accordingly, we will need to obtain substantial additional funding in order to continue our operations.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may factors, including, but not limited to:</w:t>
      </w:r>
    </w:p>
    <w:p>
      <w:pPr>
        <w:spacing w:after="0" w:line="131" w:lineRule="exact"/>
        <w:rPr>
          <w:sz w:val="20"/>
          <w:szCs w:val="20"/>
          <w:color w:val="auto"/>
        </w:rPr>
      </w:pPr>
    </w:p>
    <w:p>
      <w:pPr>
        <w:ind w:left="10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developing and testing our product candidates including conducting preclinical studies and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or any future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 or acquire;</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establishing and operating our own manufacturing facility;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commercialization activities, include the cost of building a sales force in anticipation of product commercialization and distribution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protecting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establish and maintain collaborations on favorable terms, if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receipt and amount of sales of, or milestone payments related to or royalties on, our current or future product candidates, if any;</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compliance and administrative costs associated with being a public company; and</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currently have no commitments or agreements relating to any of these types of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currently plan to use the net proceeds from this offering, together with our existing resources, as described in the section titled “Use of Proceeds.” Advancing the development of our programs will require a significant amount of capital. The net proceeds from this offering, together with our cash and cash equivalents, will not be sufficient for us to fund any of our product candidates through regulatory approval, and we will need to raise additional capital to complete the development and commercialization of our product candidates.</w:t>
      </w:r>
    </w:p>
    <w:p>
      <w:pPr>
        <w:spacing w:after="0" w:line="17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operations and financial results could be adversely impacted by the COVID-19 pandemic in the United States and the rest of the world.</w:t>
      </w:r>
    </w:p>
    <w:p>
      <w:pPr>
        <w:spacing w:after="0" w:line="152"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that could severely impact our business, including:</w:t>
      </w:r>
    </w:p>
    <w:p>
      <w:pPr>
        <w:spacing w:after="0" w:line="100" w:lineRule="exact"/>
        <w:rPr>
          <w:sz w:val="20"/>
          <w:szCs w:val="20"/>
          <w:color w:val="auto"/>
        </w:rPr>
      </w:pPr>
    </w:p>
    <w:p>
      <w:pPr>
        <w:ind w:left="1080" w:right="4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build out of our manufacturing facility;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clinical trials and incurrence of additional costs as a result of preclinical study and clinical trial delays and adjustments;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related to ongoing and increased operational expenses related to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difficulties or increased costs to comply with COVID-19 protocols at our leased facilities and clinical sites;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that may serve as our potential clinical trial sites and hospital staff supporting the conduct of clinical trials;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jc w:val="both"/>
        <w:ind w:left="1080" w:right="6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preclinical and clinical sites receiving the supplies and materials needed to conduct our planned clinical trials;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to be used in our clinical trials;</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competition for CROs, CDMOs, suppliers and vendors; and</w:t>
      </w:r>
    </w:p>
    <w:p>
      <w:pPr>
        <w:spacing w:after="0" w:line="130" w:lineRule="exact"/>
        <w:rPr>
          <w:rFonts w:ascii="Arial" w:cs="Arial" w:eastAsia="Arial" w:hAnsi="Arial"/>
          <w:sz w:val="18"/>
          <w:szCs w:val="18"/>
          <w:color w:val="auto"/>
        </w:rPr>
      </w:pPr>
    </w:p>
    <w:p>
      <w:pPr>
        <w:ind w:left="1080" w:right="240" w:hanging="532"/>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166"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Three vaccines for COVID-19 have been granted Emergency Use Authorization by the FDA, and more are likely to be authorized in the coming months. The resultant demand for vaccines and potential for manufacturing facilities and materials to be commandeered under the Defense Production Act of 1950, or equivalent foreign legislation, has made it more difficult to obtain materials and manufacturing slots for our product candidates needed for our preclinical studies and clinical trials, which could lead to delays in these studies and trials.</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global outbreak of COVID-19 continues to rapidly evolve. The extent to which the COVID-19 pandemic impacts our business will depend on future developments such as the rate of the spread of the disease, travel restrictions and social distancing in the United States and other countries, business closures or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disruptions, supply of and demand for vaccines, and the effectiveness of actions taken in the United States and other countries to contain and treat the disease and to address its impact, including on financial markets or otherwise. Further, a lack of coordinated response on risk mitigation and vaccination deployment with respect to the COVID-19 pandemic could result in significant increases to the duration and severity of the pandemic and could have a corresponding negative impact on our business.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9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278"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stockholders, including purchasers of our common stock in this offering, restrict our operations or require us to relinquish rights to our technologies or product candidates.</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16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to offset future taxable income may be limited.</w:t>
      </w:r>
    </w:p>
    <w:p>
      <w:pPr>
        <w:spacing w:after="0" w:line="140"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Our net operating loss (NOL) carryforwards may be unavailable to offset future taxable income because of restrictions under U.S. tax law. Our NOLs generated in tax years ending on or prior to December 31, 2017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w:t>
      </w:r>
    </w:p>
    <w:p>
      <w:pPr>
        <w:spacing w:after="0" w:line="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tax years beginning after December 31, 2017 is limited to 80% of our current year taxable income. It is uncertain if and to what extent various states will conform to the Tax Act. As of December 31, 2020, we had available federal NOL carry forwards of approximately $78.5 million, of which $75.4 million do not expire.</w:t>
      </w:r>
    </w:p>
    <w:p>
      <w:pPr>
        <w:spacing w:after="0" w:line="19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addition, under Sections 382 and 383 of the Internal Revenue Code of 1986, as amended (Code), if a corporation undergoes an “ownership change” (generally defined as a cumulative change in the corporation’s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this offering or subsequent shifts in our stock ownership, some of which are outside our control. As of December 31, 2020, a formal study was conducted and concluded that we experienced an ownership change during 2020. As a result, we have removed $3.1 million of deferred tax assets related to NOLs and research tax credit carryforwards due to Section 382 limitations.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Manufacturing and Commercialization of Our Product Candidates</w:t>
      </w:r>
    </w:p>
    <w:p>
      <w:pPr>
        <w:spacing w:after="0" w:line="229" w:lineRule="exact"/>
        <w:rPr>
          <w:sz w:val="20"/>
          <w:szCs w:val="20"/>
          <w:color w:val="auto"/>
        </w:rPr>
      </w:pPr>
    </w:p>
    <w:p>
      <w:pPr>
        <w:jc w:val="both"/>
        <w:ind w:left="560" w:right="340"/>
        <w:spacing w:after="0" w:line="311" w:lineRule="auto"/>
        <w:rPr>
          <w:sz w:val="20"/>
          <w:szCs w:val="20"/>
          <w:color w:val="auto"/>
        </w:rPr>
      </w:pPr>
      <w:r>
        <w:rPr>
          <w:rFonts w:ascii="Arial" w:cs="Arial" w:eastAsia="Arial" w:hAnsi="Arial"/>
          <w:sz w:val="16"/>
          <w:szCs w:val="16"/>
          <w:b w:val="1"/>
          <w:bCs w:val="1"/>
          <w:i w:val="1"/>
          <w:iCs w:val="1"/>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41"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16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76"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preclinical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delays, necessary adjustments and additional costs in preclinical studies and clinical trials resulting from factors related to the COVID-19 pandemic;</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submission of INDs or other regulatory applications for our planned clinical trials and authorizations from regulators to initiate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on a timely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achieving favorable results from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timely manufacture of sufficient quantities of a product candidate for use in clinical trials and, if approved, commercialization;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outputs from our capsid engineering and promotor and regulator elements efforts;</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and commercialization activities;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timely receipt of marketing approvals from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maintaining consistent quality, purity, and potency across clinical supplies and commercial supplies for any approved products;</w:t>
      </w:r>
    </w:p>
    <w:p>
      <w:pPr>
        <w:spacing w:after="0" w:line="142" w:lineRule="exact"/>
        <w:rPr>
          <w:rFonts w:ascii="Arial" w:cs="Arial" w:eastAsia="Arial" w:hAnsi="Arial"/>
          <w:sz w:val="17"/>
          <w:szCs w:val="17"/>
          <w:color w:val="auto"/>
        </w:rPr>
      </w:pPr>
    </w:p>
    <w:p>
      <w:pPr>
        <w:ind w:left="1080" w:right="20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maintaining patent and other intellectual property protection, trade secret protection and regulatory exclusivity, both in the United States and internationally;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protecting, enforcing and defending our rights in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expand into multiple indications;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actual market-size, ability to identify patients and the demographics of patients eligible for our product candidates, which may be different than expected;</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particularly since the product candidates we develop may be novel;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18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To become and remain profitable, we must develop, obtain approval for and eventually commercialize products candidates, if approved,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187" w:lineRule="exact"/>
        <w:rPr>
          <w:sz w:val="20"/>
          <w:szCs w:val="20"/>
          <w:color w:val="auto"/>
        </w:rPr>
      </w:pPr>
    </w:p>
    <w:p>
      <w:pPr>
        <w:jc w:val="both"/>
        <w:ind w:left="120" w:right="380" w:firstLine="440"/>
        <w:spacing w:after="0" w:line="311" w:lineRule="auto"/>
        <w:rPr>
          <w:sz w:val="20"/>
          <w:szCs w:val="20"/>
          <w:color w:val="auto"/>
        </w:rPr>
      </w:pPr>
      <w:r>
        <w:rPr>
          <w:rFonts w:ascii="Arial" w:cs="Arial" w:eastAsia="Arial" w:hAnsi="Arial"/>
          <w:sz w:val="16"/>
          <w:szCs w:val="16"/>
          <w:color w:val="auto"/>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257"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b w:val="1"/>
          <w:bCs w:val="1"/>
          <w:i w:val="1"/>
          <w:iCs w:val="1"/>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4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intend to discover, develop, manufacture, and commercialize gene therapy product candidates for the heart. Our product candidates may use both known capsids, such as AAV9, as well as novel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192"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To date, only three products that utilize AAV-mediated gene transfer have been approved in the United States or Europe, including Novartis Pharmaceuticals’ Zolgensma (developed by AveXis), Roche’s Luxturna (developed by Spark Therapeutics), and uniQure’s Glybera.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the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17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46"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same applies in the European Union.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16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The mechanisms of action of our product candidates are unproven, and we do not know whether we will be able to develop any drug of commercial value.</w:t>
      </w:r>
    </w:p>
    <w:p>
      <w:pPr>
        <w:spacing w:after="0" w:line="6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have seen for our compounds in preclinical models may not translate into similar results in humans, and results of early clinical trials in humans may not be predictive of the results of larger clinical trials that may later be conducted with our product candidates.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16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286" w:lineRule="exact"/>
        <w:rPr>
          <w:sz w:val="20"/>
          <w:szCs w:val="20"/>
          <w:color w:val="auto"/>
        </w:rPr>
      </w:pPr>
    </w:p>
    <w:p>
      <w:pPr>
        <w:ind w:left="560" w:right="220"/>
        <w:spacing w:after="0" w:line="275"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It is impossible to predict when or if any product candidate that we develop will prove effective or safe in humans or will receive marketing approval. 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its ultimate outcome is uncertain.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clinical trials that we conduct will demonstrate consistent or adequate efficacy and safety to support marketing approval.</w:t>
      </w:r>
    </w:p>
    <w:p>
      <w:pPr>
        <w:spacing w:after="0" w:line="166"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18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To date, we have not initiated or completed any clinical trials required for the approval of our product candidates. We may experience numerous unforeseen events during, or as a result of, preclinical studies or clinical trials that could delay or prevent receipt of marketing approval or our ability to commercialize our product candidates, including:</w:t>
      </w:r>
    </w:p>
    <w:p>
      <w:pPr>
        <w:spacing w:after="0" w:line="8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 including our natural history studies;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observations or results that require us to modify the design of our clinical trials;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532"/>
        <w:spacing w:after="0" w:line="31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30" w:lineRule="exact"/>
        <w:rPr>
          <w:rFonts w:ascii="Arial" w:cs="Arial" w:eastAsia="Arial" w:hAnsi="Arial"/>
          <w:sz w:val="18"/>
          <w:szCs w:val="18"/>
          <w:color w:val="auto"/>
        </w:rPr>
      </w:pPr>
    </w:p>
    <w:p>
      <w:pPr>
        <w:ind w:left="1080" w:right="100" w:hanging="532"/>
        <w:spacing w:after="0" w:line="34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30"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absence in some countries of established groups with sufficient regulatory expertise for review of AAV gene therapy protocols; and</w:t>
      </w:r>
    </w:p>
    <w:p>
      <w:pPr>
        <w:spacing w:after="0" w:line="142"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which could result in increased costs and expenses and/or delays. Any delays in completing our clinical trials will increase our costs, slow down our product candidate development and approval process and jeopardize our ability to commence product sales and generate revenues.</w:t>
      </w:r>
    </w:p>
    <w:p>
      <w:pPr>
        <w:spacing w:after="0" w:line="17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57"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b w:val="1"/>
          <w:bCs w:val="1"/>
          <w:i w:val="1"/>
          <w:iCs w:val="1"/>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5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16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spacing w:after="0" w:line="17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342"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1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278"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may experience delays if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171"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expect patient enrollment to be affected because our competitors have ongoing clinical trials for programs that are under development for the same indications as our product candidates, and patients who would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otherwise be eligible for our clinical trials could instead enroll in clinical trials of our competitors’ programs. Patient enrollment for our current or any future clinical trials may be affected by other factors, including:</w:t>
      </w:r>
    </w:p>
    <w:p>
      <w:pPr>
        <w:spacing w:after="0" w:line="7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risks and benefits of novel, unproven approaches;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jc w:val="both"/>
        <w:ind w:left="1080" w:right="3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activities of key opinion leaders (KOLs) and patient advocacy groups;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have an advanced disease, will not survive the full terms of the clinical trials.</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65" w:lineRule="exact"/>
        <w:rPr>
          <w:sz w:val="20"/>
          <w:szCs w:val="20"/>
          <w:color w:val="auto"/>
        </w:rPr>
      </w:pPr>
    </w:p>
    <w:p>
      <w:pPr>
        <w:jc w:val="both"/>
        <w:ind w:left="560" w:right="10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1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expect to face competition from existing products and products in development for each of our programs. We anticipate substantial direct competition from a variety of competitors, including:</w:t>
      </w:r>
    </w:p>
    <w:p>
      <w:pPr>
        <w:spacing w:after="0" w:line="76" w:lineRule="exact"/>
        <w:rPr>
          <w:sz w:val="20"/>
          <w:szCs w:val="20"/>
          <w:color w:val="auto"/>
        </w:rPr>
      </w:pPr>
    </w:p>
    <w:p>
      <w:pPr>
        <w:ind w:left="1080" w:right="64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cardiovascular drug development: Companies known to have approved product and active drug development efforts for cardiovascular disease include but are not limited to AstraZeneca, Bayer, Bristol Myers Squibb, Cytokinetics, Eli Lilly, Johnson &amp; Johnson/Janssen, Maze Therapeutics, Merck, Novartis, and Novo Nordisk;</w:t>
      </w:r>
    </w:p>
    <w:p>
      <w:pPr>
        <w:spacing w:after="0" w:line="89" w:lineRule="exact"/>
        <w:rPr>
          <w:rFonts w:ascii="Arial" w:cs="Arial" w:eastAsia="Arial" w:hAnsi="Arial"/>
          <w:sz w:val="18"/>
          <w:szCs w:val="18"/>
          <w:color w:val="auto"/>
        </w:rPr>
      </w:pPr>
    </w:p>
    <w:p>
      <w:pPr>
        <w:ind w:left="1080" w:right="26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 Therapy platform: Companies known to be pursuing gene therapy approaches for the heart include but are not limited to 4D Molecular Therapeutics, Bayer, Bristol Myers Squibb, uniQure, BioMarin Pharmaceutical, DiNAQOR, Precigen, Renova Therapeutics, Renovacor, Rocket Pharmaceuticals, Sardicor, and Stride Bio;</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Cellular Regeneration platform: Companies known to be pursuing approaches to cellular regeneration for the heart include but are not limited to AstraZeneca, Bayer, BioCardia, Cardior Pharmaceuticals, Jaan Biotherapeutics, Khloris Biosciences, Mesoblast, Mogrify, Sana Biotechnologies and Xylocor Therapeutics; and</w:t>
      </w:r>
    </w:p>
    <w:p>
      <w:pPr>
        <w:spacing w:after="0" w:line="89"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Precision Medicine platform: Companies known to be pursuing approaches to drug discovery for the heart using disease models based on iPSC-CMs include but are not limited to DiNAQOR and Tara Biosystems.</w:t>
      </w:r>
    </w:p>
    <w:p>
      <w:pPr>
        <w:spacing w:after="0" w:line="170"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comparable foreign regulatory authorities or in discovering, developing and commercializing products in our field before we do.</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73"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7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not be successful in our efforts to utilize our proprietary drug discovery platforms to develop a pipeline of product candidates.</w:t>
      </w:r>
    </w:p>
    <w:p>
      <w:pPr>
        <w:spacing w:after="0" w:line="14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18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274" w:lineRule="exact"/>
        <w:rPr>
          <w:sz w:val="20"/>
          <w:szCs w:val="20"/>
          <w:color w:val="auto"/>
        </w:rPr>
      </w:pPr>
    </w:p>
    <w:p>
      <w:pPr>
        <w:jc w:val="both"/>
        <w:ind w:left="560" w:right="120"/>
        <w:spacing w:after="0" w:line="286" w:lineRule="auto"/>
        <w:rPr>
          <w:sz w:val="20"/>
          <w:szCs w:val="20"/>
          <w:color w:val="auto"/>
        </w:rPr>
      </w:pPr>
      <w:r>
        <w:rPr>
          <w:rFonts w:ascii="Arial" w:cs="Arial" w:eastAsia="Arial" w:hAnsi="Arial"/>
          <w:sz w:val="17"/>
          <w:szCs w:val="17"/>
          <w:b w:val="1"/>
          <w:bCs w:val="1"/>
          <w:i w:val="1"/>
          <w:iCs w:val="1"/>
          <w:color w:val="auto"/>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5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quality assurance and quality control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89" w:lineRule="exact"/>
        <w:rPr>
          <w:sz w:val="20"/>
          <w:szCs w:val="20"/>
          <w:color w:val="auto"/>
        </w:rPr>
      </w:pPr>
    </w:p>
    <w:p>
      <w:pPr>
        <w:ind w:left="560"/>
        <w:spacing w:after="0" w:line="375" w:lineRule="auto"/>
        <w:rPr>
          <w:sz w:val="20"/>
          <w:szCs w:val="20"/>
          <w:color w:val="auto"/>
        </w:rPr>
      </w:pPr>
      <w:r>
        <w:rPr>
          <w:rFonts w:ascii="Arial" w:cs="Arial" w:eastAsia="Arial" w:hAnsi="Arial"/>
          <w:sz w:val="15"/>
          <w:szCs w:val="15"/>
          <w:b w:val="1"/>
          <w:bCs w:val="1"/>
          <w:i w:val="1"/>
          <w:iCs w:val="1"/>
          <w:color w:val="auto"/>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192"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84"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269" w:lineRule="exact"/>
        <w:rPr>
          <w:sz w:val="20"/>
          <w:szCs w:val="20"/>
          <w:color w:val="auto"/>
        </w:rPr>
      </w:pPr>
    </w:p>
    <w:p>
      <w:pPr>
        <w:jc w:val="both"/>
        <w:ind w:left="560" w:right="180"/>
        <w:spacing w:after="0" w:line="263" w:lineRule="auto"/>
        <w:rPr>
          <w:sz w:val="20"/>
          <w:szCs w:val="20"/>
          <w:color w:val="auto"/>
        </w:rPr>
      </w:pPr>
      <w:r>
        <w:rPr>
          <w:rFonts w:ascii="Arial" w:cs="Arial" w:eastAsia="Arial" w:hAnsi="Arial"/>
          <w:sz w:val="18"/>
          <w:szCs w:val="18"/>
          <w:b w:val="1"/>
          <w:bCs w:val="1"/>
          <w:i w:val="1"/>
          <w:iCs w:val="1"/>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76"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We have initiated construction of a dedicated cGMP facility for drug product manufacturing in the San Francisco Bay Area that we expect will be operational by the end of 2021. The facility will initially produce drug product at the 1000L scale to support first-in-human studies for our lead MYBPC3 Gene Therapy program. To optimize our use of resources and utilize extensive third-party experience in small molecule manufacturing, we intend to work with CDMOs for our small molecule programs.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Although some of our employees have experience in the manufacturing of biopharmaceutical products from prior employment at other companies, we as a company have no prior experience in manufacturing. We may face delays in the production of clinical supply at our manufacturing facility, once operational, and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and recordkeeping. Furthermore, establishing and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19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Any failure or delay in the development of our manufacturing facility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292" w:lineRule="exact"/>
        <w:rPr>
          <w:sz w:val="20"/>
          <w:szCs w:val="20"/>
          <w:color w:val="auto"/>
        </w:rPr>
      </w:pPr>
    </w:p>
    <w:p>
      <w:pPr>
        <w:ind w:left="560" w:right="260"/>
        <w:spacing w:after="0" w:line="308" w:lineRule="auto"/>
        <w:rPr>
          <w:sz w:val="20"/>
          <w:szCs w:val="20"/>
          <w:color w:val="auto"/>
        </w:rPr>
      </w:pPr>
      <w:r>
        <w:rPr>
          <w:rFonts w:ascii="Arial" w:cs="Arial" w:eastAsia="Arial" w:hAnsi="Arial"/>
          <w:sz w:val="17"/>
          <w:szCs w:val="17"/>
          <w:b w:val="1"/>
          <w:bCs w:val="1"/>
          <w:i w:val="1"/>
          <w:iCs w:val="1"/>
          <w:color w:val="auto"/>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3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will need to comply with the FDA’s and applicable foreign regulatory authorities’ cGMP requirements for the production of product candidates for clinical trials and, if approved, commercial supply. We may encounter difficulties in achieving quality control and quality assurance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 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294"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manufacture our product candidates in sufficient quality and quantity, which would delay or prevent us from developing our product candidates and commercializing resulting approved products, if any.</w:t>
      </w:r>
    </w:p>
    <w:p>
      <w:pPr>
        <w:spacing w:after="0" w:line="6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left="120" w:right="260" w:firstLine="440"/>
        <w:spacing w:after="0" w:line="272" w:lineRule="auto"/>
        <w:rPr>
          <w:sz w:val="20"/>
          <w:szCs w:val="20"/>
          <w:color w:val="auto"/>
        </w:rPr>
      </w:pPr>
      <w:r>
        <w:rPr>
          <w:rFonts w:ascii="Arial" w:cs="Arial" w:eastAsia="Arial" w:hAnsi="Arial"/>
          <w:sz w:val="17"/>
          <w:szCs w:val="17"/>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Even if approved, we may not successfully commercialize our product candidates.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92" w:lineRule="exact"/>
        <w:rPr>
          <w:sz w:val="20"/>
          <w:szCs w:val="20"/>
          <w:color w:val="auto"/>
        </w:rPr>
      </w:pPr>
    </w:p>
    <w:p>
      <w:pPr>
        <w:ind w:left="1080" w:right="10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89"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may be difficult to manufacture or market our product candidates on a scale that is necessary to ultimately deliver our products to end-users;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intellectual property and proprietary rights of third parties may preclude us from marketing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nature of our indications as rare diseases means that the potential market size may be limited; and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parties may market superior or equivalent drugs which could adversely affect the commercial viability and success of our product candidates.</w:t>
      </w:r>
    </w:p>
    <w:p>
      <w:pPr>
        <w:spacing w:after="0" w:line="278"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9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30"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physicians, hospitals, treatment centers and patients considering our product candidates as a safe, pure and effective treatment;</w:t>
      </w:r>
    </w:p>
    <w:p>
      <w:pPr>
        <w:spacing w:after="0" w:line="142" w:lineRule="exact"/>
        <w:rPr>
          <w:rFonts w:ascii="Arial" w:cs="Arial" w:eastAsia="Arial" w:hAnsi="Arial"/>
          <w:sz w:val="17"/>
          <w:szCs w:val="17"/>
          <w:color w:val="auto"/>
        </w:rPr>
      </w:pPr>
    </w:p>
    <w:p>
      <w:pPr>
        <w:ind w:left="1080" w:right="16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perceived prevalence and severity of any side effects for our product candidates compared to the prevalence and severity of any side effects for conventional products and other gene therapies;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willingness of the target patient population or their caregivers to try new therapies and of physicians to prescribe these therapies;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patients’ willingness to pay for these therapies in the absence of such coverage and adequate reimbursement;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support from KOLs and patient advocacy groups;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2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32" w:lineRule="exact"/>
        <w:rPr>
          <w:sz w:val="20"/>
          <w:szCs w:val="20"/>
          <w:color w:val="auto"/>
        </w:rPr>
      </w:pPr>
    </w:p>
    <w:p>
      <w:pPr>
        <w:ind w:left="560" w:right="280"/>
        <w:spacing w:after="0" w:line="308" w:lineRule="auto"/>
        <w:rPr>
          <w:sz w:val="20"/>
          <w:szCs w:val="20"/>
          <w:color w:val="auto"/>
        </w:rPr>
      </w:pPr>
      <w:r>
        <w:rPr>
          <w:rFonts w:ascii="Arial" w:cs="Arial" w:eastAsia="Arial" w:hAnsi="Arial"/>
          <w:sz w:val="17"/>
          <w:szCs w:val="17"/>
          <w:b w:val="1"/>
          <w:bCs w:val="1"/>
          <w:i w:val="1"/>
          <w:iCs w:val="1"/>
          <w:color w:val="auto"/>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3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320" w:top="459"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300" w:lineRule="exact"/>
        <w:rPr>
          <w:sz w:val="20"/>
          <w:szCs w:val="20"/>
          <w:color w:val="auto"/>
        </w:rPr>
      </w:pPr>
    </w:p>
    <w:p>
      <w:pPr>
        <w:ind w:left="560" w:right="80"/>
        <w:spacing w:after="0" w:line="275" w:lineRule="auto"/>
        <w:rPr>
          <w:sz w:val="20"/>
          <w:szCs w:val="20"/>
          <w:color w:val="auto"/>
        </w:rPr>
      </w:pPr>
      <w:r>
        <w:rPr>
          <w:rFonts w:ascii="Arial" w:cs="Arial" w:eastAsia="Arial" w:hAnsi="Arial"/>
          <w:sz w:val="17"/>
          <w:szCs w:val="17"/>
          <w:b w:val="1"/>
          <w:bCs w:val="1"/>
          <w:i w:val="1"/>
          <w:iCs w:val="1"/>
          <w:color w:val="auto"/>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6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17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279"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19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Sales of any of our product candidates that receive marketing approval will depend substantially, both in the United States and internationally, on the extent to which the costs of such product candidates will be covered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6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FDA, EMA or other regulatory authority investigation of the safety and effectiveness of our products, our manufacturing processes and facilities or our marketing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29" w:lineRule="exact"/>
        <w:rPr>
          <w:sz w:val="20"/>
          <w:szCs w:val="20"/>
          <w:color w:val="auto"/>
        </w:rPr>
      </w:pPr>
    </w:p>
    <w:p>
      <w:pPr>
        <w:jc w:val="both"/>
        <w:ind w:left="560" w:right="24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176"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29" w:lineRule="exact"/>
        <w:rPr>
          <w:sz w:val="20"/>
          <w:szCs w:val="20"/>
          <w:color w:val="auto"/>
        </w:rPr>
      </w:pPr>
    </w:p>
    <w:p>
      <w:pPr>
        <w:ind w:left="1080" w:right="14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75" w:lineRule="exact"/>
        <w:rPr>
          <w:rFonts w:ascii="Arial" w:cs="Arial" w:eastAsia="Arial" w:hAnsi="Arial"/>
          <w:sz w:val="18"/>
          <w:szCs w:val="18"/>
          <w:color w:val="auto"/>
        </w:rPr>
      </w:pPr>
    </w:p>
    <w:p>
      <w:pPr>
        <w:ind w:left="1080" w:right="240" w:hanging="532"/>
        <w:spacing w:after="0" w:line="34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9" w:lineRule="exact"/>
        <w:rPr>
          <w:rFonts w:ascii="Arial" w:cs="Arial" w:eastAsia="Arial" w:hAnsi="Arial"/>
          <w:sz w:val="16"/>
          <w:szCs w:val="16"/>
          <w:color w:val="auto"/>
        </w:rPr>
      </w:pPr>
    </w:p>
    <w:p>
      <w:pPr>
        <w:ind w:left="1080" w:right="3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265"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4"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6"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92" w:lineRule="exact"/>
        <w:rPr>
          <w:sz w:val="20"/>
          <w:szCs w:val="20"/>
          <w:color w:val="auto"/>
        </w:rPr>
      </w:pPr>
    </w:p>
    <w:p>
      <w:pPr>
        <w:ind w:left="560" w:right="180"/>
        <w:spacing w:after="0" w:line="342" w:lineRule="auto"/>
        <w:rPr>
          <w:sz w:val="20"/>
          <w:szCs w:val="20"/>
          <w:color w:val="auto"/>
        </w:rPr>
      </w:pPr>
      <w:r>
        <w:rPr>
          <w:rFonts w:ascii="Arial" w:cs="Arial" w:eastAsia="Arial" w:hAnsi="Arial"/>
          <w:sz w:val="16"/>
          <w:szCs w:val="16"/>
          <w:b w:val="1"/>
          <w:bCs w:val="1"/>
          <w:i w:val="1"/>
          <w:iCs w:val="1"/>
          <w:color w:val="auto"/>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1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We have not received approval from regulatory authorities in any jurisdiction to market any of our product 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 In addition, we may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19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285"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will be subject to significant post-marketing regulatory requirements and oversight.</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54"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25"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257"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17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17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We have </w:t>
      </w:r>
      <w:r>
        <w:rPr>
          <w:rFonts w:ascii="Arial" w:cs="Arial" w:eastAsia="Arial" w:hAnsi="Arial"/>
          <w:sz w:val="17"/>
          <w:szCs w:val="17"/>
          <w:i w:val="1"/>
          <w:iCs w:val="1"/>
          <w:color w:val="auto"/>
        </w:rPr>
        <w:t>submitted an orphan drug designation request to the FDA for our MYBPC3 Gene Therapy program</w:t>
      </w:r>
      <w:r>
        <w:rPr>
          <w:rFonts w:ascii="Arial" w:cs="Arial" w:eastAsia="Arial" w:hAnsi="Arial"/>
          <w:sz w:val="17"/>
          <w:szCs w:val="17"/>
          <w:color w:val="auto"/>
        </w:rPr>
        <w:t xml:space="preserve"> and may seek orphan drug designation for this and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from changes to current FDA and healthcare regulations and future legislation.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18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significantly impact the U.S. pharmaceutical industry. Since its enactment, there have been judicial and Congressional challenges to certain aspects of the ACA. For example, various portions of the ACA are currently undergoing legal and constitutional challenges in the United States Supreme Court. Although the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the Supreme Court will rule on these challenges, how future litigation will impact our business, or what other healthcare measures and regulations will ultimately be implemented at the federal or state level or the effect of any future legislation or regulation may have on our business.</w:t>
      </w:r>
    </w:p>
    <w:p>
      <w:pPr>
        <w:spacing w:after="0" w:line="166"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2030, with the exception of a temporary suspension implemented under various COVID-19 relief legislation from May 1, 2020 through the end of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66"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w:t>
      </w:r>
    </w:p>
    <w:p>
      <w:pPr>
        <w:spacing w:after="0" w:line="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The impact of these lawsuits as well as legislative, executive, and administrative actions of the Biden administration on us and the pharmaceutical industry as a whole is unclear.</w:t>
      </w:r>
    </w:p>
    <w:p>
      <w:pPr>
        <w:spacing w:after="0" w:line="17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United States directed at broadening the availability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12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176"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84" w:lineRule="exact"/>
        <w:rPr>
          <w:sz w:val="20"/>
          <w:szCs w:val="20"/>
          <w:color w:val="auto"/>
        </w:rPr>
      </w:pPr>
    </w:p>
    <w:p>
      <w:pPr>
        <w:ind w:left="560" w:right="500"/>
        <w:spacing w:after="0" w:line="279" w:lineRule="auto"/>
        <w:rPr>
          <w:sz w:val="20"/>
          <w:szCs w:val="20"/>
          <w:color w:val="auto"/>
        </w:rPr>
      </w:pPr>
      <w:r>
        <w:rPr>
          <w:rFonts w:ascii="Arial" w:cs="Arial" w:eastAsia="Arial" w:hAnsi="Arial"/>
          <w:sz w:val="17"/>
          <w:szCs w:val="17"/>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63"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European Court of Justice (ECJ) invalidated the EU-U.S. Privacy Shield, which had enabled the transfer of personal data from the European Union to the United States for companies that had self-certified to the Privacy Shield. The ECJ decision also raised questions about the continued validity of one of the primary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alternatives to the 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European Union has presented a new draft set of contractual clauses, at present, there are few, if any, viable alternatives to the EU-U.S. Privacy Shield and the Standard Contractual Clauses and it remains to be seen whether additional means for lawful data transfers will become available. To the extent that we were to rely on the EU-U.S. or Swiss-U.S. Privacy Shield programs, we will not be able to do so in the future, and the ECJ’s decision and other regulatory guidance or developments otherwise may impose additional obligations with respect to the transfer of personal data from the European Union and Switzerland to the United States, each of which could restrict our activities in those jurisdictions, limit our ability to provide our products and services in those jurisdictions, or increase our costs and obligations and impose limitations upon our ability to efficiently transfer personal data from the European Union and Switzerland to the United States.</w:t>
      </w:r>
    </w:p>
    <w:p>
      <w:pPr>
        <w:spacing w:after="0" w:line="16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 and exposes us to two parallel regimes with potentially divergent enforcement actions for certain violations. Additionally, under the post-Brexit Trade and Cooperation Agreement between the European Union and the United Kingdom, the United Kingdom and European Union have agreed that transfers of personal data to the United Kingdom from EEA member states will not be treated as ‘restricted transfers’ to a non-EEA country for a period that, including an extension, has a maximum duration of six months from January 1, 2021 (the “Extended Adequacy Assessment Period”). Although the current maximum duration of the Extended Adequacy Assessment Period is six months, it may end sooner, for example, in the event that the European Commission adopts an ‘adequacy decision’ in respect of the United Kingdom, or the United Kingdom amends the UK GDPR and/or makes certain changes regarding data transfers under the UK GDPR/Data Protection Act 2018 without the consent of the European Union (unless those amendments or decisions are made simply to keep relevant UK laws aligned with the EU’s data protection regime). If the European Commission does not adopt an ‘adequacy decision’ in respect of the United Kingdom prior to the expiry of the Extended Adequacy Assessment Period, from that point onwards the United Kingdom will be an ‘inadequate third country’ under the GDPR and transfers of personal data from the EEA to the United Kingdom will require a ‘transfer mechanism’ such as the Standard Contractual Clauses. As of January 1, 2021, the United Kingdom is a ‘third country’ under the GDPR, and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18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w:t>
      </w:r>
    </w:p>
    <w:p>
      <w:pPr>
        <w:spacing w:after="0" w:line="18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 violations may also put our or our customers’ data, including personal data, at risk, which could in turn have an adverse effect on our business.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286"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9"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84"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6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82" w:lineRule="exact"/>
        <w:rPr>
          <w:sz w:val="20"/>
          <w:szCs w:val="20"/>
          <w:color w:val="auto"/>
        </w:rPr>
      </w:pPr>
    </w:p>
    <w:p>
      <w:pPr>
        <w:ind w:left="1080" w:right="14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1080" w:right="40" w:hanging="532"/>
        <w:spacing w:after="0" w:line="275"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81" w:lineRule="exact"/>
        <w:rPr>
          <w:rFonts w:ascii="Arial" w:cs="Arial" w:eastAsia="Arial" w:hAnsi="Arial"/>
          <w:sz w:val="17"/>
          <w:szCs w:val="17"/>
          <w:color w:val="auto"/>
        </w:rPr>
      </w:pPr>
    </w:p>
    <w:p>
      <w:pPr>
        <w:ind w:left="1080" w:right="160" w:hanging="532"/>
        <w:spacing w:after="0" w:line="30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62"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4"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with data reporting in 2022, reporting obligations with respect to covered recipients will be expanded to include physician assistants, nurse practitioners, clinical nurse specialists, certified registered nurse anesthetists and anesthesiologist assistants, and certified nurse midwives for payments and transfers of value made during the previous year; and</w:t>
      </w:r>
    </w:p>
    <w:p>
      <w:pPr>
        <w:spacing w:after="0" w:line="97"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2" w:lineRule="exact"/>
        <w:rPr>
          <w:sz w:val="20"/>
          <w:szCs w:val="20"/>
          <w:color w:val="auto"/>
        </w:rPr>
      </w:pPr>
    </w:p>
    <w:p>
      <w:pPr>
        <w:jc w:val="both"/>
        <w:ind w:left="560" w:right="58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sales commission, customer incentive programs and other business arrangements. Misconduct by these parties could also involve the improper use of information obtained in the course of clinical trials, which could result in regulatory sanctions and serious harm to our reputation. We will adopt a code of conduct, which will become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3"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92" w:lineRule="exact"/>
        <w:rPr>
          <w:sz w:val="20"/>
          <w:szCs w:val="20"/>
          <w:color w:val="auto"/>
        </w:rPr>
      </w:pPr>
    </w:p>
    <w:p>
      <w:pPr>
        <w:ind w:left="560" w:right="280"/>
        <w:spacing w:after="0" w:line="340" w:lineRule="auto"/>
        <w:rPr>
          <w:sz w:val="20"/>
          <w:szCs w:val="20"/>
          <w:color w:val="auto"/>
        </w:rPr>
      </w:pPr>
      <w:r>
        <w:rPr>
          <w:rFonts w:ascii="Arial" w:cs="Arial" w:eastAsia="Arial" w:hAnsi="Arial"/>
          <w:sz w:val="15"/>
          <w:szCs w:val="15"/>
          <w:b w:val="1"/>
          <w:bCs w:val="1"/>
          <w:i w:val="1"/>
          <w:iCs w:val="1"/>
          <w:color w:val="auto"/>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2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17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There is no certainty that all of our employees, agents, representatives, business partners and third-party intermediaries, or those of our affiliates, will comply with applicable laws and regulations, for which we may be ultimately held responsible.</w:t>
      </w:r>
    </w:p>
    <w:p>
      <w:pPr>
        <w:spacing w:after="0" w:line="17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276"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Comprehensive U.S. tax reform legislation could increase the tax burden on our orphan drug programs and adversely affect our business and financial condition.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2017, the U.S. government enacted the Tax Act, which as modified by the CARES Act, includes significant changes to the taxation of business entities. These changes include, among others, (i) a permanent reduction to the corporate income tax rate, (ii) a partial limitation on the deductibility of business interest expense and NOL carryforwards and (iii) a shift of the U.S. taxation of multinational corporations from a tax on worldwide income to a territorial system (along with certain rules designed to prevent erosion of the U.S. income tax base). Further, the comprehensive tax legislation reduces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despite being partially off-set by a reduction in the corporate tax rate from a top marginal rate of 35% to a flat rate of 21%, may increase our total federal tax liability attributable to such programs.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Additionally, President Biden has proposed an increase of the corporate tax rate from 21% to 28%, which, if enacted would further increase our total federal tax liability when and if we become profitable.</w:t>
      </w:r>
    </w:p>
    <w:p>
      <w:pPr>
        <w:spacing w:after="0" w:line="6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Notwithstanding the changes in the corporate income tax rate, the overall impact of this comprehensive tax legislation resulted in an overall reduction in our deferred tax assets, and our business and financial condition could still be adversely affected as additional guidance and regulations are issued with respect to the original tax law change. In addition, it is uncertain if and to what extent various states will conform to this comprehensive tax legislation, and states may enact suspensions or limitations on the use of NOLs and tax credits (including, without limitation, California legislation enacted in 2020 that suspends the use of California NOLs and limits the use of certain California tax credits for certain periods). The impact of this comprehensive tax legislation on holders of our common stock is also uncertain and could be adverse. Investors should consult with their legal and tax advisors with respect to this comprehensive tax legislation and the potential tax consequences of investing in or holding our common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our Chief Executive Officer. Additionally, the COVID-19 pandemic may interfere with our ability to hire or retain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19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76"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274"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of March 31, 2021, we had more than 75 full-time employees. Of these employees, approximately 45 are engaged in research and development activities and approximately 20 are engaged in manufacturing activities.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8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80" w:right="500" w:hanging="532"/>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6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292" w:lineRule="exact"/>
        <w:rPr>
          <w:sz w:val="20"/>
          <w:szCs w:val="20"/>
          <w:color w:val="auto"/>
        </w:rPr>
      </w:pPr>
    </w:p>
    <w:p>
      <w:pPr>
        <w:ind w:left="560" w:right="82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279"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b w:val="1"/>
          <w:bCs w:val="1"/>
          <w:i w:val="1"/>
          <w:iCs w:val="1"/>
          <w:color w:val="auto"/>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63"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from inadvertent or intentional actions by our employees, contractors, consultants, business partners, and other third parties, cyber-attacks by malicious third parties (including supply chain cyber-attacks or attacks by nation-state or nation-state supported actors, or the deployment of harmful malware, ransomware, denial-of-service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or other assets, which could result in financial, legal, business and reputational harm to us.</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17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287"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2"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Our facilities are located in the San Francisco Bay Area. We have not undertaken a systematic analysis of the potential consequences to our business and financial results from a major flood, blizzard, wildfire,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contract development and manufacturing organizations’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 variety of risks associated with marketing our product candidates internationally could materially adversely affect our business.</w:t>
      </w:r>
    </w:p>
    <w:p>
      <w:pPr>
        <w:spacing w:after="0" w:line="1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76"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30" w:lineRule="exact"/>
        <w:rPr>
          <w:rFonts w:ascii="Arial" w:cs="Arial" w:eastAsia="Arial" w:hAnsi="Arial"/>
          <w:sz w:val="18"/>
          <w:szCs w:val="18"/>
          <w:color w:val="auto"/>
        </w:rPr>
      </w:pPr>
    </w:p>
    <w:p>
      <w:pPr>
        <w:ind w:left="1080" w:right="120" w:hanging="532"/>
        <w:spacing w:after="0" w:line="308"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b w:val="1"/>
          <w:bCs w:val="1"/>
          <w:i w:val="1"/>
          <w:iCs w:val="1"/>
          <w:color w:val="auto"/>
        </w:rPr>
        <w:t>We have in-licensed one issued patent, but we do not currently own any issued patents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17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For example, although we exclusively in-license one issued patent from The University of Texas Southwestern Medical Center related to our DWORF (Dwarf Open Reading Frame) program, we do not own or license any other issued patents relating to any of our product candidates and technology and many of our and our licensors’ patent applications are either at the provisional stage or at an early stage in prosecution. Accordingly,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1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Presently, we own one allowed and two other pending non-provisional U.S. patent applications, seven non-expired Patent Cooperation Treaty (PCT) applications, nine pending foreign patent applications and at least five pending provisional U.S. patent applications, but we do not own any issued patents. 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18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89" w:lineRule="exact"/>
        <w:rPr>
          <w:sz w:val="20"/>
          <w:szCs w:val="20"/>
          <w:color w:val="auto"/>
        </w:rPr>
      </w:pPr>
    </w:p>
    <w:p>
      <w:pPr>
        <w:ind w:left="1080" w:right="60" w:hanging="532"/>
        <w:spacing w:after="0" w:line="286"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narrowed in scope or otherwise may not provide any competitive advantage;</w:t>
      </w:r>
    </w:p>
    <w:p>
      <w:pPr>
        <w:spacing w:after="0" w:line="75" w:lineRule="exact"/>
        <w:rPr>
          <w:rFonts w:ascii="Arial" w:cs="Arial" w:eastAsia="Arial" w:hAnsi="Arial"/>
          <w:sz w:val="18"/>
          <w:szCs w:val="18"/>
          <w:color w:val="auto"/>
        </w:rPr>
      </w:pPr>
    </w:p>
    <w:p>
      <w:pPr>
        <w:jc w:val="both"/>
        <w:ind w:left="1080" w:right="80" w:hanging="532"/>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9" w:lineRule="exact"/>
        <w:rPr>
          <w:rFonts w:ascii="Arial" w:cs="Arial" w:eastAsia="Arial" w:hAnsi="Arial"/>
          <w:sz w:val="18"/>
          <w:szCs w:val="18"/>
          <w:color w:val="auto"/>
        </w:rPr>
      </w:pPr>
    </w:p>
    <w:p>
      <w:pPr>
        <w:jc w:val="both"/>
        <w:ind w:left="1080" w:right="320" w:hanging="532"/>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188"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161"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92" w:lineRule="exact"/>
        <w:rPr>
          <w:sz w:val="20"/>
          <w:szCs w:val="20"/>
          <w:color w:val="auto"/>
        </w:rPr>
      </w:pPr>
    </w:p>
    <w:p>
      <w:pPr>
        <w:ind w:left="560" w:right="30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8"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15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16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19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52" w:lineRule="exact"/>
        <w:rPr>
          <w:sz w:val="20"/>
          <w:szCs w:val="20"/>
          <w:color w:val="auto"/>
        </w:rPr>
      </w:pPr>
    </w:p>
    <w:p>
      <w:pPr>
        <w:ind w:left="1080" w:right="52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 applications that we own or license;</w:t>
      </w:r>
    </w:p>
    <w:p>
      <w:pPr>
        <w:spacing w:after="0" w:line="75" w:lineRule="exact"/>
        <w:rPr>
          <w:rFonts w:ascii="Arial" w:cs="Arial" w:eastAsia="Arial" w:hAnsi="Arial"/>
          <w:sz w:val="18"/>
          <w:szCs w:val="18"/>
          <w:color w:val="auto"/>
        </w:rPr>
      </w:pPr>
    </w:p>
    <w:p>
      <w:pPr>
        <w:ind w:left="1080" w:right="8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patent applications that we own or license now or may own or license in the future;</w:t>
      </w:r>
    </w:p>
    <w:p>
      <w:pPr>
        <w:spacing w:after="0" w:line="75"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inventions;</w:t>
      </w:r>
    </w:p>
    <w:p>
      <w:pPr>
        <w:spacing w:after="0" w:line="75"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patents that we may hold rights to may be held invalid or unenforceable, including as a result of legal challenges by our competitors or other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have access to the same intellectual property rights licensed to us in the future on a nonexclusive basis;</w:t>
      </w:r>
    </w:p>
    <w:p>
      <w:pPr>
        <w:spacing w:after="0" w:line="130" w:lineRule="exact"/>
        <w:rPr>
          <w:rFonts w:ascii="Arial" w:cs="Arial" w:eastAsia="Arial" w:hAnsi="Arial"/>
          <w:sz w:val="18"/>
          <w:szCs w:val="18"/>
          <w:color w:val="auto"/>
        </w:rPr>
      </w:pPr>
    </w:p>
    <w:p>
      <w:pPr>
        <w:ind w:left="1080" w:right="540" w:hanging="532"/>
        <w:spacing w:after="0" w:line="308"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333" w:lineRule="exact"/>
        <w:rPr>
          <w:sz w:val="20"/>
          <w:szCs w:val="20"/>
          <w:color w:val="auto"/>
        </w:rPr>
      </w:pPr>
    </w:p>
    <w:p>
      <w:pPr>
        <w:ind w:left="560" w:right="40"/>
        <w:spacing w:after="0" w:line="301" w:lineRule="auto"/>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4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example, we are aware of third-party patent rights that could be construed to cover the use of our TN-201 product candidate. We believe that if these third-party patent rights were to be asserted against us, we would have valid defenses against such assertion,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185"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As the biotechnology industry expands and more patents are issued, the risk increases that our product candidates may be subject to claims of infringement, misappropriation or other violation of the patent or other intellectual property rights of third parties. If any third party claims that we infringe any of the above-referenced patent rights or any other patent rights, such claims would be time consuming and could:</w:t>
      </w:r>
    </w:p>
    <w:p>
      <w:pPr>
        <w:spacing w:after="0" w:line="71"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us to significant liability and damages to third parties, including treble damages if we are found to willfully infringe third party intellectual property; or</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70"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Although no third-party has asserted a claim of patent infringement against us as of the date of this prospectus,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18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Third parties may assert claims of patent infringement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 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18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may in the future pursue invalidity proceedings with respect to third-party patents. The outcome following legal assertions of invalidity is unpredictable. Even if resolved in our favor, these legal proceedings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7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product candidates through acquisitions and in-licenses.</w:t>
      </w:r>
    </w:p>
    <w:p>
      <w:pPr>
        <w:spacing w:after="0" w:line="14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79" w:lineRule="exact"/>
        <w:rPr>
          <w:sz w:val="20"/>
          <w:szCs w:val="20"/>
          <w:color w:val="auto"/>
        </w:rPr>
      </w:pPr>
    </w:p>
    <w:p>
      <w:pPr>
        <w:ind w:left="560" w:right="40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spacing w:after="0" w:line="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potential future patents do not cover such technology. If we or any of our potential future collaborators were to initiate legal proceedings against a third-party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9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172"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5"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232"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existing products, programs or intellectual property could be diminished. Accordingly, the market price of shares of our common stock may decline.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announcements could also harm our reputation or the market for our future products, which could have a material adverse effect on our business.</w:t>
      </w:r>
    </w:p>
    <w:p>
      <w:pPr>
        <w:spacing w:after="0" w:line="34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Derivation proceedings provoked by third parties or brought by us or declared by the USPTO may be necessary to determine the priority of inventions with respect to our patent applications or the patents or patent 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74"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Congress or other foreign legislative bodies may pass patent reform legislation that is unfavorable to us.</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 Smith Act, and many of the substantive changes to patent law associated with the Leahy-Smith Act, and in particular, the first to 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74"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owned patent applications or in-licensed patent rights and other intellectual property.</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17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17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 future patents, the patents of our licensors, or other intellectual property rights may not be effective or sufficient to prevent them from competing.</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left="560"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293"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6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7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consultants, advisors or contractors have wrongfully used or disclosed alleged confidential information or trade secrets.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third-party asserts that we or our employees or other third parties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8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84" w:lineRule="exact"/>
        <w:rPr>
          <w:sz w:val="20"/>
          <w:szCs w:val="20"/>
          <w:color w:val="auto"/>
        </w:rPr>
      </w:pPr>
    </w:p>
    <w:p>
      <w:pPr>
        <w:ind w:left="560" w:right="28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our competitors or that we or our employees have wrongfully used or disclosed alleged confidential information or trade secrets of their former employers.</w:t>
      </w:r>
    </w:p>
    <w:p>
      <w:pPr>
        <w:spacing w:after="0" w:line="3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6" w:lineRule="exact"/>
        <w:rPr>
          <w:sz w:val="20"/>
          <w:szCs w:val="20"/>
          <w:color w:val="auto"/>
        </w:rPr>
      </w:pPr>
    </w:p>
    <w:p>
      <w:pPr>
        <w:ind w:left="560" w:right="60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2"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8"/>
          <w:szCs w:val="18"/>
          <w:color w:val="auto"/>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Additionally, our licenses may be subject to certain rights of third parties, and, as a result, our current and future licenses may not provide us with exclusive rights to use the licensed intellectual property and technology. For example, the IP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6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300" w:lineRule="exact"/>
        <w:rPr>
          <w:sz w:val="20"/>
          <w:szCs w:val="20"/>
          <w:color w:val="auto"/>
        </w:rPr>
      </w:pPr>
    </w:p>
    <w:p>
      <w:pPr>
        <w:ind w:left="560" w:right="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13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involvement or lack of involvement in the prosecution, defense, and enforcement of licensed patents and our licensors’ overall patent enforcement strategy;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9"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IP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ind w:left="560" w:right="2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76"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COVID-19.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18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6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plan to fully integrate and internalize AAV manufacturing capabilities to support our Gene Therapy and Cellular Regeneration platforms, and have initiated construction of a cGMP manufacturing facility. Until our manufacturing facility is complete and operational, we will continue to rely on third-party manufacturers for our Gene Therapy and Cellular Regeneration platforms. Moreover, to optimize our use of resources and utilize extensive third-party experience in small molecule manufacturing, we intend to continue to rely on third-party manufacturers for our small molecule programs.</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Competition for third-party manufacturers and supplies has increased as a result of COVID-19. Changing third-party manufacturers could result in delays in our manufacturing supply chain which could delay or otherwise impact development of our programs and result in increased costs.</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188"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2" w:lineRule="exact"/>
        <w:rPr>
          <w:sz w:val="20"/>
          <w:szCs w:val="20"/>
          <w:color w:val="auto"/>
        </w:rPr>
      </w:pPr>
    </w:p>
    <w:p>
      <w:pPr>
        <w:ind w:left="1080" w:right="12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the third-party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 including cGMPs;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the third-party to manufacture our product candidates according to our specifications;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infringement, misappropriation or other violation of our intellectual property or proprietary information, including our trade secrets and know-how.</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18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quality control, quality assurance,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7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rely on third-party suppliers for the raw materials required for the production of our product candidates for all of our programs. Our reliance on third-party supplies will continue even after we operationalize our cGMP manufacturing facility to support our Gene Therapy and Cellular Regeneration platforms.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168"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232"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Our reliance on third parties may require us to share our trade secrets, which increases the possibility that our competitors will discover them or that our trade secrets will be misappropriated or disclosed.</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300"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From time to time, we evaluate various acquisition opportunities and strategic partnerships, including licensing or acquiring complementary</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products, intellectual property rights, technologies or businesses. Any potential acquisition or strategic partnership may entail numerous risks, including:</w:t>
      </w:r>
    </w:p>
    <w:p>
      <w:pPr>
        <w:spacing w:after="0" w:line="1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54"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72"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3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92" w:lineRule="exact"/>
        <w:rPr>
          <w:sz w:val="20"/>
          <w:szCs w:val="20"/>
          <w:color w:val="auto"/>
        </w:rPr>
      </w:pPr>
    </w:p>
    <w:p>
      <w:pPr>
        <w:ind w:left="1080" w:right="40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92"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right="280" w:hanging="532"/>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4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130"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92" w:lineRule="exact"/>
        <w:rPr>
          <w:rFonts w:ascii="Arial" w:cs="Arial" w:eastAsia="Arial" w:hAnsi="Arial"/>
          <w:sz w:val="18"/>
          <w:szCs w:val="18"/>
          <w:color w:val="auto"/>
        </w:rPr>
      </w:pPr>
    </w:p>
    <w:p>
      <w:pPr>
        <w:ind w:left="1080" w:right="680" w:hanging="532"/>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9"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53" w:lineRule="exact"/>
        <w:rPr>
          <w:rFonts w:ascii="Arial" w:cs="Arial" w:eastAsia="Arial" w:hAnsi="Arial"/>
          <w:sz w:val="16"/>
          <w:szCs w:val="16"/>
          <w:color w:val="auto"/>
        </w:rPr>
      </w:pPr>
    </w:p>
    <w:p>
      <w:pPr>
        <w:ind w:left="1080" w:right="620" w:hanging="532"/>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89"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89" w:lineRule="exact"/>
        <w:rPr>
          <w:sz w:val="20"/>
          <w:szCs w:val="20"/>
          <w:color w:val="auto"/>
        </w:rPr>
      </w:pPr>
    </w:p>
    <w:p>
      <w:pPr>
        <w:ind w:left="560" w:right="80"/>
        <w:spacing w:after="0" w:line="375" w:lineRule="auto"/>
        <w:rPr>
          <w:sz w:val="20"/>
          <w:szCs w:val="20"/>
          <w:color w:val="auto"/>
        </w:rPr>
      </w:pPr>
      <w:r>
        <w:rPr>
          <w:rFonts w:ascii="Arial" w:cs="Arial" w:eastAsia="Arial" w:hAnsi="Arial"/>
          <w:sz w:val="15"/>
          <w:szCs w:val="15"/>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31" w:lineRule="exact"/>
        <w:rPr>
          <w:sz w:val="20"/>
          <w:szCs w:val="20"/>
          <w:color w:val="auto"/>
        </w:rPr>
      </w:pPr>
    </w:p>
    <w:p>
      <w:pPr>
        <w:ind w:left="1080" w:right="20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compliance, customer service, medical affairs and other support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recruit and build a commercial infrastructure due to the impacts of COVID-19;</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75"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560" w:right="500"/>
        <w:spacing w:after="0" w:line="308"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3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representatives of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trading price of our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prospectus, these factors include:</w:t>
      </w:r>
    </w:p>
    <w:p>
      <w:pPr>
        <w:spacing w:after="0" w:line="76" w:lineRule="exact"/>
        <w:rPr>
          <w:sz w:val="20"/>
          <w:szCs w:val="20"/>
          <w:color w:val="auto"/>
        </w:rPr>
      </w:pPr>
    </w:p>
    <w:p>
      <w:pPr>
        <w:ind w:left="1080" w:right="30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availability of fiscal and monetary stimulus measures to counteract the impact of natural disasters or public health emergencies, such as the COVID-19 pandemic;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programs, product candidates and any future programs and product candidates, which will change from time to time;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establishing and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product candidates, or competing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programs and product candidates, and changes in the competitive landscape of our industry, including consolidation among our competitors or partners;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level of demand for our product candidates, if approved, which may fluctuate significantly and be difficult to predict;</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commercialize any of our product candidates, if approved, inside and outside of the United States, either independently or working with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 and</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impact from COVID-19 on the costs and timing associated with the conduct of our clinical trial and other related business activities.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72"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of March 31, 2021, our executive officers, directors, holders of 5% or more of our capital stock and their respective affiliates beneficially owned approximately 66.3% of our common stock and, upon the closing of this offering, that same group will beneficially own approximately % of our outstanding common stock (based on the number of shares of common stock outstanding as of March 31, 2021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closing of this offering.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Participation in this offering by our existing stockholders and/or their affiliated entities may reduce the public float for our common stock.</w:t>
      </w:r>
    </w:p>
    <w:p>
      <w:pPr>
        <w:spacing w:after="0" w:line="14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To the extent certain of our existing stockholders who are our affiliates or their affiliated entities participate in this offering, such purchases would reduce the non-affiliate public float of our common stock after this offering, which is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You will incur immediate and substantial dilution as a result of this offering.</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purchase common stock in this offering, you will incur immediate and substantial dilution of approximately $ representing the difference between the assumed initial public offering price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per share,</w:t>
      </w:r>
    </w:p>
    <w:p>
      <w:pPr>
        <w:spacing w:after="0" w:line="408" w:lineRule="exact"/>
        <w:rPr>
          <w:sz w:val="20"/>
          <w:szCs w:val="20"/>
          <w:color w:val="auto"/>
        </w:rPr>
      </w:pPr>
    </w:p>
    <w:p>
      <w:pPr>
        <w:sectPr>
          <w:pgSz w:w="11900" w:h="16838" w:orient="portrait"/>
          <w:cols w:equalWidth="0" w:num="2">
            <w:col w:w="8920" w:space="600"/>
            <w:col w:w="160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20"/>
          </w:cols>
          <w:pgMar w:left="320" w:top="459" w:right="45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of $ per share, which is the midpoint of the estimated offering price range set forth on the cover page of this prospectus, after deducting the underwriting discounts and commissions and estimated offering expenses payable by us, and our pro forma net tangible book value per share after giving effect to this offering and the automatic conversion of all outstanding shares of our convertible preferred stock immediately prior to the closing of</w:t>
      </w:r>
    </w:p>
    <w:p>
      <w:pPr>
        <w:spacing w:after="0" w:line="2" w:lineRule="exact"/>
        <w:rPr>
          <w:sz w:val="20"/>
          <w:szCs w:val="20"/>
          <w:color w:val="auto"/>
        </w:rPr>
      </w:pPr>
    </w:p>
    <w:p>
      <w:pPr>
        <w:ind w:left="120" w:right="320"/>
        <w:spacing w:after="0" w:line="265" w:lineRule="auto"/>
        <w:rPr>
          <w:sz w:val="20"/>
          <w:szCs w:val="20"/>
          <w:color w:val="auto"/>
        </w:rPr>
      </w:pPr>
      <w:r>
        <w:rPr>
          <w:rFonts w:ascii="Arial" w:cs="Arial" w:eastAsia="Arial" w:hAnsi="Arial"/>
          <w:sz w:val="17"/>
          <w:szCs w:val="17"/>
          <w:color w:val="auto"/>
        </w:rPr>
        <w:t>this offering. As of March 31, 2021, there were shares subject to outstanding options with a weighted-average exercise price of $ per share. To the extent that these outstanding options or other options that we have issued or may issue in the future are ultimately exercised or the</w:t>
      </w:r>
    </w:p>
    <w:p>
      <w:pPr>
        <w:ind w:left="120" w:right="140"/>
        <w:spacing w:after="0" w:line="260" w:lineRule="auto"/>
        <w:rPr>
          <w:sz w:val="20"/>
          <w:szCs w:val="20"/>
          <w:color w:val="auto"/>
        </w:rPr>
      </w:pPr>
      <w:r>
        <w:rPr>
          <w:rFonts w:ascii="Arial" w:cs="Arial" w:eastAsia="Arial" w:hAnsi="Arial"/>
          <w:sz w:val="18"/>
          <w:szCs w:val="18"/>
          <w:color w:val="auto"/>
        </w:rPr>
        <w:t>underwriters exercise their option to purchase additional shares, you will incur further dilution. See the section of this prospectus titled “Dilution” for a further description of the dilution you will experience immediately after this offering.</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w:t>
      </w:r>
    </w:p>
    <w:p>
      <w:pPr>
        <w:ind w:left="120"/>
        <w:spacing w:after="0" w:line="286" w:lineRule="auto"/>
        <w:rPr>
          <w:sz w:val="20"/>
          <w:szCs w:val="20"/>
          <w:color w:val="auto"/>
        </w:rPr>
      </w:pPr>
      <w:r>
        <w:rPr>
          <w:rFonts w:ascii="Arial" w:cs="Arial" w:eastAsia="Arial" w:hAnsi="Arial"/>
          <w:sz w:val="16"/>
          <w:szCs w:val="16"/>
          <w:color w:val="auto"/>
        </w:rPr>
        <w:t>have outstanding shares of common stock, based on the number of shares outstanding as of March 31, 2021, assuming: (1) no exercise of the underwriters’ option to purchase additional shares and (2) the conversion of all outstanding shares of our convertible preferred stock into shares of common stock immediately prior to the closing of this offering. This includes the shares that we sell in this offering, which may be resold in the public market immediately without restriction, unless purchased by our affiliates. Of the remaining shares, 163,948,679 shares of our common stock are currently restricted as a result of securities laws or market stand-off or lock-up agreements but will be able to be sold after this offering as described in the “Shares Eligible for Future Sale” section of this prospectus. Moreover, after this offering, holders of an aggregate of 156,613,818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“Underwriters” section of this prospectus.</w:t>
      </w:r>
    </w:p>
    <w:p>
      <w:pPr>
        <w:spacing w:after="0" w:line="16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“Underwriters,” not to sell, directly or indirectly, any shares of common stock without the permission of the underwriters for a period of 180 days following the date of this prospectus. We refer to such period as the lock-up period or restricted period. When the lock-up period expires, we and our securityholders subject to 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more information.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276" w:lineRule="exact"/>
        <w:rPr>
          <w:sz w:val="20"/>
          <w:szCs w:val="20"/>
          <w:color w:val="auto"/>
        </w:rPr>
      </w:pPr>
    </w:p>
    <w:p>
      <w:pPr>
        <w:ind w:left="560" w:right="2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exemptions from various reporting requirements that are applicable to other public companies that are not emerging growth companies, including:</w:t>
      </w:r>
    </w:p>
    <w:p>
      <w:pPr>
        <w:spacing w:after="0" w:line="142" w:lineRule="exact"/>
        <w:rPr>
          <w:sz w:val="20"/>
          <w:szCs w:val="20"/>
          <w:color w:val="auto"/>
        </w:rPr>
      </w:pPr>
    </w:p>
    <w:p>
      <w:pPr>
        <w:ind w:left="1080" w:right="32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this prospectus and our periodic reports and proxy statements; and</w:t>
      </w:r>
    </w:p>
    <w:p>
      <w:pPr>
        <w:spacing w:after="0" w:line="153"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5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as defined in the Securities Exchange Act of 1934, as amended (Exchange Act),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5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32"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9"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40"/>
        <w:spacing w:after="0" w:line="26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Stock Market LLC (Nasdaq). Our management and other personnel will need to devote a substantial amount of time to these compliance initiatives. Moreover, we expect these rules, regulations and standards to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reasonably assure that information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“Use of Proceeds,” and you will be relying on the judgment of our management regarding the application of these proceeds, who could spend the proceeds in ways that do not improve our results of operations or enhance the value of our common stock. You will not have the opportunity, as part of your investment decision, to assess whether we are using the proceeds appropriately. Our management might not apply the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265"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in the foreseeable future, so any returns will be limited to the value of our common stock.</w:t>
      </w:r>
    </w:p>
    <w:p>
      <w:pPr>
        <w:spacing w:after="0" w:line="62"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292"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as they will be in effect upon closing of this offering, and Delaware law might discourage, delay or prevent a change in control of our company or changes in our management and, therefore, depress the market price of our common stock.</w:t>
      </w:r>
    </w:p>
    <w:p>
      <w:pPr>
        <w:spacing w:after="0" w:line="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as they will be in effect upon closing of this offering, will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prevent any attempts by our stockholders to replace or remove our current management by making it more difficult for stockholders to replace members of our board of directors. These provisions, among other things:</w:t>
      </w:r>
    </w:p>
    <w:p>
      <w:pPr>
        <w:spacing w:after="0" w:line="76"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75" w:lineRule="exact"/>
        <w:rPr>
          <w:rFonts w:ascii="Arial" w:cs="Arial" w:eastAsia="Arial" w:hAnsi="Arial"/>
          <w:sz w:val="18"/>
          <w:szCs w:val="18"/>
          <w:color w:val="auto"/>
        </w:rPr>
      </w:pPr>
    </w:p>
    <w:p>
      <w:pPr>
        <w:ind w:left="1080" w:right="8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or repeal specified provisions of our amended and restated certificate of incorporation and amended and restated bylaws, as they will be in effect upon closing of this offering.</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9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8"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provision would not apply to suits brought to enforce a duty or liability created by the Exchange Act or any other claim for which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courts have exclusive jurisdiction.</w:t>
      </w:r>
    </w:p>
    <w:p>
      <w:pPr>
        <w:spacing w:after="0" w:line="21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83" w:lineRule="exact"/>
        <w:rPr>
          <w:sz w:val="20"/>
          <w:szCs w:val="20"/>
          <w:color w:val="auto"/>
        </w:rPr>
      </w:pPr>
    </w:p>
    <w:p>
      <w:pPr>
        <w:ind w:left="1080" w:right="42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ability of our preclinical studies and planned clinical trials to demonstrate safety and efficacy of our product candidates, and other positive results;</w:t>
      </w:r>
    </w:p>
    <w:p>
      <w:pPr>
        <w:spacing w:after="0" w:line="75" w:lineRule="exact"/>
        <w:rPr>
          <w:rFonts w:ascii="Arial" w:cs="Arial" w:eastAsia="Arial" w:hAnsi="Arial"/>
          <w:sz w:val="18"/>
          <w:szCs w:val="18"/>
          <w:color w:val="auto"/>
        </w:rPr>
      </w:pPr>
    </w:p>
    <w:p>
      <w:pPr>
        <w:ind w:left="1080" w:right="520" w:hanging="532"/>
        <w:spacing w:after="0" w:line="286"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timing, progress and results of preclinical studies and planned clinical trials for our current product candidates and other product candidates we may develop, including statements regarding the timing of initiation and completion of studies or trials and related preparatory work, and the period during which the results of the studies or trials will become available;</w:t>
      </w:r>
    </w:p>
    <w:p>
      <w:pPr>
        <w:spacing w:after="0" w:line="70" w:lineRule="exact"/>
        <w:rPr>
          <w:rFonts w:ascii="Arial" w:cs="Arial" w:eastAsia="Arial" w:hAnsi="Arial"/>
          <w:sz w:val="17"/>
          <w:szCs w:val="17"/>
          <w:color w:val="auto"/>
        </w:rPr>
      </w:pPr>
    </w:p>
    <w:p>
      <w:pPr>
        <w:ind w:left="1080" w:right="8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INDs, CTAs, FDA approvals, and final regulatory approval of our current product candidates and any other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strategy and the timing of our facilities becoming operational;</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beneficial characteristics, and the potential safety, efficacy and therapeutic effects of our product candidates and our approach;</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plans relating to the further development of our product candidates, including additional indications and targets we may pursue;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impact of existing laws and regulations and regulatory developments in the United States, Europe and other jurisdictions;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on our business, including our preclinical studies and clinical trials;</w:t>
      </w:r>
    </w:p>
    <w:p>
      <w:pPr>
        <w:spacing w:after="0" w:line="142" w:lineRule="exact"/>
        <w:rPr>
          <w:rFonts w:ascii="Arial" w:cs="Arial" w:eastAsia="Arial" w:hAnsi="Arial"/>
          <w:sz w:val="17"/>
          <w:szCs w:val="17"/>
          <w:color w:val="auto"/>
        </w:rPr>
      </w:pPr>
    </w:p>
    <w:p>
      <w:pPr>
        <w:ind w:left="1080" w:right="4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4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partnership, licensing or other arrangements that may be necessary or desirable to develop, manufacture or commercialize our product candidates;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pricing and reimbursement of our current product candidates and other product candidates we may develop, if approved, including any increase in demand as a result of the availability of reimbursement from the government and third party payors;</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product candidates and other product candidates we may develop;</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remain an emerging growth company under the JOBS 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net proceeds from this offering.</w:t>
      </w:r>
    </w:p>
    <w:p>
      <w:pPr>
        <w:spacing w:after="0" w:line="225" w:lineRule="exact"/>
        <w:rPr>
          <w:sz w:val="20"/>
          <w:szCs w:val="20"/>
          <w:color w:val="auto"/>
        </w:rPr>
      </w:pPr>
    </w:p>
    <w:p>
      <w:pPr>
        <w:jc w:val="both"/>
        <w:ind w:left="120" w:right="40" w:firstLine="440"/>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66"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Investors are cautioned not to give undue weight to any such information, projections and estimates.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80" w:type="dxa"/>
            <w:vAlign w:val="bottom"/>
          </w:tcPr>
          <w:p>
            <w:pPr>
              <w:ind w:left="600"/>
              <w:spacing w:after="0"/>
              <w:rPr>
                <w:sz w:val="20"/>
                <w:szCs w:val="20"/>
                <w:color w:val="auto"/>
              </w:rPr>
            </w:pPr>
            <w:r>
              <w:rPr>
                <w:rFonts w:ascii="Arial" w:cs="Arial" w:eastAsia="Arial" w:hAnsi="Arial"/>
                <w:sz w:val="18"/>
                <w:szCs w:val="18"/>
                <w:b w:val="1"/>
                <w:bCs w:val="1"/>
                <w:color w:val="auto"/>
              </w:rPr>
              <w:t>USE OF PROCEEDS</w:t>
            </w:r>
          </w:p>
        </w:tc>
        <w:tc>
          <w:tcPr>
            <w:tcW w:w="3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8"/>
        </w:trPr>
        <w:tc>
          <w:tcPr>
            <w:tcW w:w="10040" w:type="dxa"/>
            <w:vAlign w:val="bottom"/>
            <w:gridSpan w:val="5"/>
          </w:tcPr>
          <w:p>
            <w:pPr>
              <w:ind w:left="560"/>
              <w:spacing w:after="0"/>
              <w:rPr>
                <w:sz w:val="20"/>
                <w:szCs w:val="20"/>
                <w:color w:val="auto"/>
              </w:rPr>
            </w:pPr>
            <w:r>
              <w:rPr>
                <w:rFonts w:ascii="Arial" w:cs="Arial" w:eastAsia="Arial" w:hAnsi="Arial"/>
                <w:sz w:val="18"/>
                <w:szCs w:val="18"/>
                <w:color w:val="auto"/>
                <w:w w:val="93"/>
              </w:rPr>
              <w:t>We estimate that the net proceeds to us from the sale of the shares of our common stock in this offering will be approximately $</w:t>
            </w:r>
          </w:p>
        </w:tc>
        <w:tc>
          <w:tcPr>
            <w:tcW w:w="1040" w:type="dxa"/>
            <w:vAlign w:val="bottom"/>
          </w:tcPr>
          <w:p>
            <w:pPr>
              <w:ind w:left="280"/>
              <w:spacing w:after="0"/>
              <w:rPr>
                <w:sz w:val="20"/>
                <w:szCs w:val="20"/>
                <w:color w:val="auto"/>
              </w:rPr>
            </w:pPr>
            <w:r>
              <w:rPr>
                <w:rFonts w:ascii="Arial" w:cs="Arial" w:eastAsia="Arial" w:hAnsi="Arial"/>
                <w:sz w:val="18"/>
                <w:szCs w:val="18"/>
                <w:color w:val="auto"/>
                <w:w w:val="96"/>
              </w:rPr>
              <w:t>million, or</w:t>
            </w:r>
          </w:p>
        </w:tc>
      </w:tr>
      <w:tr>
        <w:trPr>
          <w:trHeight w:val="216"/>
        </w:trPr>
        <w:tc>
          <w:tcPr>
            <w:tcW w:w="1660" w:type="dxa"/>
            <w:vAlign w:val="bottom"/>
            <w:gridSpan w:val="2"/>
          </w:tcPr>
          <w:p>
            <w:pPr>
              <w:ind w:left="120"/>
              <w:spacing w:after="0"/>
              <w:rPr>
                <w:sz w:val="20"/>
                <w:szCs w:val="20"/>
                <w:color w:val="auto"/>
              </w:rPr>
            </w:pPr>
            <w:r>
              <w:rPr>
                <w:rFonts w:ascii="Arial" w:cs="Arial" w:eastAsia="Arial" w:hAnsi="Arial"/>
                <w:sz w:val="18"/>
                <w:szCs w:val="18"/>
                <w:color w:val="auto"/>
              </w:rPr>
              <w:t>approximately $</w:t>
            </w:r>
          </w:p>
        </w:tc>
        <w:tc>
          <w:tcPr>
            <w:tcW w:w="9420" w:type="dxa"/>
            <w:vAlign w:val="bottom"/>
            <w:gridSpan w:val="4"/>
          </w:tcPr>
          <w:p>
            <w:pPr>
              <w:ind w:left="220"/>
              <w:spacing w:after="0"/>
              <w:rPr>
                <w:sz w:val="20"/>
                <w:szCs w:val="20"/>
                <w:color w:val="auto"/>
              </w:rPr>
            </w:pPr>
            <w:r>
              <w:rPr>
                <w:rFonts w:ascii="Arial" w:cs="Arial" w:eastAsia="Arial" w:hAnsi="Arial"/>
                <w:sz w:val="18"/>
                <w:szCs w:val="18"/>
                <w:color w:val="auto"/>
                <w:w w:val="95"/>
              </w:rPr>
              <w:t>million if the underwriters exercise their option to purchase additional shares in full, based upon the assumed initial public</w:t>
            </w:r>
          </w:p>
        </w:tc>
      </w:tr>
      <w:tr>
        <w:trPr>
          <w:trHeight w:val="216"/>
        </w:trPr>
        <w:tc>
          <w:tcPr>
            <w:tcW w:w="1660" w:type="dxa"/>
            <w:vAlign w:val="bottom"/>
            <w:gridSpan w:val="2"/>
          </w:tcPr>
          <w:p>
            <w:pPr>
              <w:ind w:left="120"/>
              <w:spacing w:after="0"/>
              <w:rPr>
                <w:sz w:val="20"/>
                <w:szCs w:val="20"/>
                <w:color w:val="auto"/>
              </w:rPr>
            </w:pPr>
            <w:r>
              <w:rPr>
                <w:rFonts w:ascii="Arial" w:cs="Arial" w:eastAsia="Arial" w:hAnsi="Arial"/>
                <w:sz w:val="18"/>
                <w:szCs w:val="18"/>
                <w:color w:val="auto"/>
              </w:rPr>
              <w:t>offering price of $</w:t>
            </w:r>
          </w:p>
        </w:tc>
        <w:tc>
          <w:tcPr>
            <w:tcW w:w="9420" w:type="dxa"/>
            <w:vAlign w:val="bottom"/>
            <w:gridSpan w:val="4"/>
          </w:tcPr>
          <w:p>
            <w:pPr>
              <w:ind w:left="360"/>
              <w:spacing w:after="0"/>
              <w:rPr>
                <w:sz w:val="20"/>
                <w:szCs w:val="20"/>
                <w:color w:val="auto"/>
              </w:rPr>
            </w:pPr>
            <w:r>
              <w:rPr>
                <w:rFonts w:ascii="Arial" w:cs="Arial" w:eastAsia="Arial" w:hAnsi="Arial"/>
                <w:sz w:val="18"/>
                <w:szCs w:val="18"/>
                <w:color w:val="auto"/>
                <w:w w:val="94"/>
              </w:rPr>
              <w:t>per share, which is the midpoint of the price range set forth on the cover page of this prospectus, and after deducting the</w:t>
            </w:r>
          </w:p>
        </w:tc>
      </w:tr>
      <w:tr>
        <w:trPr>
          <w:trHeight w:val="230"/>
        </w:trPr>
        <w:tc>
          <w:tcPr>
            <w:tcW w:w="6660" w:type="dxa"/>
            <w:vAlign w:val="bottom"/>
            <w:gridSpan w:val="4"/>
          </w:tcPr>
          <w:p>
            <w:pPr>
              <w:ind w:left="120"/>
              <w:spacing w:after="0"/>
              <w:rPr>
                <w:sz w:val="20"/>
                <w:szCs w:val="20"/>
                <w:color w:val="auto"/>
              </w:rPr>
            </w:pPr>
            <w:r>
              <w:rPr>
                <w:rFonts w:ascii="Arial" w:cs="Arial" w:eastAsia="Arial" w:hAnsi="Arial"/>
                <w:sz w:val="18"/>
                <w:szCs w:val="18"/>
                <w:color w:val="auto"/>
                <w:w w:val="91"/>
              </w:rPr>
              <w:t>underwriting discounts and commissions and estimated offering expenses payable by us.</w:t>
            </w:r>
          </w:p>
        </w:tc>
        <w:tc>
          <w:tcPr>
            <w:tcW w:w="3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6660" w:type="dxa"/>
            <w:vAlign w:val="bottom"/>
            <w:gridSpan w:val="4"/>
          </w:tcPr>
          <w:p>
            <w:pPr>
              <w:ind w:left="56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w w:val="88"/>
              </w:rPr>
              <w:t>per share would increase or decrease, as applicable, the net</w:t>
            </w:r>
          </w:p>
        </w:tc>
      </w:tr>
      <w:tr>
        <w:trPr>
          <w:trHeight w:val="230"/>
        </w:trPr>
        <w:tc>
          <w:tcPr>
            <w:tcW w:w="4180" w:type="dxa"/>
            <w:vAlign w:val="bottom"/>
            <w:gridSpan w:val="3"/>
          </w:tcPr>
          <w:p>
            <w:pPr>
              <w:ind w:left="120"/>
              <w:spacing w:after="0"/>
              <w:rPr>
                <w:sz w:val="20"/>
                <w:szCs w:val="20"/>
                <w:color w:val="auto"/>
              </w:rPr>
            </w:pPr>
            <w:r>
              <w:rPr>
                <w:rFonts w:ascii="Arial" w:cs="Arial" w:eastAsia="Arial" w:hAnsi="Arial"/>
                <w:sz w:val="18"/>
                <w:szCs w:val="18"/>
                <w:color w:val="auto"/>
                <w:w w:val="97"/>
              </w:rPr>
              <w:t>proceeds to us from this offering by approximately $</w:t>
            </w:r>
          </w:p>
        </w:tc>
        <w:tc>
          <w:tcPr>
            <w:tcW w:w="6900" w:type="dxa"/>
            <w:vAlign w:val="bottom"/>
            <w:gridSpan w:val="3"/>
          </w:tcPr>
          <w:p>
            <w:pPr>
              <w:ind w:left="280"/>
              <w:spacing w:after="0"/>
              <w:rPr>
                <w:sz w:val="20"/>
                <w:szCs w:val="20"/>
                <w:color w:val="auto"/>
              </w:rPr>
            </w:pPr>
            <w:r>
              <w:rPr>
                <w:rFonts w:ascii="Arial" w:cs="Arial" w:eastAsia="Arial" w:hAnsi="Arial"/>
                <w:sz w:val="18"/>
                <w:szCs w:val="18"/>
                <w:color w:val="auto"/>
                <w:w w:val="91"/>
              </w:rPr>
              <w:t>million, assuming the number of shares offered by us, as set forth on the cover page of this</w:t>
            </w:r>
          </w:p>
        </w:tc>
      </w:tr>
    </w:tbl>
    <w:p>
      <w:pPr>
        <w:ind w:left="120" w:right="6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remains the same, and after deducting the underwriting discounts and commissions and estimated offering expenses payable by us. Similarly, each increase or decrease of 1.0 million shares in the number of shares offered by us would increase or decrease, as applicable, the net</w:t>
      </w:r>
    </w:p>
    <w:p>
      <w:pPr>
        <w:spacing w:after="0" w:line="1"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color w:val="auto"/>
        </w:rPr>
        <w:t>proceeds to us from this offering by approximately $ million, assuming the assumed initial public offering price remains the same, and after deducting the underwriting discounts and commissions and estimated offering expenses payable by us.</w:t>
      </w:r>
    </w:p>
    <w:p>
      <w:pPr>
        <w:spacing w:after="0" w:line="18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 We currently intend to use the net proceeds from this offering, together with our existing cash and cash equivalents, as follows:</w:t>
      </w:r>
    </w:p>
    <w:p>
      <w:pPr>
        <w:spacing w:after="0" w:line="8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1420" w:type="dxa"/>
            <w:vAlign w:val="bottom"/>
          </w:tcPr>
          <w:p>
            <w:pPr>
              <w:ind w:left="280"/>
              <w:spacing w:after="0"/>
              <w:rPr>
                <w:sz w:val="20"/>
                <w:szCs w:val="20"/>
                <w:color w:val="auto"/>
              </w:rPr>
            </w:pPr>
            <w:r>
              <w:rPr>
                <w:rFonts w:ascii="Arial" w:cs="Arial" w:eastAsia="Arial" w:hAnsi="Arial"/>
                <w:sz w:val="18"/>
                <w:szCs w:val="18"/>
                <w:color w:val="auto"/>
              </w:rPr>
              <w:t>million to $</w:t>
            </w:r>
          </w:p>
        </w:tc>
        <w:tc>
          <w:tcPr>
            <w:tcW w:w="7040" w:type="dxa"/>
            <w:vAlign w:val="bottom"/>
          </w:tcPr>
          <w:p>
            <w:pPr>
              <w:ind w:left="300"/>
              <w:spacing w:after="0"/>
              <w:rPr>
                <w:sz w:val="20"/>
                <w:szCs w:val="20"/>
                <w:color w:val="auto"/>
              </w:rPr>
            </w:pPr>
            <w:r>
              <w:rPr>
                <w:rFonts w:ascii="Arial" w:cs="Arial" w:eastAsia="Arial" w:hAnsi="Arial"/>
                <w:sz w:val="18"/>
                <w:szCs w:val="18"/>
                <w:color w:val="auto"/>
                <w:w w:val="96"/>
              </w:rPr>
              <w:t>million to fund our ongoing and planned preclinical and clinical development of our most</w:t>
            </w:r>
          </w:p>
        </w:tc>
      </w:tr>
      <w:tr>
        <w:trPr>
          <w:trHeight w:val="230"/>
        </w:trPr>
        <w:tc>
          <w:tcPr>
            <w:tcW w:w="30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advanced product candidates, TN-201 in our MYBPC3 Gene Therapy program and TYA-11631 in our HDAC6i program;</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1420" w:type="dxa"/>
            <w:vAlign w:val="bottom"/>
          </w:tcPr>
          <w:p>
            <w:pPr>
              <w:ind w:left="280"/>
              <w:spacing w:after="0"/>
              <w:rPr>
                <w:sz w:val="20"/>
                <w:szCs w:val="20"/>
                <w:color w:val="auto"/>
              </w:rPr>
            </w:pPr>
            <w:r>
              <w:rPr>
                <w:rFonts w:ascii="Arial" w:cs="Arial" w:eastAsia="Arial" w:hAnsi="Arial"/>
                <w:sz w:val="18"/>
                <w:szCs w:val="18"/>
                <w:color w:val="auto"/>
              </w:rPr>
              <w:t>million to $</w:t>
            </w:r>
          </w:p>
        </w:tc>
        <w:tc>
          <w:tcPr>
            <w:tcW w:w="7040" w:type="dxa"/>
            <w:vAlign w:val="bottom"/>
          </w:tcPr>
          <w:p>
            <w:pPr>
              <w:ind w:left="300"/>
              <w:spacing w:after="0"/>
              <w:rPr>
                <w:sz w:val="20"/>
                <w:szCs w:val="20"/>
                <w:color w:val="auto"/>
              </w:rPr>
            </w:pPr>
            <w:r>
              <w:rPr>
                <w:rFonts w:ascii="Arial" w:cs="Arial" w:eastAsia="Arial" w:hAnsi="Arial"/>
                <w:sz w:val="18"/>
                <w:szCs w:val="18"/>
                <w:color w:val="auto"/>
                <w:w w:val="92"/>
              </w:rPr>
              <w:t>million to fund the continued development of our other programs, including our DWORF and</w:t>
            </w:r>
          </w:p>
        </w:tc>
      </w:tr>
      <w:tr>
        <w:trPr>
          <w:trHeight w:val="230"/>
        </w:trPr>
        <w:tc>
          <w:tcPr>
            <w:tcW w:w="300" w:type="dxa"/>
            <w:vAlign w:val="bottom"/>
          </w:tcPr>
          <w:p>
            <w:pPr>
              <w:spacing w:after="0"/>
              <w:rPr>
                <w:sz w:val="20"/>
                <w:szCs w:val="20"/>
                <w:color w:val="auto"/>
              </w:rPr>
            </w:pPr>
          </w:p>
        </w:tc>
        <w:tc>
          <w:tcPr>
            <w:tcW w:w="3140" w:type="dxa"/>
            <w:vAlign w:val="bottom"/>
            <w:gridSpan w:val="2"/>
          </w:tcPr>
          <w:p>
            <w:pPr>
              <w:ind w:left="240"/>
              <w:spacing w:after="0"/>
              <w:rPr>
                <w:sz w:val="20"/>
                <w:szCs w:val="20"/>
                <w:color w:val="auto"/>
              </w:rPr>
            </w:pPr>
            <w:r>
              <w:rPr>
                <w:rFonts w:ascii="Arial" w:cs="Arial" w:eastAsia="Arial" w:hAnsi="Arial"/>
                <w:sz w:val="18"/>
                <w:szCs w:val="18"/>
                <w:color w:val="auto"/>
              </w:rPr>
              <w:t>Reprogramming programs;</w:t>
            </w:r>
          </w:p>
        </w:tc>
        <w:tc>
          <w:tcPr>
            <w:tcW w:w="7040" w:type="dxa"/>
            <w:vAlign w:val="bottom"/>
          </w:tcPr>
          <w:p>
            <w:pPr>
              <w:spacing w:after="0"/>
              <w:rPr>
                <w:sz w:val="20"/>
                <w:szCs w:val="20"/>
                <w:color w:val="auto"/>
              </w:rPr>
            </w:pPr>
          </w:p>
        </w:tc>
      </w:tr>
      <w:tr>
        <w:trPr>
          <w:trHeight w:val="338"/>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1420" w:type="dxa"/>
            <w:vAlign w:val="bottom"/>
          </w:tcPr>
          <w:p>
            <w:pPr>
              <w:ind w:left="280"/>
              <w:spacing w:after="0"/>
              <w:rPr>
                <w:sz w:val="20"/>
                <w:szCs w:val="20"/>
                <w:color w:val="auto"/>
              </w:rPr>
            </w:pPr>
            <w:r>
              <w:rPr>
                <w:rFonts w:ascii="Arial" w:cs="Arial" w:eastAsia="Arial" w:hAnsi="Arial"/>
                <w:sz w:val="18"/>
                <w:szCs w:val="18"/>
                <w:color w:val="auto"/>
              </w:rPr>
              <w:t>million to $</w:t>
            </w:r>
          </w:p>
        </w:tc>
        <w:tc>
          <w:tcPr>
            <w:tcW w:w="7040" w:type="dxa"/>
            <w:vAlign w:val="bottom"/>
          </w:tcPr>
          <w:p>
            <w:pPr>
              <w:ind w:left="300"/>
              <w:spacing w:after="0"/>
              <w:rPr>
                <w:sz w:val="20"/>
                <w:szCs w:val="20"/>
                <w:color w:val="auto"/>
              </w:rPr>
            </w:pPr>
            <w:r>
              <w:rPr>
                <w:rFonts w:ascii="Arial" w:cs="Arial" w:eastAsia="Arial" w:hAnsi="Arial"/>
                <w:sz w:val="18"/>
                <w:szCs w:val="18"/>
                <w:color w:val="auto"/>
              </w:rPr>
              <w:t>million to fund the expansion of our manufacturing capabilities and facilities; and</w:t>
            </w:r>
          </w:p>
        </w:tc>
      </w:tr>
    </w:tbl>
    <w:p>
      <w:pPr>
        <w:spacing w:after="0" w:line="107"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remaining amounts, if any, for working capital and other general corporate purposes.</w:t>
      </w:r>
    </w:p>
    <w:p>
      <w:pPr>
        <w:spacing w:after="0" w:line="22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and we may require additional funds in order to fully accomplish the specified uses listed above. We believe opportunities may exist from time to time to expand our current business through licenses with or acquisitions of, or investments in, complementary businesses, products, intellectual property or technologies. While we have no current agreements, commitments or understandings for any specific licenses, acquisitions or investments at this time, we may use a portion of the net proceeds for these purposes. As a result, our management will have broad discretion over the use of the net proceeds from this offering.</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our current operating plan, we believe that the net proceeds from this offering, together with our existing cash and cash equivalents, will</w:t>
      </w:r>
    </w:p>
    <w:p>
      <w:pPr>
        <w:spacing w:after="0" w:line="4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be sufficient to fund our operating expenses and capital expenditures . The net proceeds from this offering, together with our existing cash and cash equivalents, will not be sufficient to fund any of our product candidates through regulatory approval, and we anticipate needing to raise additional capital to complete the development of and commercialize our product candidates. It is difficult to predict the cost and timing required to complete development and obtain regulatory approval of, and commercialize, our product candidates due to, among other factors, our lack of experience as a company with initiating, conducting and completing clinical trials, and uncertainty regarding the scope and design of clinical trials required to obtain regulatory approval for our product candidates, the rate of subject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46"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enrollment in our planned clinical trials, filing requirements with various regulatory agencies, clinical trial results, and the actual costs of manufacturing, supplying and commercializing our product candidates. The amounts and timing of our expenditures will depend upon numerous factors including the cost and results of our research and development efforts, the timing, cost and success of preclinical studies and any clinical trials we may commence in the future, the timing of regulatory submissions, our ability to obtain additional financing, the amount of cash obtained through our existing collaborations and future collaborations, if any, and any unforeseen cash needs. We also may elect to raise additional capital opportunistically.</w:t>
      </w:r>
    </w:p>
    <w:p>
      <w:pPr>
        <w:spacing w:after="0" w:line="16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Pending their use, we intend to invest the net proceeds of this offering in short- and intermediate-term interest-bearing obligations, including U.S. government money market funds, U.S. Treasury obligations, U.S. agency and government-sponsored entity obligations, corporate debt obligations, and taxable and tax-exempt municipal obligations.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2020:</w:t>
      </w:r>
    </w:p>
    <w:p>
      <w:pPr>
        <w:spacing w:after="0" w:line="131"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80" w:hanging="532"/>
        <w:spacing w:after="0" w:line="255"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 pro forma basis to give effect to: (i) the receipt of $20.0 million in aggregate net proceeds from the issuance and sale of our Series C convertible preferred stock during the first quarter of 2021, (ii) the automatic conversion of all outstanding shares of our convertible preferred stock into an aggregate of 156,613,818 shares of our common stock immediately prior to the completion of this offering, as if such conversion had occurred on December 31, 2020; (iii) the related reclassification of our convertible preferred stock aggregate carrying value to permanent equity; and (iv) the filing and effectiveness of our amended and restated certificate of incorporation immediately prior to the closing of this offering; and</w:t>
      </w:r>
    </w:p>
    <w:p>
      <w:pPr>
        <w:sectPr>
          <w:pgSz w:w="11900" w:h="16838" w:orient="portrait"/>
          <w:cols w:equalWidth="0" w:num="1">
            <w:col w:w="11140"/>
          </w:cols>
          <w:pgMar w:left="320" w:top="459" w:right="439" w:bottom="1440" w:gutter="0" w:footer="0" w:header="0"/>
        </w:sectPr>
      </w:pPr>
    </w:p>
    <w:p>
      <w:pPr>
        <w:spacing w:after="0" w:line="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 pro forma as adjusted basis to give further effect to the sale by us of shares of our common stock in this offering, at an assumed initial public offering price of $ per share (which is the midpoint of the estimated price range set forth on the cover page of this prospectus), and after deducting underwriting discounts and commissions and estimated offering expenses payable by us.</w:t>
      </w:r>
    </w:p>
    <w:p>
      <w:pPr>
        <w:spacing w:after="0" w:line="165" w:lineRule="exact"/>
        <w:rPr>
          <w:sz w:val="20"/>
          <w:szCs w:val="20"/>
          <w:color w:val="auto"/>
        </w:rPr>
      </w:pPr>
    </w:p>
    <w:p>
      <w:pPr>
        <w:sectPr>
          <w:pgSz w:w="11900" w:h="16838" w:orient="portrait"/>
          <w:cols w:equalWidth="0" w:num="2">
            <w:col w:w="620" w:space="460"/>
            <w:col w:w="10060"/>
          </w:cols>
          <w:pgMar w:left="320" w:top="459" w:right="439" w:bottom="1440" w:gutter="0" w:footer="0" w:header="0"/>
          <w:type w:val="continuous"/>
        </w:sectPr>
      </w:pPr>
    </w:p>
    <w:p>
      <w:pPr>
        <w:ind w:left="120" w:right="280" w:firstLine="440"/>
        <w:spacing w:after="0" w:line="259"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appearing elsewhere in this prospectus, the section titled “Management’s Discussion and Analysis of Financial Condition and Results of Operations”, and other financial information contained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9"/>
              </w:rPr>
              <w:t>As of December 31, 2020</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900" w:type="dxa"/>
            <w:vAlign w:val="bottom"/>
            <w:tcBorders>
              <w:top w:val="single" w:sz="8" w:color="auto"/>
            </w:tcBorders>
            <w:gridSpan w:val="7"/>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w w:val="93"/>
              </w:rPr>
              <w:t>share data)</w:t>
            </w:r>
          </w:p>
        </w:tc>
        <w:tc>
          <w:tcPr>
            <w:tcW w:w="380" w:type="dxa"/>
            <w:vAlign w:val="bottom"/>
          </w:tcPr>
          <w:p>
            <w:pPr>
              <w:spacing w:after="0"/>
              <w:rPr>
                <w:sz w:val="16"/>
                <w:szCs w:val="16"/>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11"/>
        </w:trPr>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3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Forma as</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9"/>
              </w:rPr>
              <w:t>adjusted(1)</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128,535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gridSpan w:val="5"/>
          </w:tcPr>
          <w:p>
            <w:pPr>
              <w:spacing w:after="0" w:line="195" w:lineRule="exact"/>
              <w:rPr>
                <w:sz w:val="20"/>
                <w:szCs w:val="20"/>
                <w:color w:val="auto"/>
              </w:rPr>
            </w:pPr>
            <w:r>
              <w:rPr>
                <w:rFonts w:ascii="Arial" w:cs="Arial" w:eastAsia="Arial" w:hAnsi="Arial"/>
                <w:sz w:val="18"/>
                <w:szCs w:val="18"/>
                <w:color w:val="auto"/>
                <w:w w:val="94"/>
              </w:rPr>
              <w:t>Convertible preferred stock, par value $0.0001; 156,613,818 shares authorized, 146,961,309 shares issued</w:t>
            </w: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and outstanding, actual;</w:t>
            </w:r>
          </w:p>
        </w:tc>
        <w:tc>
          <w:tcPr>
            <w:tcW w:w="1680" w:type="dxa"/>
            <w:vAlign w:val="bottom"/>
          </w:tcPr>
          <w:p>
            <w:pPr>
              <w:ind w:left="60"/>
              <w:spacing w:after="0"/>
              <w:rPr>
                <w:sz w:val="20"/>
                <w:szCs w:val="20"/>
                <w:color w:val="auto"/>
              </w:rPr>
            </w:pPr>
            <w:r>
              <w:rPr>
                <w:rFonts w:ascii="Arial" w:cs="Arial" w:eastAsia="Arial" w:hAnsi="Arial"/>
                <w:sz w:val="18"/>
                <w:szCs w:val="18"/>
                <w:color w:val="auto"/>
              </w:rPr>
              <w:t>shares authorized,</w:t>
            </w:r>
          </w:p>
        </w:tc>
        <w:tc>
          <w:tcPr>
            <w:tcW w:w="4900" w:type="dxa"/>
            <w:vAlign w:val="bottom"/>
            <w:gridSpan w:val="5"/>
          </w:tcPr>
          <w:p>
            <w:pPr>
              <w:jc w:val="right"/>
              <w:ind w:right="1328"/>
              <w:spacing w:after="0"/>
              <w:rPr>
                <w:sz w:val="20"/>
                <w:szCs w:val="20"/>
                <w:color w:val="auto"/>
              </w:rPr>
            </w:pPr>
            <w:r>
              <w:rPr>
                <w:rFonts w:ascii="Arial" w:cs="Arial" w:eastAsia="Arial" w:hAnsi="Arial"/>
                <w:sz w:val="18"/>
                <w:szCs w:val="18"/>
                <w:color w:val="auto"/>
                <w:w w:val="95"/>
              </w:rPr>
              <w:t>shares issued and outstanding, pro forma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pro forma as adjusted</w:t>
            </w:r>
          </w:p>
        </w:tc>
        <w:tc>
          <w:tcPr>
            <w:tcW w:w="16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220,754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6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6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6"/>
              </w:rPr>
              <w:t>Preferred stock, par value $0.0001; no shares authorized, issued and outstanding, actual;</w:t>
            </w:r>
          </w:p>
        </w:tc>
        <w:tc>
          <w:tcPr>
            <w:tcW w:w="1740" w:type="dxa"/>
            <w:vAlign w:val="bottom"/>
            <w:gridSpan w:val="4"/>
          </w:tcPr>
          <w:p>
            <w:pPr>
              <w:jc w:val="right"/>
              <w:ind w:right="1188"/>
              <w:spacing w:after="0" w:line="201" w:lineRule="exact"/>
              <w:rPr>
                <w:sz w:val="20"/>
                <w:szCs w:val="20"/>
                <w:color w:val="auto"/>
              </w:rPr>
            </w:pPr>
            <w:r>
              <w:rPr>
                <w:rFonts w:ascii="Arial" w:cs="Arial" w:eastAsia="Arial" w:hAnsi="Arial"/>
                <w:sz w:val="18"/>
                <w:szCs w:val="18"/>
                <w:color w:val="auto"/>
                <w:w w:val="85"/>
              </w:rPr>
              <w:t>shares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60" w:type="dxa"/>
            <w:vAlign w:val="bottom"/>
            <w:gridSpan w:val="4"/>
          </w:tcPr>
          <w:p>
            <w:pPr>
              <w:ind w:left="540"/>
              <w:spacing w:after="0"/>
              <w:rPr>
                <w:sz w:val="20"/>
                <w:szCs w:val="20"/>
                <w:color w:val="auto"/>
              </w:rPr>
            </w:pPr>
            <w:r>
              <w:rPr>
                <w:rFonts w:ascii="Arial" w:cs="Arial" w:eastAsia="Arial" w:hAnsi="Arial"/>
                <w:sz w:val="18"/>
                <w:szCs w:val="18"/>
                <w:color w:val="auto"/>
              </w:rPr>
              <w:t>authorized, no shares issued and outstanding, pro forma and pro forma as adjusted</w:t>
            </w:r>
          </w:p>
        </w:tc>
        <w:tc>
          <w:tcPr>
            <w:tcW w:w="800" w:type="dxa"/>
            <w:vAlign w:val="bottom"/>
          </w:tcPr>
          <w:p>
            <w:pPr>
              <w:spacing w:after="0"/>
              <w:rPr>
                <w:sz w:val="20"/>
                <w:szCs w:val="20"/>
                <w:color w:val="auto"/>
              </w:rPr>
            </w:pPr>
          </w:p>
        </w:tc>
        <w:tc>
          <w:tcPr>
            <w:tcW w:w="94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6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88"/>
              </w:rPr>
              <w:t>Common stock, par value $0.0001; 181,980,000 shares authorized, 7,261,976 shares issued and</w:t>
            </w: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actual;</w:t>
            </w:r>
          </w:p>
        </w:tc>
        <w:tc>
          <w:tcPr>
            <w:tcW w:w="1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authorized,</w:t>
            </w:r>
          </w:p>
        </w:tc>
        <w:tc>
          <w:tcPr>
            <w:tcW w:w="4900" w:type="dxa"/>
            <w:vAlign w:val="bottom"/>
            <w:gridSpan w:val="5"/>
            <w:shd w:val="clear" w:color="auto" w:fill="CCEEFF"/>
          </w:tcPr>
          <w:p>
            <w:pPr>
              <w:jc w:val="right"/>
              <w:ind w:right="1528"/>
              <w:spacing w:after="0"/>
              <w:rPr>
                <w:sz w:val="20"/>
                <w:szCs w:val="20"/>
                <w:color w:val="auto"/>
              </w:rPr>
            </w:pPr>
            <w:r>
              <w:rPr>
                <w:rFonts w:ascii="Arial" w:cs="Arial" w:eastAsia="Arial" w:hAnsi="Arial"/>
                <w:sz w:val="18"/>
                <w:szCs w:val="18"/>
                <w:color w:val="auto"/>
                <w:w w:val="97"/>
              </w:rPr>
              <w:t>shares issued and outstanding, pro forma;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9"/>
              </w:rPr>
              <w:t>shares authorized,</w:t>
            </w:r>
          </w:p>
        </w:tc>
        <w:tc>
          <w:tcPr>
            <w:tcW w:w="4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shares issued and outstanding, pro forma as adjusted</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16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1,583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Notes receivable from stockholders</w:t>
            </w:r>
          </w:p>
        </w:tc>
        <w:tc>
          <w:tcPr>
            <w:tcW w:w="316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6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gridSpan w:val="3"/>
          </w:tcPr>
          <w:p>
            <w:pPr>
              <w:jc w:val="right"/>
              <w:ind w:right="108"/>
              <w:spacing w:after="0"/>
              <w:rPr>
                <w:sz w:val="20"/>
                <w:szCs w:val="20"/>
                <w:color w:val="auto"/>
              </w:rPr>
            </w:pPr>
            <w:r>
              <w:rPr>
                <w:rFonts w:ascii="Arial" w:cs="Arial" w:eastAsia="Arial" w:hAnsi="Arial"/>
                <w:sz w:val="18"/>
                <w:szCs w:val="18"/>
                <w:color w:val="auto"/>
              </w:rPr>
              <w:t>(82,812)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3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0"/>
              </w:rPr>
              <w:t>$ (81,315)</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ind w:left="720"/>
              <w:spacing w:after="0"/>
              <w:rPr>
                <w:sz w:val="20"/>
                <w:szCs w:val="20"/>
                <w:color w:val="auto"/>
              </w:rPr>
            </w:pPr>
            <w:r>
              <w:rPr>
                <w:rFonts w:ascii="Arial" w:cs="Arial" w:eastAsia="Arial" w:hAnsi="Arial"/>
                <w:sz w:val="18"/>
                <w:szCs w:val="18"/>
                <w:color w:val="auto"/>
              </w:rPr>
              <w:t>Total capitalization</w:t>
            </w:r>
          </w:p>
        </w:tc>
        <w:tc>
          <w:tcPr>
            <w:tcW w:w="16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139,439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40" w:hanging="424"/>
        <w:spacing w:after="0" w:line="219" w:lineRule="auto"/>
        <w:tabs>
          <w:tab w:leader="none" w:pos="540" w:val="left"/>
        </w:tabs>
        <w:numPr>
          <w:ilvl w:val="0"/>
          <w:numId w:val="66"/>
        </w:numPr>
        <w:rPr>
          <w:rFonts w:ascii="Arial" w:cs="Arial" w:eastAsia="Arial" w:hAnsi="Arial"/>
          <w:sz w:val="4"/>
          <w:szCs w:val="4"/>
          <w:color w:val="auto"/>
        </w:rPr>
      </w:pPr>
      <w:r>
        <w:rPr>
          <w:rFonts w:ascii="Arial" w:cs="Arial" w:eastAsia="Arial" w:hAnsi="Arial"/>
          <w:sz w:val="4"/>
          <w:szCs w:val="4"/>
          <w:color w:val="auto"/>
        </w:rPr>
        <w:t>Each $1.00 increase (decrease) in the assumed initial public offering price per share would increase (decrease) pro forma as adjusted amount of</w:t>
      </w:r>
    </w:p>
    <w:p>
      <w:pPr>
        <w:spacing w:after="0" w:line="200" w:lineRule="exact"/>
        <w:rPr>
          <w:sz w:val="20"/>
          <w:szCs w:val="20"/>
          <w:color w:val="auto"/>
        </w:rPr>
      </w:pPr>
    </w:p>
    <w:p>
      <w:pPr>
        <w:ind w:left="540" w:right="240"/>
        <w:spacing w:after="0" w:line="277" w:lineRule="auto"/>
        <w:rPr>
          <w:sz w:val="20"/>
          <w:szCs w:val="20"/>
          <w:color w:val="auto"/>
        </w:rPr>
      </w:pPr>
      <w:r>
        <w:rPr>
          <w:rFonts w:ascii="Arial" w:cs="Arial" w:eastAsia="Arial" w:hAnsi="Arial"/>
          <w:sz w:val="18"/>
          <w:szCs w:val="18"/>
          <w:color w:val="auto"/>
        </w:rPr>
        <w:t>each of our cash and cash equivalents, additional paid-in capital, total stockholders’ equity and total capitalization by $ million, and after deducting underwriting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discounts and commissions and estimated offering expenses payable by us. Similarly, each increase (decrease) of 1,000,000 shares in the number of shares offered by us would increase (decrease) our cash and cash equivalents, additional paid-in capital, total stockholders’ equity and total</w:t>
      </w:r>
    </w:p>
    <w:p>
      <w:pPr>
        <w:ind w:left="540"/>
        <w:spacing w:after="0"/>
        <w:tabs>
          <w:tab w:leader="none" w:pos="2400" w:val="left"/>
        </w:tabs>
        <w:rPr>
          <w:sz w:val="20"/>
          <w:szCs w:val="20"/>
          <w:color w:val="auto"/>
        </w:rPr>
      </w:pPr>
      <w:r>
        <w:rPr>
          <w:rFonts w:ascii="Arial" w:cs="Arial" w:eastAsia="Arial" w:hAnsi="Arial"/>
          <w:sz w:val="18"/>
          <w:szCs w:val="18"/>
          <w:color w:val="auto"/>
        </w:rPr>
        <w:t>capitalization by $</w:t>
      </w:r>
      <w:r>
        <w:rPr>
          <w:sz w:val="20"/>
          <w:szCs w:val="20"/>
          <w:color w:val="auto"/>
        </w:rPr>
        <w:tab/>
      </w:r>
      <w:r>
        <w:rPr>
          <w:rFonts w:ascii="Arial" w:cs="Arial" w:eastAsia="Arial" w:hAnsi="Arial"/>
          <w:sz w:val="16"/>
          <w:szCs w:val="16"/>
          <w:color w:val="auto"/>
        </w:rPr>
        <w:t>million, and after deducting underwriting discounts and commissions and estimated offering expenses payable by us.</w:t>
      </w:r>
    </w:p>
    <w:p>
      <w:pPr>
        <w:spacing w:after="0" w:line="21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are based on 154,223,285 shares of our common stock outstanding as of December 31, 2020 (including conversion of all of our outstanding shares of convertible preferred stock into 146,961,309 shares of our common stock), and excludes:</w:t>
      </w:r>
    </w:p>
    <w:p>
      <w:pPr>
        <w:spacing w:after="0" w:line="89" w:lineRule="exact"/>
        <w:rPr>
          <w:sz w:val="20"/>
          <w:szCs w:val="20"/>
          <w:color w:val="auto"/>
        </w:rPr>
      </w:pPr>
    </w:p>
    <w:p>
      <w:pPr>
        <w:ind w:left="1080" w:right="44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6,965,000 shares of our common stock issuable upon the exercise of options outstanding as of December 31, 2020, with a weighted-average exercise price of $0.29 per share;</w:t>
      </w:r>
    </w:p>
    <w:p>
      <w:pPr>
        <w:spacing w:after="0" w:line="75" w:lineRule="exact"/>
        <w:rPr>
          <w:rFonts w:ascii="Arial" w:cs="Arial" w:eastAsia="Arial" w:hAnsi="Arial"/>
          <w:sz w:val="18"/>
          <w:szCs w:val="18"/>
          <w:color w:val="auto"/>
        </w:rPr>
      </w:pPr>
    </w:p>
    <w:p>
      <w:pPr>
        <w:ind w:left="1620" w:hanging="1072"/>
        <w:spacing w:after="0"/>
        <w:tabs>
          <w:tab w:leader="none" w:pos="1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options granted subsequent to December 31, 2020, with a weighted-</w:t>
      </w:r>
    </w:p>
    <w:p>
      <w:pPr>
        <w:spacing w:after="0" w:line="46" w:lineRule="exact"/>
        <w:rPr>
          <w:sz w:val="20"/>
          <w:szCs w:val="20"/>
          <w:color w:val="auto"/>
        </w:rPr>
      </w:pPr>
    </w:p>
    <w:p>
      <w:pPr>
        <w:ind w:left="1080"/>
        <w:spacing w:after="0"/>
        <w:tabs>
          <w:tab w:leader="none" w:pos="372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080" w:right="6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2,473,024 shares of our common stock reserved for future grant or issuance under our Amended and Restated 2016 Equity Incentive Plan as of December 31, 2020; and</w:t>
      </w:r>
    </w:p>
    <w:p>
      <w:pPr>
        <w:spacing w:after="0" w:line="75" w:lineRule="exact"/>
        <w:rPr>
          <w:rFonts w:ascii="Arial" w:cs="Arial" w:eastAsia="Arial" w:hAnsi="Arial"/>
          <w:sz w:val="18"/>
          <w:szCs w:val="18"/>
          <w:color w:val="auto"/>
        </w:rPr>
      </w:pPr>
    </w:p>
    <w:p>
      <w:pPr>
        <w:ind w:left="1080" w:hanging="532"/>
        <w:spacing w:after="0" w:line="286" w:lineRule="auto"/>
        <w:tabs>
          <w:tab w:leader="none" w:pos="1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2021 Equity Incentive Plan, which will become effective on the business day immediately prior to the date of effectiveness of the registration statement of which this prospectus forms a part, as well as any automatic increases in the number of shares of our common stock reserved for future issuance pursuant to this plan.</w:t>
      </w:r>
    </w:p>
    <w:p>
      <w:pPr>
        <w:spacing w:after="0" w:line="70" w:lineRule="exact"/>
        <w:rPr>
          <w:rFonts w:ascii="Arial" w:cs="Arial" w:eastAsia="Arial" w:hAnsi="Arial"/>
          <w:sz w:val="17"/>
          <w:szCs w:val="17"/>
          <w:color w:val="auto"/>
        </w:rPr>
      </w:pPr>
    </w:p>
    <w:p>
      <w:pPr>
        <w:ind w:left="1080" w:right="80" w:hanging="532"/>
        <w:spacing w:after="0" w:line="286" w:lineRule="auto"/>
        <w:tabs>
          <w:tab w:leader="none" w:pos="1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If you invest in our common stock in this offering, your ownership will be immediately diluted to the extent of the difference between the initial public offering price per share and the pro forma as adjusted net tangible book value per share of our common stock after this offering.</w:t>
      </w:r>
    </w:p>
    <w:p>
      <w:pPr>
        <w:spacing w:after="0" w:line="146"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As of December 31, 2020, we had a historical net tangible book value (deficit) of $ million, or $ per share of common stock. Our historical net tangible book value (deficit) represents our total tangible assets, less our total liabilities and convertible preferred stock, which is not included within stockholders’ equity (deficit), divided by the total number of shares of our common stock outstanding as of December 31, 2020.</w:t>
      </w:r>
    </w:p>
    <w:p>
      <w:pPr>
        <w:spacing w:after="0" w:line="165" w:lineRule="exact"/>
        <w:rPr>
          <w:sz w:val="20"/>
          <w:szCs w:val="20"/>
          <w:color w:val="auto"/>
        </w:rPr>
      </w:pPr>
    </w:p>
    <w:p>
      <w:pPr>
        <w:ind w:left="120" w:right="300" w:firstLine="440"/>
        <w:spacing w:after="0" w:line="273" w:lineRule="auto"/>
        <w:rPr>
          <w:sz w:val="20"/>
          <w:szCs w:val="20"/>
          <w:color w:val="auto"/>
        </w:rPr>
      </w:pPr>
      <w:r>
        <w:rPr>
          <w:rFonts w:ascii="Arial" w:cs="Arial" w:eastAsia="Arial" w:hAnsi="Arial"/>
          <w:sz w:val="17"/>
          <w:szCs w:val="17"/>
          <w:color w:val="auto"/>
        </w:rPr>
        <w:t>Our pro forma net tangible book value as of December 31, 2020, was $ million, or $ per share. Pro forma net tangible book value represents our total tangible assets, less our total liabilities, after giving effect to the automatic conversion of all outstanding shares of our convertible preferred stock as of December 31, 2020, including our Series C convertible preferred stock issued subsequent to December 31, 2020, on an as-converted basis, into an aggregate of 156,613,818 shares of our common stock as if such conversion had occurred on December 31, 2020. Pro forma net tangible book value per share represents pro forma net tangible book value divided by the total number of shares of common stock outstanding as of December 31, 2020, after giving effect to the conversion of our convertible preferred stock.</w:t>
      </w:r>
    </w:p>
    <w:p>
      <w:pPr>
        <w:spacing w:after="0" w:line="178" w:lineRule="exact"/>
        <w:rPr>
          <w:sz w:val="20"/>
          <w:szCs w:val="20"/>
          <w:color w:val="auto"/>
        </w:rPr>
      </w:pPr>
    </w:p>
    <w:p>
      <w:pPr>
        <w:ind w:left="120" w:right="220" w:firstLine="440"/>
        <w:spacing w:after="0" w:line="274" w:lineRule="auto"/>
        <w:rPr>
          <w:sz w:val="20"/>
          <w:szCs w:val="20"/>
          <w:color w:val="auto"/>
        </w:rPr>
      </w:pPr>
      <w:r>
        <w:rPr>
          <w:rFonts w:ascii="Arial" w:cs="Arial" w:eastAsia="Arial" w:hAnsi="Arial"/>
          <w:sz w:val="17"/>
          <w:szCs w:val="17"/>
          <w:color w:val="auto"/>
        </w:rPr>
        <w:t>After giving further effect to the sale and issuance by us of the shares of our common stock in this offering at an assumed initial public offering price of $ per share (which is the midpoint of the estimated price range set forth on the cover page of this prospectus), and after</w:t>
      </w:r>
    </w:p>
    <w:p>
      <w:pPr>
        <w:ind w:left="120"/>
        <w:spacing w:after="0"/>
        <w:rPr>
          <w:sz w:val="20"/>
          <w:szCs w:val="20"/>
          <w:color w:val="auto"/>
        </w:rPr>
      </w:pPr>
      <w:r>
        <w:rPr>
          <w:rFonts w:ascii="Arial" w:cs="Arial" w:eastAsia="Arial" w:hAnsi="Arial"/>
          <w:sz w:val="16"/>
          <w:szCs w:val="16"/>
          <w:color w:val="auto"/>
        </w:rPr>
        <w:t>deducting underwriting discounts and commissions and estimated offering expenses payable by us, our pro forma as adjusted net tangible book value as</w:t>
      </w:r>
    </w:p>
    <w:p>
      <w:pPr>
        <w:spacing w:after="0" w:line="386"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color w:val="auto"/>
        </w:rPr>
        <w:t>of December 31, 2020 would be $ million, or $ per share. This represents an immediate increase in pro forma net tangible book value to our existing stockholders of $ per share and an immediate dilution to new investors of $ per share. Dilution per share to new</w:t>
      </w:r>
    </w:p>
    <w:p>
      <w:pPr>
        <w:spacing w:after="0" w:line="1" w:lineRule="exact"/>
        <w:rPr>
          <w:sz w:val="20"/>
          <w:szCs w:val="20"/>
          <w:color w:val="auto"/>
        </w:rPr>
      </w:pPr>
    </w:p>
    <w:p>
      <w:pPr>
        <w:jc w:val="both"/>
        <w:ind w:left="120" w:right="200"/>
        <w:spacing w:after="0" w:line="323" w:lineRule="auto"/>
        <w:rPr>
          <w:sz w:val="20"/>
          <w:szCs w:val="20"/>
          <w:color w:val="auto"/>
        </w:rPr>
      </w:pPr>
      <w:r>
        <w:rPr>
          <w:rFonts w:ascii="Arial" w:cs="Arial" w:eastAsia="Arial" w:hAnsi="Arial"/>
          <w:sz w:val="16"/>
          <w:szCs w:val="16"/>
          <w:color w:val="auto"/>
        </w:rPr>
        <w:t>investors represents the difference between the price per share to be paid by new investors for the shares of common stock sold in this offering and the pro forma as adjusted net tangible book value per share immediately after this offering. The following table illustrates this per share dilution: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December 31, 2020</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increase in historical net tangible book value (deficit) per share as of December 31, 2020</w:t>
            </w: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20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December 31, 2020</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Increase in pro forma net tangible book value per share attributable to new investors participating in this offering</w:t>
            </w: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200" w:type="dxa"/>
            <w:vAlign w:val="bottom"/>
          </w:tcPr>
          <w:p>
            <w:pPr>
              <w:ind w:left="36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participating in this offering</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dilution information discussed above is illustrative only and will change based on the actual initial public offering price and other terms of</w:t>
      </w:r>
    </w:p>
    <w:p>
      <w:pPr>
        <w:spacing w:after="0" w:line="35" w:lineRule="exact"/>
        <w:rPr>
          <w:sz w:val="20"/>
          <w:szCs w:val="20"/>
          <w:color w:val="auto"/>
        </w:rPr>
      </w:pPr>
    </w:p>
    <w:p>
      <w:pPr>
        <w:jc w:val="both"/>
        <w:ind w:left="120" w:right="200"/>
        <w:spacing w:after="0" w:line="281" w:lineRule="auto"/>
        <w:rPr>
          <w:sz w:val="20"/>
          <w:szCs w:val="20"/>
          <w:color w:val="auto"/>
        </w:rPr>
      </w:pPr>
      <w:r>
        <w:rPr>
          <w:rFonts w:ascii="Arial" w:cs="Arial" w:eastAsia="Arial" w:hAnsi="Arial"/>
          <w:sz w:val="16"/>
          <w:szCs w:val="16"/>
          <w:color w:val="auto"/>
        </w:rPr>
        <w:t>this offering determined at pricing. Each $1.00 increase (decrease) in the assumed initial public offering price of $ per share (which is the midpoint of the estimated price range set forth on the cover page of this prospectus) would increase (decrease) pro forma as adjusted net tangible book</w:t>
      </w:r>
    </w:p>
    <w:p>
      <w:pPr>
        <w:spacing w:after="0" w:line="1" w:lineRule="exact"/>
        <w:rPr>
          <w:sz w:val="20"/>
          <w:szCs w:val="20"/>
          <w:color w:val="auto"/>
        </w:rPr>
      </w:pPr>
    </w:p>
    <w:p>
      <w:pPr>
        <w:jc w:val="both"/>
        <w:ind w:left="120" w:right="180"/>
        <w:spacing w:after="0" w:line="255" w:lineRule="auto"/>
        <w:rPr>
          <w:sz w:val="20"/>
          <w:szCs w:val="20"/>
          <w:color w:val="auto"/>
        </w:rPr>
      </w:pPr>
      <w:r>
        <w:rPr>
          <w:rFonts w:ascii="Arial" w:cs="Arial" w:eastAsia="Arial" w:hAnsi="Arial"/>
          <w:sz w:val="18"/>
          <w:szCs w:val="18"/>
          <w:color w:val="auto"/>
        </w:rPr>
        <w:t>value per share to new investors by $ , and would increase (decrease) dilution per share to new investors in this offering by $ , assuming that the number of shares offered by us, as set forth on the cover page of this prospectus, remains the same, and after deducting underwriting discounts and commissions and estimated</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offering expenses payable by us. Similarly, each increase or decrease of 1,000,000 shares in the number of shares offered by us would increase</w:t>
      </w:r>
    </w:p>
    <w:p>
      <w:pPr>
        <w:spacing w:after="0" w:line="35" w:lineRule="exact"/>
        <w:rPr>
          <w:sz w:val="20"/>
          <w:szCs w:val="20"/>
          <w:color w:val="auto"/>
        </w:rPr>
      </w:pPr>
    </w:p>
    <w:p>
      <w:pPr>
        <w:ind w:left="120"/>
        <w:spacing w:after="0"/>
        <w:tabs>
          <w:tab w:leader="none" w:pos="6440" w:val="left"/>
        </w:tabs>
        <w:rPr>
          <w:sz w:val="20"/>
          <w:szCs w:val="20"/>
          <w:color w:val="auto"/>
        </w:rPr>
      </w:pPr>
      <w:r>
        <w:rPr>
          <w:rFonts w:ascii="Arial" w:cs="Arial" w:eastAsia="Arial" w:hAnsi="Arial"/>
          <w:sz w:val="18"/>
          <w:szCs w:val="18"/>
          <w:color w:val="auto"/>
        </w:rPr>
        <w:t>(decrease) our pro forma as adjusted net tangible book value by approximately $</w:t>
      </w:r>
      <w:r>
        <w:rPr>
          <w:sz w:val="20"/>
          <w:szCs w:val="20"/>
          <w:color w:val="auto"/>
        </w:rPr>
        <w:tab/>
      </w:r>
      <w:r>
        <w:rPr>
          <w:rFonts w:ascii="Arial" w:cs="Arial" w:eastAsia="Arial" w:hAnsi="Arial"/>
          <w:sz w:val="15"/>
          <w:szCs w:val="15"/>
          <w:color w:val="auto"/>
        </w:rPr>
        <w:t>per share and increase (decrease) the dilution to new investors</w:t>
      </w:r>
    </w:p>
    <w:p>
      <w:pPr>
        <w:spacing w:after="0" w:line="9"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by $ per share, assuming the assumed initial public offering price remains the same, and after deducting underwriting discounts and commissions and estimated offering expenses payable by us.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underwriters’ over-allotment option is exercised in full, the pro forma as adjusted net tangible book value per share of our common stock</w:t>
      </w:r>
    </w:p>
    <w:p>
      <w:pPr>
        <w:spacing w:after="0" w:line="46" w:lineRule="exact"/>
        <w:rPr>
          <w:sz w:val="20"/>
          <w:szCs w:val="20"/>
          <w:color w:val="auto"/>
        </w:rPr>
      </w:pPr>
    </w:p>
    <w:p>
      <w:pPr>
        <w:ind w:left="120"/>
        <w:spacing w:after="0"/>
        <w:tabs>
          <w:tab w:leader="none" w:pos="1440" w:val="left"/>
          <w:tab w:leader="none" w:pos="1040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8"/>
          <w:szCs w:val="18"/>
          <w:color w:val="auto"/>
        </w:rPr>
        <w:t>per share, and the dilution in pro forma net tangible book value per share to new investors in this offering would be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in each case assuming an initial public offering price of $ per share, which is the midpoint of the price range set forth on the cover page of this prospectus.</w:t>
      </w:r>
    </w:p>
    <w:p>
      <w:pPr>
        <w:spacing w:after="0" w:line="18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table summarizes, as of December 31, 2020, on a pro forma as adjusted basis, the number of shares of common stock purchased from us, the total consideration paid, or to be paid, and the average price per share paid, or to be paid, by existing stockholders and by the new investors,</w:t>
      </w:r>
    </w:p>
    <w:p>
      <w:pPr>
        <w:ind w:left="120" w:right="140"/>
        <w:spacing w:after="0" w:line="260" w:lineRule="auto"/>
        <w:rPr>
          <w:sz w:val="20"/>
          <w:szCs w:val="20"/>
          <w:color w:val="auto"/>
        </w:rPr>
      </w:pPr>
      <w:r>
        <w:rPr>
          <w:rFonts w:ascii="Arial" w:cs="Arial" w:eastAsia="Arial" w:hAnsi="Arial"/>
          <w:sz w:val="18"/>
          <w:szCs w:val="18"/>
          <w:color w:val="auto"/>
        </w:rPr>
        <w:t>at an assumed initial public offering price of $ per share, the midpoint of the estimated initial public offering range set forth on the cover page of this prospectus, before deducting underwriting discounts and commissions and offering expenses payable by us: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340" w:type="dxa"/>
            <w:vAlign w:val="bottom"/>
          </w:tcPr>
          <w:p>
            <w:pPr>
              <w:spacing w:after="0"/>
              <w:rPr>
                <w:sz w:val="14"/>
                <w:szCs w:val="14"/>
                <w:color w:val="auto"/>
              </w:rPr>
            </w:pPr>
          </w:p>
        </w:tc>
        <w:tc>
          <w:tcPr>
            <w:tcW w:w="192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Percent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tcPr>
          <w:p>
            <w:pPr>
              <w:ind w:left="44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680" w:type="dxa"/>
            <w:vAlign w:val="bottom"/>
            <w:gridSpan w:val="12"/>
          </w:tcPr>
          <w:p>
            <w:pPr>
              <w:ind w:left="300"/>
              <w:spacing w:after="0"/>
              <w:rPr>
                <w:sz w:val="20"/>
                <w:szCs w:val="20"/>
                <w:color w:val="auto"/>
              </w:rPr>
            </w:pPr>
            <w:r>
              <w:rPr>
                <w:rFonts w:ascii="Arial" w:cs="Arial" w:eastAsia="Arial" w:hAnsi="Arial"/>
                <w:sz w:val="18"/>
                <w:szCs w:val="18"/>
                <w:color w:val="auto"/>
              </w:rPr>
              <w:t>per share (which is the midpoint of the estimated initial</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public offering price range set forth on the cover page of this prospectus), would increase (decrease) the total consideration paid by new investors and</w:t>
      </w:r>
    </w:p>
    <w:p>
      <w:pPr>
        <w:spacing w:after="0" w:line="3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total consideration paid by all stockholders by approximately $ million, assuming that the number of shares offered by us, as set forth on the cover page of this prospectus, remains the same, and after deducting underwriting discounts and commissions and estimated offering expenses payable by us.</w:t>
      </w:r>
    </w:p>
    <w:p>
      <w:pPr>
        <w:spacing w:after="0" w:line="19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above table assumes no exercise of the underwriters’ over-allotment option. If the underwriters’ over-allotment option were exercised in full, our existing stockholders would own % and our new investors would own % of the total number of shares of our common stock outstanding upon completion of this offering.</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number of shares of our common stock issued and outstanding, in the tables above are based on 154,223,285 shares of our common stock outstanding as of December 31, 2020 (including conversion of all of our outstanding shares of convertible preferred stock into 146,961,309 shares of our common stock), and:</w:t>
      </w:r>
    </w:p>
    <w:p>
      <w:pPr>
        <w:spacing w:after="0" w:line="89" w:lineRule="exact"/>
        <w:rPr>
          <w:sz w:val="20"/>
          <w:szCs w:val="20"/>
          <w:color w:val="auto"/>
        </w:rPr>
      </w:pPr>
    </w:p>
    <w:p>
      <w:pPr>
        <w:ind w:left="1080" w:right="5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6,965,000 shares of our common stock issuable upon the exercise of options outstanding as of December 31, 2020, with a weighted-average exercise price of $0.29 per share;</w:t>
      </w:r>
    </w:p>
    <w:p>
      <w:pPr>
        <w:spacing w:after="0" w:line="75" w:lineRule="exact"/>
        <w:rPr>
          <w:rFonts w:ascii="Arial" w:cs="Arial" w:eastAsia="Arial" w:hAnsi="Arial"/>
          <w:sz w:val="18"/>
          <w:szCs w:val="18"/>
          <w:color w:val="auto"/>
        </w:rPr>
      </w:pPr>
    </w:p>
    <w:p>
      <w:pPr>
        <w:ind w:left="1620" w:hanging="1072"/>
        <w:spacing w:after="0"/>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options granted subsequent to December 31, 2020, with a weighted-</w:t>
      </w:r>
    </w:p>
    <w:p>
      <w:pPr>
        <w:spacing w:after="0" w:line="46" w:lineRule="exact"/>
        <w:rPr>
          <w:sz w:val="20"/>
          <w:szCs w:val="20"/>
          <w:color w:val="auto"/>
        </w:rPr>
      </w:pPr>
    </w:p>
    <w:p>
      <w:pPr>
        <w:ind w:left="1080"/>
        <w:spacing w:after="0"/>
        <w:tabs>
          <w:tab w:leader="none" w:pos="354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080" w:right="14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2,473,024 shares of our common stock reserved for future grant or issuance under our Amended and Restated 2016 Equity Incentive Plan as of December 31, 2020; and</w:t>
      </w:r>
    </w:p>
    <w:p>
      <w:pPr>
        <w:spacing w:after="0" w:line="75" w:lineRule="exact"/>
        <w:rPr>
          <w:rFonts w:ascii="Arial" w:cs="Arial" w:eastAsia="Arial" w:hAnsi="Arial"/>
          <w:sz w:val="18"/>
          <w:szCs w:val="18"/>
          <w:color w:val="auto"/>
        </w:rPr>
      </w:pPr>
    </w:p>
    <w:p>
      <w:pPr>
        <w:ind w:left="1080" w:right="80" w:hanging="532"/>
        <w:spacing w:after="0" w:line="286" w:lineRule="auto"/>
        <w:tabs>
          <w:tab w:leader="none" w:pos="1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2021 Equity Incentive Plan, which will become effective on the business day immediately prior to the date of effectiveness of the registration statement of which this prospectus forms a part, as well as any automatic increases in the number of shares of our common stock reserved for future issuance pursuant to this plan.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86" w:lineRule="auto"/>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tables set forth our selected financial data for the periods and as of the dates indicated. We have derived the selected statements of operations data for the years ended December 31, 2019 and 2020, and the selected balance sheet data as of December 31, 2020, from our audited financial statements appearing elsewhere in this prospectus.</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You should read the following selected financial data together with our financial statements and the related notes appearing elsewhere in this prospectus and the information in the section titled “Management’s Discussion and Analysis of Financial Condition and Results of Operations.” Our historical results are not necessarily indicative of our future results. The summary financial data in this section are not intended to replace the financial statements and the related notes appearing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5"/>
          </w:tcPr>
          <w:p>
            <w:pPr>
              <w:jc w:val="center"/>
              <w:ind w:right="11"/>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w w:val="92"/>
              </w:rPr>
              <w:t>and per share data)</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23,148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38,912</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1"/>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Net loss before income tax expense</w:t>
            </w:r>
          </w:p>
        </w:tc>
        <w:tc>
          <w:tcPr>
            <w:tcW w:w="1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4,534,692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5,832,594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diluted(1)</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pro forma net loss per share, basic and diluted(1)</w:t>
            </w: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20" w:hanging="424"/>
        <w:spacing w:after="0" w:line="311"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unaudited pro forma net loss per share for the year ended December 31, 2020 was computed using the weighted-average number of shares of common stock outstanding, including the pro forma effect of the conversation of all outstanding shares of our convertible preferred stock into shares of common stock, as if such conversion had occurred at the beginning of the period, or their issuance dates, if later.</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As of December 31,</w:t>
            </w:r>
          </w:p>
        </w:tc>
      </w:tr>
      <w:tr>
        <w:trPr>
          <w:trHeight w:val="142"/>
        </w:trPr>
        <w:tc>
          <w:tcPr>
            <w:tcW w:w="4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gridSpan w:val="2"/>
          </w:tcPr>
          <w:p>
            <w:pPr>
              <w:jc w:val="right"/>
              <w:ind w:right="208"/>
              <w:spacing w:after="0"/>
              <w:rPr>
                <w:sz w:val="20"/>
                <w:szCs w:val="20"/>
                <w:color w:val="auto"/>
              </w:rPr>
            </w:pPr>
            <w:r>
              <w:rPr>
                <w:rFonts w:ascii="Arial" w:cs="Arial" w:eastAsia="Arial" w:hAnsi="Arial"/>
                <w:sz w:val="18"/>
                <w:szCs w:val="18"/>
                <w:color w:val="auto"/>
              </w:rPr>
              <w:t>$ 23,872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$128,535</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capital(1)</w:t>
            </w:r>
          </w:p>
        </w:tc>
        <w:tc>
          <w:tcPr>
            <w:tcW w:w="31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23,622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124,923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assets</w:t>
            </w:r>
          </w:p>
        </w:tc>
        <w:tc>
          <w:tcPr>
            <w:tcW w:w="3100" w:type="dxa"/>
            <w:vAlign w:val="bottom"/>
            <w:gridSpan w:val="2"/>
          </w:tcPr>
          <w:p>
            <w:pPr>
              <w:jc w:val="right"/>
              <w:ind w:right="208"/>
              <w:spacing w:after="0"/>
              <w:rPr>
                <w:sz w:val="20"/>
                <w:szCs w:val="20"/>
                <w:color w:val="auto"/>
              </w:rPr>
            </w:pPr>
            <w:r>
              <w:rPr>
                <w:rFonts w:ascii="Arial" w:cs="Arial" w:eastAsia="Arial" w:hAnsi="Arial"/>
                <w:sz w:val="18"/>
                <w:szCs w:val="18"/>
                <w:color w:val="auto"/>
              </w:rPr>
              <w:t>38,001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148,161</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1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73,042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220,754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100" w:type="dxa"/>
            <w:vAlign w:val="bottom"/>
            <w:gridSpan w:val="2"/>
          </w:tcPr>
          <w:p>
            <w:pPr>
              <w:jc w:val="right"/>
              <w:ind w:right="208"/>
              <w:spacing w:after="0"/>
              <w:rPr>
                <w:sz w:val="20"/>
                <w:szCs w:val="20"/>
                <w:color w:val="auto"/>
              </w:rPr>
            </w:pPr>
            <w:r>
              <w:rPr>
                <w:rFonts w:ascii="Arial" w:cs="Arial" w:eastAsia="Arial" w:hAnsi="Arial"/>
                <w:sz w:val="18"/>
                <w:szCs w:val="18"/>
                <w:color w:val="auto"/>
              </w:rPr>
              <w:t>763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1,583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1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(44,417)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(82,812)</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100" w:type="dxa"/>
            <w:vAlign w:val="bottom"/>
            <w:gridSpan w:val="2"/>
          </w:tcPr>
          <w:p>
            <w:pPr>
              <w:jc w:val="right"/>
              <w:ind w:right="148"/>
              <w:spacing w:after="0"/>
              <w:rPr>
                <w:sz w:val="20"/>
                <w:szCs w:val="20"/>
                <w:color w:val="auto"/>
              </w:rPr>
            </w:pPr>
            <w:r>
              <w:rPr>
                <w:rFonts w:ascii="Arial" w:cs="Arial" w:eastAsia="Arial" w:hAnsi="Arial"/>
                <w:sz w:val="18"/>
                <w:szCs w:val="18"/>
                <w:color w:val="auto"/>
              </w:rPr>
              <w:t>(43,739)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(81,315)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line="27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appearing elsewhere in this prospectus for further details regarding our current assets and current liabilities.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320" w:top="459" w:right="5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the section titled “Selected Financial Data,” and our financial statements and related notes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See also the section of this prospectus titled “Special Note Regarding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are a biotechnology company headquartered in South San Francisco, California focused on discovering, designing, developing and delivering curative therapies that address the underlying drivers of heart disease. The Company is advancing pipeline of disease-modifying therapies developed using our product platforms and core internal capabilities to target defined sub-populations of patients with rare or highly prevalent forms of heart disease.</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were incorporated in August 2016 and commenced operations thereafter. Our operations to date have included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 All of our programs are currently in the preclinical stage and we do not have any products approved for sale. We have not generated any revenue.</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Since our inception, we have incurred net losses each year and we expect to continue to incur significant and increasing losses for the foreseeable future as we continue to advance our platforms, programs and product candidates, and as we transition to operating as a public company. Our net losses may fluctuate significantly from period to period, depending on the timing of expenditures on our research and development activities. Our net losses were $26.2 million and $38.4 million for the years ended December 31, 2019 and 2020, respectively. As of December 31, 2020, we had an accumulated deficit of $82.8 million. Our net losses resulted primarily from our research and development programs and, to a lesser extent, general and administrative costs associated with our operations.</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have not generated any revenue from product sales or other sources since inception. Our ability to generate product revenue sufficient to achieve profitability, if ever, will depend heavily on the successful completion and eventual commercialization of our product candidates which we expect, if it ever occurs, will take a number of years. In addition, we have leased space in the San Francisco Bay Area containing approximately 94,000 square feet intended for future manufacturing and office space as we invest in our manufacturing capabilities.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date, we have funded our operations primarily from the sale and issuance of our convertible preferred stock. From our inception through December 31, 2020, we raised an aggregate of $227.9 million in gross proceeds from sales of our convertible preferred stock. As of December 31, 2020, we had cash and cash equivalents of $128.5 million. In January 2021, we received $20.0 million in gross proceeds from the sale and issuance of our Series C convertible preferred stock.</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will need substantial additional funding in the future to finance our operations, including the commercialization of any product candidates that may be approved by the FDA or comparable foreign regulatory authorities. Until such time, if ever, as we can generate significant product revenue, we expect to finance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operations with our existing cash and cash equivalents, the net proceeds from this offering, any future equity or debt financings, and upfront and milestone and royalty payments, if any, received under future licenses or collaborations or other arrangements with other companies, or other sources of financing. We may not be able to raise additional capital on terms acceptable to us or at all. If we are unable to raise additional capital on acceptable terms when needed, our business, results of operations, and financial condition would be adversely affected, and we may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University of Texas Southwestern Medical Center (UTSW) License Agreement</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January 2020, the Company entered into a license agreement with UTSW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December 31, 2020, the Company has not recognized any milestone and royalty payments under the UTSW License.</w:t>
      </w:r>
    </w:p>
    <w:p>
      <w:pPr>
        <w:spacing w:after="0" w:line="17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During the year ended December 31, 2020, we recorded research and development expenses of $0.1 million related to the upfront license fee payable pursuant to the UTSW License.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a result of the COVID-19 pandemic, we could experience disruptions that could severely impact our business. Potential impacts to our business include disruptions or restrictions on our employees’ ability to effectively conduct their work. In addition, some of our suppliers of certain lab materials, or service providers used in the performance of our research activities, are located in the areas impacted by COVID-19, which could limit our ability to achieve planned progress. COVID-19 could adversely affect the economies and financial markets, resulting in an economic downturn that could affect our financing prospects. Any of the foregoing could harm our business and we cannot anticipate all of the ways in which health epidemics such as COVID-19 could adversely impact our business.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the section titled “Risk Factors.”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personnel-related costs (including salaries, benefits, travel and stock-based compensation for employees engaged in research and development functions), laboratory supplies and other non-capital equipment utilized for in-house</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research, allocated facilities and overhead costs. External research and development expenses include, among others, amounts incurred to contract research organizations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17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Amounts recorded for external goods or services incurred for research and development activities that have not yet been invoiced often represent estimates. We do not currently have projects that require estimates for percentage of completion and we record estimates for amounts due but not yet invoiced based on input from external service providers.</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travel and stock-based compensation for our employees in executive, finance and other administrative functions), legal fees, professional fees incurred for accounting, audit, and tax services, recruiting costs, and facility costs not otherwise included in research and development expenses. Legal fees include those related to corporate and intellectual property related matters.</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expect that our general and administrative expenses will increase for the foreseeable future to support our continued research and development activities, general operations, future business development opportunities and professional fees. In addition, we expect to incur additional expenses associated with operating as a public company, including legal, accounting, insurance, exchange listing, SEC compliance, and investor relations costs.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primarily consists of interest earned on our cash, cash equivalents and investment balances.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change in fair value of our convertible preferred stock tranche liability fluctuates based on remeasurements at each reporting period. Our convertible preferred stock tranche liability stems from our obligation to issue additional shares to investors upon the second and third closings of our Series B convertible preferred stock. Until settlement, fluctuations in the fair value of a convertible preferred stock tranche liability are based on the remeasurement at each reporting period. Our convertible preferred stock tranche liability was settled on the second and third closings of our Series B convertible preferred stock financing in March and August 2020, respectively.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income (expense), net primarily consists of sublease income for a portion of our facilities in South San Francisco.</w:t>
      </w: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0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23,148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31,099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  7,951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7,813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27,712</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38,912</w:t>
            </w:r>
          </w:p>
        </w:tc>
        <w:tc>
          <w:tcPr>
            <w:tcW w:w="4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11,200</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(27,712)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(38,912)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1,481</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517</w:t>
            </w:r>
          </w:p>
        </w:tc>
        <w:tc>
          <w:tcPr>
            <w:tcW w:w="4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(26,231)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(38,395)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(12,164)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nmf—not meaningful</w:t>
      </w:r>
    </w:p>
    <w:p>
      <w:pPr>
        <w:spacing w:after="0" w:line="33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Research and Development Expenses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following table summarizes our research and development expenses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7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Personnel-related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10,525</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$3,395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Facility and laboratory costs</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8,786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11,798</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3,012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8,190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586</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7"/>
        </w:trPr>
        <w:tc>
          <w:tcPr>
            <w:tcW w:w="7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31,099</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Research and development expenses were $23.1 million and $31.1 million for the years ended December 31, 2019 and 2020, respectively. The increase of $8.0 million, or 34%, was primarily due to:</w:t>
      </w:r>
    </w:p>
    <w:p>
      <w:pPr>
        <w:spacing w:after="0" w:line="76" w:lineRule="exact"/>
        <w:rPr>
          <w:sz w:val="20"/>
          <w:szCs w:val="20"/>
          <w:color w:val="auto"/>
        </w:rPr>
      </w:pPr>
    </w:p>
    <w:p>
      <w:pPr>
        <w:ind w:left="1080" w:right="20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of $3.4 million in personnel-related costs, including stock-based compensation, primarily due to growth in the number of our research and development employees as we expanded our research and development capabilities;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of $3.0 million in facility and laboratory costs, including laboratory supplies and materials and other allocated costs, as we ramped up our research and development operations;</w:t>
      </w:r>
    </w:p>
    <w:p>
      <w:pPr>
        <w:spacing w:after="0" w:line="75" w:lineRule="exact"/>
        <w:rPr>
          <w:rFonts w:ascii="Arial" w:cs="Arial" w:eastAsia="Arial" w:hAnsi="Arial"/>
          <w:sz w:val="18"/>
          <w:szCs w:val="18"/>
          <w:color w:val="auto"/>
        </w:rPr>
      </w:pPr>
    </w:p>
    <w:p>
      <w:pPr>
        <w:ind w:left="1080" w:right="380" w:hanging="532"/>
        <w:spacing w:after="0" w:line="308"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increase of $1.2 million in external costs, including amounts paid to CROs for research and development activities, consulting fees, preclinical studies and other external research expenses as we progressed development of our programs; and</w:t>
      </w:r>
    </w:p>
    <w:p>
      <w:pPr>
        <w:spacing w:after="0" w:line="51"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of $0.3 million in other research and development expenses, including licensing fees, due to entering into additional license agreements in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General and administrative expenses were $4.6 million and $7.8 million for the years ended December 31, 2019 and 2020, respectively. The increase of $3.2 million, or 71%, was primarily due to a $1.4 million increase in personnel-related expenses, including stock-based compensation, as a result of higher headcount as we grew our operations, a $1.2 million increase in professional service expenses and a $0.3 million increase in facility related expenses to support the growth of our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Interest income was $0.5 million and $0.1 million for the years ended December 31, 2019 and 2020, respectively. The decrease of $0.4 million, or 81%, was primarily due to lower average interest rates in 2020 as compared to 2019 and a change in our investment portfolio mix.</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$0.1 million change in fair value of our convertible preferred stock tranche liability for the year ended December 31, 2020 was attributable to changes in the fair value of the underlying Series B convertible preferred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Other income (expense), net was $1.0 and $0.4 million for the years ended December 31, 2019 and 2020, respectively. The decrease in other income of $0.7 million, or 65%, was primarily due to a $0.6 million reduction in sublease income as a result of the expiration of one of our sublease agreements in the third quarter of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Since our inception, we have not generated any revenue and we have incurred significant net losses and negative cash flows from operations. To date, we have funded our operations primarily from the sale and issuance of our convertible preferred stock. From our inception through December 31, 2020, we raised an aggregate of $227.9 million in gross proceeds from sales of our convertible preferred stock. As of December 31, 2020, we had cash and cash equivalents of $128.5 million and an accumulated deficit of $82.8 million. In January 2021, we received $20.0 million in gross proceeds from the sale and issuance of our Series C convertible preferred stock.</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expect our expenses and operating losses will increase substantially over the foreseeable future. The expected increase in expenses will be driven in large part by our ongoing activities, if and as we:</w:t>
      </w:r>
    </w:p>
    <w:p>
      <w:pPr>
        <w:spacing w:after="0" w:line="76"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continue to advance our cardiac regeneration, gene therapy and precision medicine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continue preclinical development of our product candidates and initiate additional preclinical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commence clinical trials of our product candidates;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build out our manufacturing facilities and establish our manufacturing capabilities, including developing our contract development and manufacturing relationships;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cardiac regeneration, gene therapy and precision medicine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that successfully complete clinical trials;</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future commercialization efforts;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continue to develop, grow, perfect, enforce and defend our intellectual property portfolio; and</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w:t>
      </w:r>
    </w:p>
    <w:p>
      <w:pPr>
        <w:spacing w:after="0" w:line="170"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Based on our current operating plan and without giving effect to the anticipated net proceeds from this offering, we believe that our existing cash and cash equivalents will be sufficient to meet our working capital and capital expenditure needs for at least the next twelve months.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also believe that the anticipated net proceeds from this offering, together with our existing cash and cash equivalents, will be sufficient to fund</w:t>
      </w:r>
    </w:p>
    <w:p>
      <w:pPr>
        <w:spacing w:after="0" w:line="46" w:lineRule="exact"/>
        <w:rPr>
          <w:sz w:val="20"/>
          <w:szCs w:val="20"/>
          <w:color w:val="auto"/>
        </w:rPr>
      </w:pPr>
    </w:p>
    <w:p>
      <w:pPr>
        <w:ind w:left="120" w:right="520"/>
        <w:spacing w:after="0" w:line="255" w:lineRule="auto"/>
        <w:rPr>
          <w:sz w:val="20"/>
          <w:szCs w:val="20"/>
          <w:color w:val="auto"/>
        </w:rPr>
      </w:pPr>
      <w:r>
        <w:rPr>
          <w:rFonts w:ascii="Arial" w:cs="Arial" w:eastAsia="Arial" w:hAnsi="Arial"/>
          <w:sz w:val="18"/>
          <w:szCs w:val="18"/>
          <w:color w:val="auto"/>
        </w:rPr>
        <w:t>our planned operating expenses and capital expenditure requirements for .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w:t>
      </w:r>
    </w:p>
    <w:p>
      <w:pPr>
        <w:spacing w:after="0" w:line="190"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168"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(24,096)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(35,447)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30,511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147,268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104,811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300" w:type="dxa"/>
            <w:vAlign w:val="bottom"/>
            <w:vMerge w:val="restart"/>
          </w:tcPr>
          <w:p>
            <w:pPr>
              <w:jc w:val="right"/>
              <w:ind w:right="3310"/>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760" w:firstLine="440"/>
        <w:spacing w:after="0" w:line="291" w:lineRule="auto"/>
        <w:rPr>
          <w:sz w:val="20"/>
          <w:szCs w:val="20"/>
          <w:color w:val="auto"/>
        </w:rPr>
      </w:pPr>
      <w:r>
        <w:rPr>
          <w:rFonts w:ascii="Arial" w:cs="Arial" w:eastAsia="Arial" w:hAnsi="Arial"/>
          <w:sz w:val="16"/>
          <w:szCs w:val="16"/>
          <w:color w:val="auto"/>
        </w:rPr>
        <w:t>Net cash used in operating activities for the year ended December 31, 2020 was $35.4 million, which consisted primarily of a net loss of $38.4 million and a net change in our net operating assets and liabilities of $0.2 million, partially offset by $3.2 million in non-cash charges.</w:t>
      </w:r>
    </w:p>
    <w:p>
      <w:pPr>
        <w:ind w:left="120" w:right="40"/>
        <w:spacing w:after="0" w:line="273" w:lineRule="auto"/>
        <w:rPr>
          <w:sz w:val="20"/>
          <w:szCs w:val="20"/>
          <w:color w:val="auto"/>
        </w:rPr>
      </w:pPr>
      <w:r>
        <w:rPr>
          <w:rFonts w:ascii="Arial" w:cs="Arial" w:eastAsia="Arial" w:hAnsi="Arial"/>
          <w:sz w:val="17"/>
          <w:szCs w:val="17"/>
          <w:color w:val="auto"/>
        </w:rPr>
        <w:t>The non-cash charges primarily consisted of depreciation and amortization of $2.5 million and stock-based compensation of $0.7 million. The change in our net operating assets and liabilities was primarily due to a decrease in deferred rent of $0.8 million, an increase in prepaid expenses and other current assets of $0.3 million and an increase in other non-current assets of $0.2 million, partially offset by an increase in accrued expenses and other current liabilities of $0.9 million and an increase in accounts payable of $0.1 million as we expanded our operations.</w:t>
      </w:r>
    </w:p>
    <w:p>
      <w:pPr>
        <w:spacing w:after="0" w:line="176" w:lineRule="exact"/>
        <w:rPr>
          <w:sz w:val="20"/>
          <w:szCs w:val="20"/>
          <w:color w:val="auto"/>
        </w:rPr>
      </w:pPr>
    </w:p>
    <w:p>
      <w:pPr>
        <w:ind w:left="120" w:right="760" w:firstLine="440"/>
        <w:spacing w:after="0" w:line="291" w:lineRule="auto"/>
        <w:rPr>
          <w:sz w:val="20"/>
          <w:szCs w:val="20"/>
          <w:color w:val="auto"/>
        </w:rPr>
      </w:pPr>
      <w:r>
        <w:rPr>
          <w:rFonts w:ascii="Arial" w:cs="Arial" w:eastAsia="Arial" w:hAnsi="Arial"/>
          <w:sz w:val="16"/>
          <w:szCs w:val="16"/>
          <w:color w:val="auto"/>
        </w:rPr>
        <w:t>Net cash used in operating activities for the year ended December 31, 2019 was $24.1 million, which consisted primarily of a net loss of $26.2 million and a net change of $0.3 million in net operating assets and liabilities, partially offset by $2.4 million in non-cash charges.</w:t>
      </w:r>
    </w:p>
    <w:p>
      <w:pPr>
        <w:jc w:val="both"/>
        <w:ind w:left="120" w:right="40"/>
        <w:spacing w:after="0" w:line="253" w:lineRule="auto"/>
        <w:rPr>
          <w:sz w:val="20"/>
          <w:szCs w:val="20"/>
          <w:color w:val="auto"/>
        </w:rPr>
      </w:pPr>
      <w:r>
        <w:rPr>
          <w:rFonts w:ascii="Arial" w:cs="Arial" w:eastAsia="Arial" w:hAnsi="Arial"/>
          <w:sz w:val="18"/>
          <w:szCs w:val="18"/>
          <w:color w:val="auto"/>
        </w:rPr>
        <w:t>The non-cash charges primarily consisted of depreciation and amortization of $2.0 million and stock-based compensation of $0.4 million. The change in our net operating assets and liabilities was primarily due to a decrease in deferred rent of $0.7 million and increase in prepaid expenses and other current assets of $0.4 million, partially offset by an increase in accounts payable of $0.4 million and an increase in accrued expenses and other current liabilities of $0.5 million as we expanded our operations.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Net cash used in investing activities for the year ended December 31, 2020 was $7.0 million, which consisted of purchases of property and equipment of $9.8 million that primarily related to our manufacturing and office space in the San Francisco Bay Area, partially offset by proceeds from maturities of marketable securities of $2.8 million.</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Net cash used in investing activities for the year ended December 31, 2019 was $5.6 million, which consisted of purchases of property and equipment of $2.9 million and net purchases of and proceeds from maturities of marketable securities of $2.7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2020 was $147.3 million, which consisted of net proceeds received from the sale and issuance of our Series B convertible preferred stock of $61.3 million and net proceeds received from the initial closing of our Series C convertible preferred stock of $86.0 million.</w:t>
      </w:r>
    </w:p>
    <w:p>
      <w:pPr>
        <w:spacing w:after="0" w:line="18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Net cash provided by financing activities for the year ended December 31, 2019 was $30.5 million, which consisted of net proceeds received from the sale and issuance of our Series B convertible preferred stock of $30.4 million and proceeds from the exercise of stock options of $0.1 million.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enter into contracts in the normal course of business with contract research organizations for preclinical studies and other services, which are generally cancellable with limited notice.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and other commitments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ind w:left="64"/>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Less</w:t>
            </w:r>
          </w:p>
        </w:tc>
        <w:tc>
          <w:tcPr>
            <w:tcW w:w="180" w:type="dxa"/>
            <w:vAlign w:val="bottom"/>
          </w:tcPr>
          <w:p>
            <w:pPr>
              <w:spacing w:after="0"/>
              <w:rPr>
                <w:sz w:val="10"/>
                <w:szCs w:val="10"/>
                <w:color w:val="auto"/>
              </w:rPr>
            </w:pP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1 to 3</w:t>
            </w:r>
          </w:p>
        </w:tc>
        <w:tc>
          <w:tcPr>
            <w:tcW w:w="340" w:type="dxa"/>
            <w:vAlign w:val="bottom"/>
          </w:tcPr>
          <w:p>
            <w:pPr>
              <w:spacing w:after="0"/>
              <w:rPr>
                <w:sz w:val="10"/>
                <w:szCs w:val="10"/>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0"/>
                <w:szCs w:val="10"/>
                <w:color w:val="auto"/>
              </w:rPr>
            </w:pPr>
          </w:p>
        </w:tc>
        <w:tc>
          <w:tcPr>
            <w:tcW w:w="7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More</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than 5</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than 1 year</w:t>
            </w:r>
          </w:p>
        </w:tc>
        <w:tc>
          <w:tcPr>
            <w:tcW w:w="18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3,752</w:t>
            </w:r>
          </w:p>
        </w:tc>
        <w:tc>
          <w:tcPr>
            <w:tcW w:w="72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4,489</w:t>
            </w:r>
          </w:p>
        </w:tc>
        <w:tc>
          <w:tcPr>
            <w:tcW w:w="1060" w:type="dxa"/>
            <w:vAlign w:val="bottom"/>
            <w:gridSpan w:val="3"/>
            <w:shd w:val="clear" w:color="auto" w:fill="CCEEFF"/>
          </w:tcPr>
          <w:p>
            <w:pPr>
              <w:jc w:val="center"/>
              <w:ind w:left="3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3,362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11,603</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30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4,489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60" w:type="dxa"/>
            <w:vAlign w:val="bottom"/>
            <w:vMerge w:val="restart"/>
          </w:tcPr>
          <w:p>
            <w:pPr>
              <w:jc w:val="right"/>
              <w:ind w:right="1050"/>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obligations noted above represent our operating lease obligations related to our leased facility currently occupied in South San Francisco, California, with a lease term that expires in May 2025. The table does not include the operating lease we entered into in the San Francisco Bay Area in February 2021 for our manufacturing facility, which commenced in May 2021 and has a ten-year term. Payments associated with this operating lease agreement will result in additional operating lease obligations not included in the above table of approximately $13.9 million plus operating expenses.</w:t>
      </w:r>
    </w:p>
    <w:p>
      <w:pPr>
        <w:spacing w:after="0" w:line="1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also enter into contracts in the normal course of business with various third parties for preclinical studies, manufacturing services with CDMOs and other services. These contracts generally provide for termination upon limited notice, and therefore we believe that our noncancelable obligations under these agreements are not material. These payments are not included in the table above. This table also does not include any milestone or royalty payments to third parties as the amounts, timing and likelihood of such payments are not known at this time. See Note 5 to our financial statements included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inception, we have not engaged in any off-balance sheet arrangements as defined in the rules and regulations of the SEC.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management’s discussion and analysis of the financial condition and results of operations is based on our financial statements, which have been prepared in accordance with the U.S. generally accepted accounting principles, or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the notes to our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record research and development costs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costs and actual costs incurred. Changes in these estimates that result in material changes to our accrued costs could materially affect our results of operations.</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 of restricted stock awards is determined on the date of grant based on the estimated fair value of our common stock on that date.</w:t>
      </w:r>
    </w:p>
    <w:p>
      <w:pPr>
        <w:spacing w:after="0" w:line="24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purposes of determining the estimated fair value of options granted to employees and non-employees, we use the Black-Scholes option pricing model, which requires the use of highly subjective assumptions. These assumptions include:</w:t>
      </w:r>
    </w:p>
    <w:p>
      <w:pPr>
        <w:spacing w:after="0" w:line="76"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the subsection titled “—Common Stock Valuations” below.</w:t>
      </w:r>
    </w:p>
    <w:p>
      <w:pPr>
        <w:spacing w:after="0" w:line="130"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—We determine the expected term, which represents the period that stock-based awards are expected to be outstanding,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simplified method, which is presumed to be the mid-point between the contractual term and the vesting term.</w:t>
      </w:r>
    </w:p>
    <w:p>
      <w:pPr>
        <w:spacing w:after="0" w:line="29"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there is no trading history for our common stock, we have determined our computation of expected volatility on</w:t>
      </w:r>
      <w:r>
        <w:rPr>
          <w:rFonts w:ascii="Arial" w:cs="Arial" w:eastAsia="Arial" w:hAnsi="Arial"/>
          <w:sz w:val="18"/>
          <w:szCs w:val="18"/>
          <w:i w:val="1"/>
          <w:iCs w:val="1"/>
          <w:color w:val="auto"/>
        </w:rPr>
        <w:t xml:space="preserve"> </w:t>
      </w:r>
      <w:r>
        <w:rPr>
          <w:rFonts w:ascii="Arial" w:cs="Arial" w:eastAsia="Arial" w:hAnsi="Arial"/>
          <w:sz w:val="18"/>
          <w:szCs w:val="18"/>
          <w:color w:val="auto"/>
        </w:rPr>
        <w:t>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w:t>
      </w:r>
    </w:p>
    <w:p>
      <w:pPr>
        <w:spacing w:after="0" w:line="92"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assumption.</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yield is assumed to be zero as we have never paid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See Note 9 to our financial statements included elsewhere in this prospectus for more information concerning certain of the specific assumptions we used in applying the Black-Scholes valuation model to determine the estimated fair value of our stock options.</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For the years ended December 31, 2019 and 2020, we incurred stock-based compensation of $0.4 million and $0.7 million, respectively. As of December 31, 2020, there was $2.3 million of total unrecognized stock-based compensation expense, which is expected to be recognized over a weighted-average period of approximately 3.0 years.</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intrinsic value of all outstanding options as of December 31, 2020 was $ million, based on the assumed initial public offering price of $ per share, which is the mid-point of the estimated price range set forth on the cover page of this prospectus, of which $ million is related to vested options and $ million is related to unvested options.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Historically, for all periods prior to this offering, fair values of the shares of common stock underlying our stock-based awards were approved on each grant date by our board of directors. Our board of directors considered, among other things, valuations of our common stock which were prepared by an independent third-party valuation firm in accordance with the guidance provided by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The significant objective and subjective factors included, but are not limited to:</w:t>
      </w:r>
    </w:p>
    <w:p>
      <w:pPr>
        <w:spacing w:after="0" w:line="93"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most recently available estimated valuations of our common stock performed by an independent third-party valuation firm;</w:t>
      </w:r>
    </w:p>
    <w:p>
      <w:pPr>
        <w:spacing w:after="0" w:line="157"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4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prices of shares of our convertible preferred stock sold to investors in arm’s length transactions, and the rights, preferences and privileges of our convertible preferred stock relative to our common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a sale of our company, given prevailing market conditions;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our valuations performed in October 2018 and October 2019, we used a probability-weighted expected return method (PWERM) whereby our total equity value was estimated under various exit scenarios and allocated to our different classes of equity. The PWERM included various scenarios in which we complete an initial public offering or the sale of our company that considered our estimate of the timing of each scenario and were weighted based on our estimate of the probability of each event occurring. The equity value under all scenarios was reduced by a discount for lack of marketability.</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For our valuation performed in November 2020, we used a hybrid method of the PWERM and option pricing model (OPM) backsolve method. The PWERM included two scenarios, one in which we complete an initial public offering and another scenario in which we stay private, that considered our estimate of the timing of each scenario and were weighted based on our estimate of the probability of each event occurring. In an OPM framework, the backsolve method for inferring the equity value implied by a recent financing transaction involves making assumptions for the expected time to liquidity, volatility, discount for lack of marketability, and risk-free rate and then solving for the value of equity such that value for the most recent financing equals the amount paid. The OPM was utilized to estimate our equity value under the stay private scenario based on our Series C convertible preferred stock financing. The equity value under all scenarios was reduced by a discount for lack of marketability.</w:t>
      </w:r>
    </w:p>
    <w:p>
      <w:pPr>
        <w:spacing w:after="0" w:line="17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valuations after the completion of this offering, the fair value of each share of underlying common stock will be based on the closing price of our common stock as reported on the date of grant on the primary stock exchange on which our common stock is traded.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The obligation to issue additional shares of our Series B convertible preferred stock on the second and third closings of our Series B convertible preferred stock was determined to be a freestanding financial instrument that should be accounted for as a liability. At issuance, we recorded the convertible preferred stock tranche liability on the balance sheet at its estimated fair value, using the estimated fair value of the underlying Series B stock and common stock (which was determined using the standard pricing model). The other inputs used to arrive at the fair value of the convertible preferred stock tranche liability was a discount rate and the expected term, which was based on the expected contractual closing date or the actual closing date.</w:t>
      </w:r>
    </w:p>
    <w:p>
      <w:pPr>
        <w:spacing w:after="0" w:line="192"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 tranche liability is subject to remeasurement at each balance sheet date, with changes in fair value recognized as a gain or loss on remeasurement as a component of other income (expense), net in the statements of operations until settlement or extinguishment. Our convertible preferred stock tranche liability was settled upon the closing of our second and third closings of our Series B convertible preferred stock financing in March and August 2020, respectively.</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w:t>
      </w:r>
    </w:p>
    <w:p>
      <w:pPr>
        <w:spacing w:after="0" w:line="1"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 related information that would be required if we were not an emerging growth company.</w:t>
      </w:r>
    </w:p>
    <w:p>
      <w:pPr>
        <w:spacing w:after="0" w:line="19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and other matters.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We held cash and cash equivalents of $128.5 million as of December 31, 2020, which consisted of bank deposits and money market funds. Historical fluctuations in interest rates have not had a significant impact on our financial condition or results of operations. We believe that we do not have any material exposure to changes in the fair value of these assets as a result of changes in interest rates due to the short-term nature of our cash and cash equivalents.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Heart disease is the leading cause of death in the world, accounting for more deaths than from all cancers combined. In the United States, more than 30 million adults are diagnosed with heart disease and approximately 35,000 children are born each year with congenital heart disease (CHD). There are over 250 known genetically defined disorders where the primary source of morbidity and mortality involves the heart, but there are few approved products that target the underlying cause of such diseases. Recent analysis has shown that mortality rates due to heart failure (HF) are rising. While there is a clear need for improved treatments, the rate of cardiovascular drug product approvals has declined in recent years.</w:t>
      </w:r>
    </w:p>
    <w:p>
      <w:pPr>
        <w:spacing w:after="0" w:line="16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are a biotechnology company committed to a bold mission: to discover, design, develop and deliver curative therapies that address the underlying drivers of heart disease. Our vision is to change the treatment paradigm for heart disease, and in doing so improve and extend the lives of millions of individuals and families fighting this debilitating disease. We are advancing a pipeline of disease-modifying therapies developed using our product platforms and core internal capabilities to target defined sub-populations of patients with rare or highly prevalent forms of heart disease.</w:t>
      </w:r>
    </w:p>
    <w:p>
      <w:pPr>
        <w:spacing w:after="0" w:line="15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Founded by leading cardiovascular scientists from the J. David Gladstone Institutes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 agnostic manner, including gene therapies, small molecules, and biologics.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advancing a deep and diverse pipeline including gene therapies and small molecules with the opportunity to advance multiple product</w:t>
      </w:r>
    </w:p>
    <w:p>
      <w:pPr>
        <w:spacing w:after="0" w:line="4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candidates into the clinic by . Our most advanced product candidate from our Gene Therapy platform, TN-201, is a potentially curative, one-time adeno-associated virus (AAV)-based gene therapy to address genetic hypertrophic cardiomyopathy (gHCM)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TN-201, currently in IND-enabling studies,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MYBPC3 protein. Our DWORF program, an AAV-based gene therapy designed to express the Dwarf Open Reading Frame (</w:t>
      </w:r>
      <w:r>
        <w:rPr>
          <w:rFonts w:ascii="Arial" w:cs="Arial" w:eastAsia="Arial" w:hAnsi="Arial"/>
          <w:sz w:val="16"/>
          <w:szCs w:val="16"/>
          <w:i w:val="1"/>
          <w:iCs w:val="1"/>
          <w:color w:val="auto"/>
        </w:rPr>
        <w:t>DWORF</w:t>
      </w:r>
      <w:r>
        <w:rPr>
          <w:rFonts w:ascii="Arial" w:cs="Arial" w:eastAsia="Arial" w:hAnsi="Arial"/>
          <w:sz w:val="16"/>
          <w:szCs w:val="16"/>
          <w:color w:val="auto"/>
        </w:rPr>
        <w:t>) gene in the heart, has potentially broad utility in genetic dilated cardiomyopathy (gDCM) and HF with reduced ejection fraction (EF), where EF is below 40% (HFrEF), and is currently at the candidate selection stage. Our Reprogramming program for cardiac regeneration can potentially replace heart cells lost in patients experiencing HF due to prior myocardial infarction (MI) and is currently at the candidate selection stage. Our HDAC6-specific small molecule inhibitor (HDAC6i) program, for which a product candidate has been selected, has potentially broad utility in HF where EF is greater than or equal to 50%, called preserved EF (HFpEF), and gDCM. In addition, we have several programs emerging from our three product platforms to address other forms of HF that are at an earlier stage of discovery in our pipeline.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 Platforms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 to address different problems that have historically plagued the development of novel therapies for heart disease. We believe these three product platforms together yield better insight into disease processes, create more opportunities for successful drug development, mitigate scientific risks, and differentiate our efforts relative to competitors.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092065" cy="2194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9206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hanging="343"/>
        <w:spacing w:after="0" w:line="291"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Gene Therapy</w:t>
      </w:r>
      <w:r>
        <w:rPr>
          <w:rFonts w:ascii="Arial" w:cs="Arial" w:eastAsia="Arial" w:hAnsi="Arial"/>
          <w:sz w:val="16"/>
          <w:szCs w:val="16"/>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Depending on the nature of the disease, we may target cardiomyocytes (CMs), cardiac fibroblasts (CFs), or other cells important to the proper functioning of the heart. The genes delivered can be a healthy copy of genes that are known to be mutated in human disease, or some other protein or construct that can exert a therapeutic effect.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71" w:lineRule="exact"/>
        <w:rPr>
          <w:rFonts w:ascii="Arial" w:cs="Arial" w:eastAsia="Arial" w:hAnsi="Arial"/>
          <w:sz w:val="16"/>
          <w:szCs w:val="16"/>
          <w:color w:val="auto"/>
        </w:rPr>
      </w:pPr>
    </w:p>
    <w:p>
      <w:pPr>
        <w:ind w:left="1080" w:right="80" w:hanging="343"/>
        <w:spacing w:after="0" w:line="271"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b w:val="1"/>
          <w:bCs w:val="1"/>
          <w:i w:val="1"/>
          <w:iCs w:val="1"/>
          <w:color w:val="auto"/>
        </w:rPr>
        <w:t>Cellular Regeneration</w:t>
      </w:r>
      <w:r>
        <w:rPr>
          <w:rFonts w:ascii="Arial" w:cs="Arial" w:eastAsia="Arial" w:hAnsi="Arial"/>
          <w:sz w:val="17"/>
          <w:szCs w:val="17"/>
          <w:color w:val="auto"/>
        </w:rPr>
        <w:t xml:space="preserve"> platform uses viral vectors to deliver genes to specific cells in the heart to regenerate CMs </w:t>
      </w:r>
      <w:r>
        <w:rPr>
          <w:rFonts w:ascii="Arial" w:cs="Arial" w:eastAsia="Arial" w:hAnsi="Arial"/>
          <w:sz w:val="17"/>
          <w:szCs w:val="17"/>
          <w:i w:val="1"/>
          <w:iCs w:val="1"/>
          <w:color w:val="auto"/>
        </w:rPr>
        <w:t>in vivo</w:t>
      </w:r>
      <w:r>
        <w:rPr>
          <w:rFonts w:ascii="Arial" w:cs="Arial" w:eastAsia="Arial" w:hAnsi="Arial"/>
          <w:sz w:val="17"/>
          <w:szCs w:val="17"/>
          <w:color w:val="auto"/>
        </w:rPr>
        <w:t>. We own certain intellectual property that covers two distinct approaches to achieve regeneration of new heart tissue. One approach uses AAV vectors to deliver proprietary combinations of genes that induce the resident CFs to convert to CMs. We have developed, through internal capsid engineering capabilities, novel AAV capsids with enhanced CF transduction. Another approach uses non-integrating lentiviruses to deliver proprietary combinations of genes that induce the resident CMs to undergo transient cell division. The product candidates arising from this platform are intended to overcome the shortcomings of traditional therapies that are not able to address the loss of CMs. We believe this platform has potentially broad utility across a range of heart conditions that result in the loss of CMs, including MI, chemotherapy-related toxicity, and viral infection.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343"/>
        <w:spacing w:after="0" w:line="272"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b w:val="1"/>
          <w:bCs w:val="1"/>
          <w:i w:val="1"/>
          <w:iCs w:val="1"/>
          <w:color w:val="auto"/>
        </w:rPr>
        <w:t>Precision Medicine</w:t>
      </w:r>
      <w:r>
        <w:rPr>
          <w:rFonts w:ascii="Arial" w:cs="Arial" w:eastAsia="Arial" w:hAnsi="Arial"/>
          <w:sz w:val="17"/>
          <w:szCs w:val="17"/>
          <w:color w:val="auto"/>
        </w:rPr>
        <w:t xml:space="preserve"> platform uses human induced pluripotent stem cell-derived CMs (hiPSC-CMs) as proprietary disease models and analysis of human genetics for the identification of new targets, validation of known targets, and high-throughput screening for drug discovery. This platform is intended to overcome the shortcomings of traditional drug development efforts that rely more heavily on efficacy in animal models to develop therapies intended for human heart disease. We believe this platform may also help identify promising drug targets directed to sub-populations of patients who are more likely to respond to such targeted product candidates. We believe this platform has potentially broad utility for the identification of targets and therapies in a modality-agnostic manner—including gene therapy, small molecules, and biologics—for both genetic and non-genetic forms of heart disease.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Approach and Capabilities</w:t>
      </w:r>
    </w:p>
    <w:p>
      <w:pPr>
        <w:spacing w:after="0" w:line="117" w:lineRule="exact"/>
        <w:rPr>
          <w:sz w:val="20"/>
          <w:szCs w:val="20"/>
          <w:color w:val="auto"/>
        </w:rPr>
      </w:pPr>
    </w:p>
    <w:p>
      <w:pPr>
        <w:ind w:left="120" w:right="600" w:firstLine="440"/>
        <w:spacing w:after="0" w:line="279" w:lineRule="auto"/>
        <w:rPr>
          <w:sz w:val="20"/>
          <w:szCs w:val="20"/>
          <w:color w:val="auto"/>
        </w:rPr>
      </w:pPr>
      <w:r>
        <w:rPr>
          <w:rFonts w:ascii="Arial" w:cs="Arial" w:eastAsia="Arial" w:hAnsi="Arial"/>
          <w:sz w:val="17"/>
          <w:szCs w:val="17"/>
          <w:color w:val="auto"/>
        </w:rPr>
        <w:t>We have five core internal capabilities, as displayed below, to support our product platforms and our pipeline programs. We believe these integrated capabilities provide us with several advantages and differentiate our efforts relative to competitors, particularly for our AAV-based development efforts. We believe these capabilities can collectively support rapid product development, precise product delivery, and efficient production; ultimately improving the probability of technical and regulatory success of our product candidates.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Core Capabilities Supporting Our Differentiated Product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297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internalized and integrated capabilities to support our product platforms include:</w:t>
      </w:r>
    </w:p>
    <w:p>
      <w:pPr>
        <w:spacing w:after="0" w:line="131" w:lineRule="exact"/>
        <w:rPr>
          <w:sz w:val="20"/>
          <w:szCs w:val="20"/>
          <w:color w:val="auto"/>
        </w:rPr>
      </w:pPr>
    </w:p>
    <w:p>
      <w:pPr>
        <w:ind w:left="1080" w:right="20" w:hanging="343"/>
        <w:spacing w:after="0" w:line="29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Disease Models</w:t>
      </w:r>
      <w:r>
        <w:rPr>
          <w:rFonts w:ascii="Arial" w:cs="Arial" w:eastAsia="Arial" w:hAnsi="Arial"/>
          <w:sz w:val="16"/>
          <w:szCs w:val="16"/>
          <w:color w:val="auto"/>
        </w:rPr>
        <w:t>. Having better models of human heart disease is an important capability for drug discovery. Existing models may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adequate to assess the efficacy or safety of novel therapies. In order to achieve this, we have internalized the ability to create and integrate proprietary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within our research organization. For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disease models, we have a dedicated onsite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40"/>
          </w:cols>
          <w:pgMar w:left="320" w:top="459" w:right="5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343"/>
        <w:spacing w:after="0" w:line="272"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Capsid Engineering</w:t>
      </w:r>
      <w:r>
        <w:rPr>
          <w:rFonts w:ascii="Arial" w:cs="Arial" w:eastAsia="Arial" w:hAnsi="Arial"/>
          <w:sz w:val="17"/>
          <w:szCs w:val="17"/>
          <w:color w:val="auto"/>
        </w:rPr>
        <w:t>. We have established in-house AAV capsid engineering capabilities and have screened over one billion variants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diverse, proprietary libraries to discover novel AAV capsids with desirable therapeutic properties to support our programs. We have generated preclinical data to support the superiority of these capsids over parental variants in multiple species—including non-human primates (NHPs)—against multiple attributes. These capsids have improved tropism for the heart compared to other organs and for specific cells within the heart; improved transduction and expression within the heart cells; and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82" w:lineRule="exact"/>
        <w:rPr>
          <w:rFonts w:ascii="Arial" w:cs="Arial" w:eastAsia="Arial" w:hAnsi="Arial"/>
          <w:sz w:val="17"/>
          <w:szCs w:val="17"/>
          <w:color w:val="auto"/>
        </w:rPr>
      </w:pPr>
    </w:p>
    <w:p>
      <w:pPr>
        <w:ind w:left="1080" w:right="20" w:hanging="343"/>
        <w:spacing w:after="0" w:line="279"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Promoters and Regulatory Elements</w:t>
      </w:r>
      <w:r>
        <w:rPr>
          <w:rFonts w:ascii="Arial" w:cs="Arial" w:eastAsia="Arial" w:hAnsi="Arial"/>
          <w:sz w:val="17"/>
          <w:szCs w:val="17"/>
          <w:color w:val="auto"/>
        </w:rPr>
        <w:t>. We have created novel promoters and regulatory elements to support our gene therapy and cellular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regeneration programs. These promoters and regulatory elements control the expression of genes within the cells. We use these elements to help ensure a more precise expression of therapeutic payloads in different cell types in the heart. We believe our innovations in promoters and regulatory elements can support the successful clinical development of our product candidates.</w:t>
      </w:r>
    </w:p>
    <w:p>
      <w:pPr>
        <w:spacing w:after="0" w:line="76" w:lineRule="exact"/>
        <w:rPr>
          <w:rFonts w:ascii="Arial" w:cs="Arial" w:eastAsia="Arial" w:hAnsi="Arial"/>
          <w:sz w:val="17"/>
          <w:szCs w:val="17"/>
          <w:color w:val="auto"/>
        </w:rPr>
      </w:pPr>
    </w:p>
    <w:p>
      <w:pPr>
        <w:ind w:left="1080" w:right="20" w:hanging="343"/>
        <w:spacing w:after="0" w:line="271"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Drug Delivery</w:t>
      </w:r>
      <w:r>
        <w:rPr>
          <w:rFonts w:ascii="Arial" w:cs="Arial" w:eastAsia="Arial" w:hAnsi="Arial"/>
          <w:sz w:val="17"/>
          <w:szCs w:val="17"/>
          <w:color w:val="auto"/>
        </w:rPr>
        <w:t>. Most AAV-based gene therapies in development rely on intravenous (IV) infusions; however, there are many programs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attempt to achieve more targeted physical delivery to specific organs (e.g. eye, central nervous system). Gene delivery is considered one of the biggest challenges to successful translation of cardiac gene therapy into approved products. We believe it is important to explore different routes of administration (ROAs) as well as different infusion- or injection-based catheters to support more targeted delivery and more efficient uptake of gene therapies for the heart. We prioritize head-to-head comparison of different ROAs in large animal models. We are also developing a novel transendocardial injection catheter for precise delivery of therapeutic payloads around the scar area of an infarcted heart. We believe our discoveries in drug delivery can help widen the therapeutic index of our product candidates by reducing the dose required for a therapeutic benefit.</w:t>
      </w:r>
    </w:p>
    <w:p>
      <w:pPr>
        <w:spacing w:after="0" w:line="83" w:lineRule="exact"/>
        <w:rPr>
          <w:rFonts w:ascii="Arial" w:cs="Arial" w:eastAsia="Arial" w:hAnsi="Arial"/>
          <w:sz w:val="17"/>
          <w:szCs w:val="17"/>
          <w:color w:val="auto"/>
        </w:rPr>
      </w:pPr>
    </w:p>
    <w:p>
      <w:pPr>
        <w:ind w:left="1080" w:right="40" w:hanging="343"/>
        <w:spacing w:after="0" w:line="290"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Manufacturing</w:t>
      </w:r>
      <w:r>
        <w:rPr>
          <w:rFonts w:ascii="Arial" w:cs="Arial" w:eastAsia="Arial" w:hAnsi="Arial"/>
          <w:sz w:val="16"/>
          <w:szCs w:val="16"/>
          <w:color w:val="auto"/>
        </w:rPr>
        <w:t>. We have taken important steps towards internalizing AAV manufacturing capabilities, expertise, and intellectual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support our emerging portfolio of gene therapy product candidates, and to have greater control over our product development. We have in-house personnel to support our upstream and downstream process development (PD), analytical development (AD), and quality control (QC) efforts. We have produced non-clinical material involving both parental and novel AAV capsids at the 50L and 200L scales to support early research and IND-enabling studies in small and large animal models. We have initiated construction of a 94,000 square-foot current Good Manufacturing Practices (cGMP) facility in the San Francisco Bay Area near our research labs to enable smooth scale-up of production to support first-in-human studies, initially at the 1000L scale. We expect this facility will be operational by the end of 2021. We have in-licensed certain manufacturing intellectual property to support our programs.</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have a deep and diverse pipeline of programs. The pipeline includes therapeutic programs intended for rare or orphan diseases, such as genetic cardiomyopathies, as well as programs intended for larger indications, such as HFpEF. We have exclusive worldwide rights to all of our programs. Our pipeline includes programs that have emerged from our internal efforts, including various ongoing early stage discovery efforts across our platforms, as well as programs that are based on intellectual property licensed from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1685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860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 Therapy Programs</w:t>
      </w:r>
    </w:p>
    <w:p>
      <w:pPr>
        <w:spacing w:after="0" w:line="131" w:lineRule="exact"/>
        <w:rPr>
          <w:sz w:val="20"/>
          <w:szCs w:val="20"/>
          <w:color w:val="auto"/>
        </w:rPr>
      </w:pPr>
    </w:p>
    <w:p>
      <w:pPr>
        <w:ind w:left="1080" w:hanging="532"/>
        <w:spacing w:after="0" w:line="254"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MYBPC3 Gene Therapy Program for gHCM</w:t>
      </w:r>
      <w:r>
        <w:rPr>
          <w:rFonts w:ascii="Arial" w:cs="Arial" w:eastAsia="Arial" w:hAnsi="Arial"/>
          <w:sz w:val="18"/>
          <w:szCs w:val="18"/>
          <w:color w:val="auto"/>
        </w:rPr>
        <w:t>. We are developing an AAV-based gene therapy designed to deliver a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MYBPC3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gene in adults and children with gHCM due to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We have demonstrated significant and durable disease reversal and survival in a relevant murine model, as well as tolerability in mice and NHPs. Our product candidate, TN-201, uses a differentiated approach designed to enable robust expression of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in the heart. The program is currently in IND-enabling studies, and we have obtained feedback from multiple regulatory agencies to guide our path to clinical development. We intend to submit an investigational new drug application (IND) or a clinical trial application (CTA) to the U.S. Food and Drug Administration (FDA) or European Medicines Agency (EMA), respectively, by .</w:t>
      </w:r>
    </w:p>
    <w:p>
      <w:pPr>
        <w:spacing w:after="0" w:line="217" w:lineRule="exact"/>
        <w:rPr>
          <w:rFonts w:ascii="Arial" w:cs="Arial" w:eastAsia="Arial" w:hAnsi="Arial"/>
          <w:sz w:val="18"/>
          <w:szCs w:val="18"/>
          <w:color w:val="auto"/>
        </w:rPr>
      </w:pPr>
    </w:p>
    <w:p>
      <w:pPr>
        <w:ind w:left="1080" w:right="60" w:hanging="532"/>
        <w:spacing w:after="0" w:line="254"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DWORF Gene Therapy Program for gDCM and HFrEF</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developing an AAV-based gene therapy designed to deliver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DWORF </w:t>
      </w:r>
      <w:r>
        <w:rPr>
          <w:rFonts w:ascii="Arial" w:cs="Arial" w:eastAsia="Arial" w:hAnsi="Arial"/>
          <w:sz w:val="18"/>
          <w:szCs w:val="18"/>
          <w:color w:val="auto"/>
        </w:rPr>
        <w:t>gene for patients with gDCM and HFrEF. DWORF is a muscle-specific micro- peptide first discovered by our co-founder Eric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evidence for the therapeutic benefit of over-expression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in multiple murine models, including models of gDCM and HFrEF, as well as tolerability in murine models. These findings in animal models support the advancement of this program in patients with genetic cardiomyopathies due to specific mutations as well as more prevalent HF populations. This program is currently at the candidate selection stage.</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Cellular Regeneration Program</w:t>
      </w:r>
    </w:p>
    <w:p>
      <w:pPr>
        <w:spacing w:after="0" w:line="127" w:lineRule="exact"/>
        <w:rPr>
          <w:sz w:val="20"/>
          <w:szCs w:val="20"/>
          <w:color w:val="auto"/>
        </w:rPr>
      </w:pPr>
    </w:p>
    <w:p>
      <w:pPr>
        <w:ind w:left="1080" w:right="280" w:hanging="532"/>
        <w:spacing w:after="0" w:line="282"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Reprogramming Program for HF due to prior MI</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made significant advances in our unique approach to cellular regeneration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using viral vectors to deliver genes that drive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reprogramming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4" w:lineRule="auto"/>
        <w:rPr>
          <w:sz w:val="20"/>
          <w:szCs w:val="20"/>
          <w:color w:val="auto"/>
        </w:rPr>
      </w:pPr>
      <w:r>
        <w:rPr>
          <w:rFonts w:ascii="Arial" w:cs="Arial" w:eastAsia="Arial" w:hAnsi="Arial"/>
          <w:sz w:val="18"/>
          <w:szCs w:val="18"/>
          <w:color w:val="auto"/>
        </w:rPr>
        <w:t>of resident CFs to create new CMs. This approach was first demonstrated by Deepak Srivastava, M.D., one of our co-founders and a member of our board of directors. We have discovered a proprietary combination of three genes that can drive robust reprogramming when delivered together in a single AAV capsid. We have demonstrated significant and durable disease reversal as well as tolerability in multiple small and large animal models. Results of this approach in a pig model of HF due to prior MI were presented at the American Society of Gene &amp; Cell Therapy (ASGCT) conference in 2020 and represent what we believe is the first-ever successful demonstration of the therapeutic benefit of this approach in a large animal model with a human-sized heart. This program is currently at the candidate selection stage.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Precision Medicine Program</w:t>
      </w:r>
    </w:p>
    <w:p>
      <w:pPr>
        <w:spacing w:after="0" w:line="127" w:lineRule="exact"/>
        <w:rPr>
          <w:sz w:val="20"/>
          <w:szCs w:val="20"/>
          <w:color w:val="auto"/>
        </w:rPr>
      </w:pPr>
    </w:p>
    <w:p>
      <w:pPr>
        <w:ind w:left="1080" w:right="160" w:hanging="532"/>
        <w:spacing w:after="0" w:line="285"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HDAC6i for HFpEF and gDCM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Inhibitors of histone deacetylases (HDACs) have long been considered promising targets for many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indications in a range of therapeutic areas. Several partially selective HDAC6i are already in clinical development, but none for a heart disease indication. We have discovered a highly specific and potent HDAC6i for which medicinal chemistry has been completed, and we have filed patent applications for two chemical series. We have also demonstrated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of these molecules in multiple animal models, including in two different models of HFpEF as well as in a model of gDCM. Our product candidate, TYA-11631, has not demonstrated evidence of toxicity at levels dosed to date in small and large animal species. We intend to initiate IND-enabling studies in</w:t>
      </w:r>
    </w:p>
    <w:p>
      <w:pPr>
        <w:spacing w:after="0" w:line="3"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Management Team and Investors</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We were incorporated in August 2016 by The Column Group, in partnership with leading scientific and clinical researchers in cardiovascular genetics and muscle biology at the Gladstone Institutes and UTSW. Since our founding, we have attracted a talented group of industry experts and scientists as part of a highly innovative organization of over 75 employees.</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are led by a team of executives and directors with significant experience in the discovery, development, manufacture, and commercialization of novel therapeutics, specifically in the fields of rare diseases, gene therapies, and heart disease. Faraz Ali,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raised approximately $248 million in equity financing to date from leading venture, strategic and public investors, including The Column Group, Casdin Capital, SymBiosis II, LLC, Fidelity Management &amp; Research Company, RTW Investments, RA Capital Management, funds and accounts advised by T. Rowe Price Associates, GV and others who share our vision to build a highly innovative, integrated biotechnology company delivering next-generation therapies that address the underlying causes of heart disease.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Heart Disease</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CHD, and CHD is the leading cause of birth defect-related morbidity and mortality. There are over 250 known genetically defined disorders where the primary source of morbidity and mortality involves the heart. There are few approved products that target the underlying cause of such diseases. Recent analysis has shown that after decades of reduction in the mortality rate due to HF, these rates are once again rising over the last decade, highlighting the need for improved treatments.</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due to normal aging or due to environmental factors.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illustrates four broad categories of heart disease:</w:t>
      </w:r>
    </w:p>
    <w:p>
      <w:pPr>
        <w:spacing w:after="0" w:line="244" w:lineRule="exact"/>
        <w:rPr>
          <w:sz w:val="20"/>
          <w:szCs w:val="20"/>
          <w:color w:val="auto"/>
        </w:rPr>
      </w:pPr>
    </w:p>
    <w:p>
      <w:pPr>
        <w:ind w:left="1460"/>
        <w:spacing w:after="0"/>
        <w:tabs>
          <w:tab w:leader="none" w:pos="7040" w:val="left"/>
        </w:tabs>
        <w:rPr>
          <w:sz w:val="20"/>
          <w:szCs w:val="20"/>
          <w:color w:val="auto"/>
        </w:rPr>
      </w:pPr>
      <w:r>
        <w:rPr>
          <w:rFonts w:ascii="Arial" w:cs="Arial" w:eastAsia="Arial" w:hAnsi="Arial"/>
          <w:sz w:val="14"/>
          <w:szCs w:val="14"/>
          <w:b w:val="1"/>
          <w:bCs w:val="1"/>
          <w:u w:val="single" w:color="auto"/>
          <w:color w:val="auto"/>
        </w:rPr>
        <w:t>CATEGORIES</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15240</wp:posOffset>
            </wp:positionV>
            <wp:extent cx="45434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43" w:lineRule="exact"/>
        <w:rPr>
          <w:sz w:val="20"/>
          <w:szCs w:val="20"/>
          <w:color w:val="auto"/>
        </w:rPr>
      </w:pPr>
    </w:p>
    <w:p>
      <w:pPr>
        <w:ind w:left="3980"/>
        <w:spacing w:after="0" w:line="296" w:lineRule="auto"/>
        <w:rPr>
          <w:sz w:val="20"/>
          <w:szCs w:val="20"/>
          <w:color w:val="auto"/>
        </w:rPr>
      </w:pPr>
      <w:r>
        <w:rPr>
          <w:rFonts w:ascii="Arial" w:cs="Arial" w:eastAsia="Arial" w:hAnsi="Arial"/>
          <w:sz w:val="16"/>
          <w:szCs w:val="16"/>
          <w:color w:val="auto"/>
        </w:rPr>
        <w:t>HF is a heart condition in which the heart’s pumping capacity is not adequate to meet the demands for blood and oxygen required by the rest of the body. HF can be the result of a range of conditions that lead to weakening of the heart muscle. Conditions that can be associated with the development of HF include a heart attack, uncontrolled high blood pressure, congenital heart disease (heart defects present at birth), and genetic cardiomyopathies.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-710565</wp:posOffset>
            </wp:positionV>
            <wp:extent cx="857250" cy="9601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0" cy="960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Heart Failure (HF)</w:t>
      </w:r>
    </w:p>
    <w:p>
      <w:pPr>
        <w:spacing w:after="0" w:line="131" w:lineRule="exact"/>
        <w:rPr>
          <w:sz w:val="20"/>
          <w:szCs w:val="20"/>
          <w:color w:val="auto"/>
        </w:rPr>
      </w:pPr>
    </w:p>
    <w:p>
      <w:pPr>
        <w:ind w:left="3980" w:right="60"/>
        <w:spacing w:after="0" w:line="301" w:lineRule="auto"/>
        <w:rPr>
          <w:sz w:val="20"/>
          <w:szCs w:val="20"/>
          <w:color w:val="auto"/>
        </w:rPr>
      </w:pPr>
      <w:r>
        <w:rPr>
          <w:rFonts w:ascii="Arial" w:cs="Arial" w:eastAsia="Arial" w:hAnsi="Arial"/>
          <w:sz w:val="16"/>
          <w:szCs w:val="16"/>
          <w:color w:val="auto"/>
        </w:rPr>
        <w:t>Arrhythmia is one of the most common heart conditions and is described as any change in the heart’s normal electrical impulses. Electrical impulses from within the heart initiate each heartbeat and ensure its normal pumping function. Arrhythmias can cause the heart to beat too quickly, too slowly or irregularly, resulting in a broad range of symptoms as well as sudden death and stroke.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-576580</wp:posOffset>
            </wp:positionV>
            <wp:extent cx="1045845" cy="7543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45845" cy="754380"/>
                    </a:xfrm>
                    <a:prstGeom prst="rect">
                      <a:avLst/>
                    </a:prstGeom>
                    <a:noFill/>
                  </pic:spPr>
                </pic:pic>
              </a:graphicData>
            </a:graphic>
          </wp:anchor>
        </w:drawing>
      </w:r>
    </w:p>
    <w:p>
      <w:pPr>
        <w:spacing w:after="0" w:line="36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Arrhythmia</w:t>
      </w:r>
    </w:p>
    <w:p>
      <w:pPr>
        <w:spacing w:after="0" w:line="131" w:lineRule="exact"/>
        <w:rPr>
          <w:sz w:val="20"/>
          <w:szCs w:val="20"/>
          <w:color w:val="auto"/>
        </w:rPr>
      </w:pPr>
    </w:p>
    <w:p>
      <w:pPr>
        <w:ind w:left="3980" w:right="320"/>
        <w:spacing w:after="0" w:line="263" w:lineRule="auto"/>
        <w:rPr>
          <w:sz w:val="20"/>
          <w:szCs w:val="20"/>
          <w:color w:val="auto"/>
        </w:rPr>
      </w:pPr>
      <w:r>
        <w:rPr>
          <w:rFonts w:ascii="Arial" w:cs="Arial" w:eastAsia="Arial" w:hAnsi="Arial"/>
          <w:sz w:val="18"/>
          <w:szCs w:val="18"/>
          <w:color w:val="auto"/>
        </w:rPr>
        <w:t>Heart value disease occurs when there is a problem with one or more of the four valves that normally work in unison to make sure that blood is pumped in the proper direction through the four chambers of the heart.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-422275</wp:posOffset>
            </wp:positionV>
            <wp:extent cx="1071245" cy="7886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7124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Heart Valve Disease</w:t>
      </w:r>
    </w:p>
    <w:p>
      <w:pPr>
        <w:spacing w:after="0" w:line="131" w:lineRule="exact"/>
        <w:rPr>
          <w:sz w:val="20"/>
          <w:szCs w:val="20"/>
          <w:color w:val="auto"/>
        </w:rPr>
      </w:pPr>
    </w:p>
    <w:p>
      <w:pPr>
        <w:jc w:val="both"/>
        <w:ind w:left="3980"/>
        <w:spacing w:after="0" w:line="263" w:lineRule="auto"/>
        <w:rPr>
          <w:sz w:val="20"/>
          <w:szCs w:val="20"/>
          <w:color w:val="auto"/>
        </w:rPr>
      </w:pPr>
      <w:r>
        <w:rPr>
          <w:rFonts w:ascii="Arial" w:cs="Arial" w:eastAsia="Arial" w:hAnsi="Arial"/>
          <w:sz w:val="18"/>
          <w:szCs w:val="18"/>
          <w:color w:val="auto"/>
        </w:rPr>
        <w:t>CAD is among the most common type of heart disease and occurs when plaque grows in the walls of the coronary arteries, limiting the blood flow to the heart’s muscle. CAD can ultimately lead to a heart attack.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-422275</wp:posOffset>
            </wp:positionV>
            <wp:extent cx="865505" cy="7543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65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Coronary Artery Disease (CAD)</w:t>
      </w:r>
    </w:p>
    <w:p>
      <w:pPr>
        <w:spacing w:after="0" w:line="23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While there is clearly significant unmet need in the field of heart disease, historically there have been many challenges in developing novel therapies for the different forms of heart disease. We are currently focused on HF and arrhythmia, particularly when these diseases can be traced to some underlying genetic defect.</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Challenges in the Development of Novel Therapies for Heart Disease</w:t>
      </w:r>
    </w:p>
    <w:p>
      <w:pPr>
        <w:spacing w:after="0" w:line="131" w:lineRule="exact"/>
        <w:rPr>
          <w:sz w:val="20"/>
          <w:szCs w:val="20"/>
          <w:color w:val="auto"/>
        </w:rPr>
      </w:pPr>
    </w:p>
    <w:p>
      <w:pPr>
        <w:ind w:left="1080" w:right="20" w:hanging="532"/>
        <w:spacing w:after="0" w:line="266"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Most development efforts focus on treating symptoms rather than targeting the underlying causes of diseases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line therapies for HF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generic small molecules, including ACE inhibitors, angiotensin II receptor blockers, beta blockers, aldosterone antagonists, and diuretics, are most commonly used, irrespective of the underlying cause of the HF.</w:t>
      </w:r>
    </w:p>
    <w:p>
      <w:pPr>
        <w:spacing w:after="0" w:line="81" w:lineRule="exact"/>
        <w:rPr>
          <w:rFonts w:ascii="Arial" w:cs="Arial" w:eastAsia="Arial" w:hAnsi="Arial"/>
          <w:sz w:val="18"/>
          <w:szCs w:val="18"/>
          <w:color w:val="auto"/>
        </w:rPr>
      </w:pPr>
    </w:p>
    <w:p>
      <w:pPr>
        <w:ind w:left="1080" w:right="380" w:hanging="532"/>
        <w:spacing w:after="0" w:line="266"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Identifying new disease-modifying targets is challenging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a high reliance on animal models that are not always predictive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heart disease. There is only a 4% to 7% overall probability of successful drug development from Phase 1 through commercialization for heart disease, among the lowest of all therapeutic areas.</w:t>
      </w:r>
    </w:p>
    <w:p>
      <w:pPr>
        <w:spacing w:after="0" w:line="81"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Genetic diagnosis and genetic counseling are limited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patients presenting with heart disease do not currently obtain a genetic test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their diagnosis. Given there are almost no therapies that are targeted at the underlying genetic cause of the disease, physicians may believe a genetic test will not influence treatment and management decisions. Additionally, even when patients do receive a genetic diagnosis, genetic counseling and family screening are not commonly employed. As a result, family members who may be at risk of disease are not identified early. Additionally, this also limits the availability of patients for clinical trials of genetic medicines in heart disease.</w:t>
      </w:r>
    </w:p>
    <w:p>
      <w:pPr>
        <w:spacing w:after="0" w:line="92" w:lineRule="exact"/>
        <w:rPr>
          <w:rFonts w:ascii="Arial" w:cs="Arial" w:eastAsia="Arial" w:hAnsi="Arial"/>
          <w:sz w:val="18"/>
          <w:szCs w:val="18"/>
          <w:color w:val="auto"/>
        </w:rPr>
      </w:pPr>
    </w:p>
    <w:p>
      <w:pPr>
        <w:ind w:left="1080" w:right="140" w:hanging="532"/>
        <w:spacing w:after="0" w:line="274"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Regenerative therapy science is still in its early stages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 attempts at developing novel cell and gene therapies for heart disease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not been successful. Much effort was devoted to regenerative medicine approaches using autologous (from self) or allogeneic (from donors) cell sources, but after more than 150 clinical studies involving thousands of patients over the last two decades, those efforts have mostly ended in failure. Factors that likely contributed to these failures include an insufficient number of new cells surviving rejection by the immune system, only modest efficacy from the surviving cells, and arrhythmia caused by abnormal electric activity and connections between new cells and the existing cells.</w:t>
      </w:r>
    </w:p>
    <w:p>
      <w:pPr>
        <w:spacing w:after="0" w:line="78" w:lineRule="exact"/>
        <w:rPr>
          <w:rFonts w:ascii="Arial" w:cs="Arial" w:eastAsia="Arial" w:hAnsi="Arial"/>
          <w:sz w:val="17"/>
          <w:szCs w:val="17"/>
          <w:color w:val="auto"/>
        </w:rPr>
      </w:pPr>
    </w:p>
    <w:p>
      <w:pPr>
        <w:ind w:left="1080" w:right="20" w:hanging="532"/>
        <w:spacing w:after="0" w:line="25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Gene therapy science for the heart is still maturing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have been few attempts at gene therapy for heart disease. Most early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therapy efforts used adenoviruses instead of AAV. The most well-known AAV-based effort involved the use of AAV1 to deliver SERCA2a. After promising preclinical and early clinical results, this effort was discontinued following an unsuccessful Phase 2b study. These first-generation gene therapy efforts for the heart did not have the benefit of more recent advances in capsids, promoters, delivery, and manufacturing.</w:t>
      </w:r>
    </w:p>
    <w:p>
      <w:pPr>
        <w:spacing w:after="0" w:line="88" w:lineRule="exact"/>
        <w:rPr>
          <w:rFonts w:ascii="Arial" w:cs="Arial" w:eastAsia="Arial" w:hAnsi="Arial"/>
          <w:sz w:val="18"/>
          <w:szCs w:val="18"/>
          <w:color w:val="auto"/>
        </w:rPr>
      </w:pPr>
    </w:p>
    <w:p>
      <w:pPr>
        <w:ind w:left="1080" w:right="20" w:hanging="532"/>
        <w:spacing w:after="0" w:line="274"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requirements are stringent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Historically, cardiovascular drug development has involved large studies to demonstrate a survival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over and above standard-of-care, and where there is very low tolerance for safety risks. Endpoints focused on functional improvements, such as change in EF, have generally not been sufficient for FDA approval. This translates to a need for very large, long, and expensive randomized and placebo-controlled clinical studies. The average size of a clinical study used to support treatment recommendations for HF can involve approximately 2,000 to 8,000 patients. As an example, studies for therapies intended to treat diabetes may require safety trials involving 5,000 to 15,000 patients to rule out cardiovascular risk.</w:t>
      </w:r>
    </w:p>
    <w:p>
      <w:pPr>
        <w:spacing w:after="0" w:line="78" w:lineRule="exact"/>
        <w:rPr>
          <w:rFonts w:ascii="Arial" w:cs="Arial" w:eastAsia="Arial" w:hAnsi="Arial"/>
          <w:sz w:val="17"/>
          <w:szCs w:val="17"/>
          <w:color w:val="auto"/>
        </w:rPr>
      </w:pPr>
    </w:p>
    <w:p>
      <w:pPr>
        <w:ind w:left="1080" w:right="180" w:hanging="532"/>
        <w:spacing w:after="0" w:line="289"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Costs of development are high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part due to the historical need for large survival studies, drug development in this space has been very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 and expensive. A recent analysis demonstrated that, on average, biopharmaceutical companies spent $1 billion in clinical development per cardiovascular drug product approval, the highest ratio among all therapeutic areas.</w:t>
      </w:r>
    </w:p>
    <w:p>
      <w:pPr>
        <w:spacing w:after="0" w:line="63"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Patient access barriers are challenging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to being the leading cause of death, HF is one of the largest and most expensive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categories for payers. The United States spends approximately $317 billion per year on CAD alone, including heart disease and stroke, or nearly 17% of all U.S. healthcare spending, representing the most expensive category of chronic diseases to treat. The total direct and indirect costs of HF alone are expected to increase to $70 billion by 2030. As a result, heart disease is an area of focus for cost-containment and price sensitivity for new therapies for both private and public payers.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These factors have contributed to a decline in successful heart disease drug development. Between 2000 and 2009, FDA approvals for new cardiovascular drug products declined by approximately 33% compared with the prior decade. While heart disease is the leading cause of death in the world, fewer resources have been mobilized in support of new therapies for heart disease relative to investment in other therapeutic areas, such as oncology and diseases of the central nervous system.</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However, there are recent signs of improvement, notably due to the improving rate of genetic testing, potentially from more education by physicians and patient advocacy groups, as well as increased availability of free genetic testing covering more than 150 relevant genes associated with inherited arrhythmia and cardiomyopathy conditions. There are also a small but growing number of examples of clinical success with precision medicine approaches in cardiology, including in genetic cardiomyopathies. In addition, there is the potential for relaxation of some regulatory requirements that may enable approval of new cardiovascular therapies based on demonstrated effect on symptoms or physical function and not based solely on demonstrated improvement of survival or risk of hospitalization.</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believe with the evolving understanding of heart disease in the scientific community and general public, there are significant opportunities where we can benefit from and support the evolution towards more precise diagnosis, drug development, and treatment for heart disease, as depicted in the diagram below.</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Evolving Landscape of Heart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168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advances in the science to discover, develop, manufacture and ultimately commercialize a deep and diverse pipeline of novel therapies. The key components of our strategy to achieve these goals are:</w:t>
      </w:r>
    </w:p>
    <w:p>
      <w:pPr>
        <w:spacing w:after="0" w:line="88" w:lineRule="exact"/>
        <w:rPr>
          <w:sz w:val="20"/>
          <w:szCs w:val="20"/>
          <w:color w:val="auto"/>
        </w:rPr>
      </w:pPr>
    </w:p>
    <w:p>
      <w:pPr>
        <w:ind w:left="1080" w:right="120" w:hanging="532"/>
        <w:spacing w:after="0" w:line="25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Develop disease-modifying and potentially curative therapies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focused on developing disease-modifying and potentially life-saving novel therapies that target 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therapies for genetically defined conditions have the potential to be curative after a single dose.</w:t>
      </w:r>
    </w:p>
    <w:p>
      <w:pPr>
        <w:spacing w:after="0" w:line="88" w:lineRule="exact"/>
        <w:rPr>
          <w:rFonts w:ascii="Arial" w:cs="Arial" w:eastAsia="Arial" w:hAnsi="Arial"/>
          <w:sz w:val="18"/>
          <w:szCs w:val="18"/>
          <w:color w:val="auto"/>
        </w:rPr>
      </w:pPr>
    </w:p>
    <w:p>
      <w:pPr>
        <w:ind w:left="1080" w:right="300" w:hanging="532"/>
        <w:spacing w:after="0" w:line="282"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Focus exclusively on heart disease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Heart disease is still the leading cause of death globally, more than all cancers combined,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unmet medical need remains high. We see significant opportunity to</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320" w:top="459" w:right="5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301" w:lineRule="auto"/>
        <w:rPr>
          <w:sz w:val="20"/>
          <w:szCs w:val="20"/>
          <w:color w:val="auto"/>
        </w:rPr>
      </w:pPr>
      <w:r>
        <w:rPr>
          <w:rFonts w:ascii="Arial" w:cs="Arial" w:eastAsia="Arial" w:hAnsi="Arial"/>
          <w:sz w:val="16"/>
          <w:szCs w:val="16"/>
          <w:color w:val="auto"/>
        </w:rPr>
        <w:t>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63" w:lineRule="exact"/>
        <w:rPr>
          <w:sz w:val="20"/>
          <w:szCs w:val="20"/>
          <w:color w:val="auto"/>
        </w:rPr>
      </w:pPr>
    </w:p>
    <w:p>
      <w:pPr>
        <w:ind w:left="1080" w:right="40" w:hanging="532"/>
        <w:spacing w:after="0" w:line="293"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Discover novel therapies using three product platforms in parallel</w:t>
      </w:r>
      <w:r>
        <w:rPr>
          <w:rFonts w:ascii="Arial" w:cs="Arial" w:eastAsia="Arial" w:hAnsi="Arial"/>
          <w:sz w:val="16"/>
          <w:szCs w:val="16"/>
          <w:color w:val="auto"/>
        </w:rPr>
        <w:t>. To address the wide range of issues in heart diseases,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advancing science from three distinct product platforms in parallel. Each platform tackles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6"/>
          <w:szCs w:val="16"/>
          <w:i w:val="1"/>
          <w:iCs w:val="1"/>
          <w:color w:val="auto"/>
        </w:rPr>
        <w:t>.</w:t>
      </w:r>
      <w:r>
        <w:rPr>
          <w:rFonts w:ascii="Arial" w:cs="Arial" w:eastAsia="Arial" w:hAnsi="Arial"/>
          <w:sz w:val="16"/>
          <w:szCs w:val="16"/>
          <w:color w:val="auto"/>
        </w:rPr>
        <w:t xml:space="preserve"> These platforms represent distinct but interrelated product engines that we believe will enable a robust pipeline of promising product candidates while also mitigating overall scientific risk.</w:t>
      </w:r>
    </w:p>
    <w:p>
      <w:pPr>
        <w:spacing w:after="0" w:line="65"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Target defined sub-populations of patients most likely to respond to our therapies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seek to focus on patient populations where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genetic cause of the disease is well-established, including genetic cardiomyopathies and other monogenic disorders. We also seek to use different strategies to sub-segment larger HF populations, such as HFrEF and HFpEF, through the use of genetics or biomarkers to improve selection of patients with attributes that are more suited to the specific mechanism of action. We believe this strategy can accelerate clinical development, reduce overall development costs, and improve the probability of clinical and regulatory success.</w:t>
      </w:r>
    </w:p>
    <w:p>
      <w:pPr>
        <w:spacing w:after="0" w:line="59" w:lineRule="exact"/>
        <w:rPr>
          <w:rFonts w:ascii="Arial" w:cs="Arial" w:eastAsia="Arial" w:hAnsi="Arial"/>
          <w:sz w:val="16"/>
          <w:szCs w:val="16"/>
          <w:color w:val="auto"/>
        </w:rPr>
      </w:pPr>
    </w:p>
    <w:p>
      <w:pPr>
        <w:ind w:left="1080" w:right="80" w:hanging="532"/>
        <w:spacing w:after="0" w:line="272"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Advance a deep and diverse pipeline of therapies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aim to advance solutions from all three product platforms concurrently,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 pipeline already has at least one program from each product platform. The diversity of our programs illustrates the ambition of our vision and the versatility and depth of our scientific approaches. For example, from our Gene Therapy platform we are advancing potentially one-time AAV-based therapies for rare, genetic forms of heart disease including (i) our MYBPC3 product candidate for gHCM and (ii) our DWORF product candidate for gDCM and HFrEF; from our Cellular Regeneration platform, we are advancing a potentially one-time regenerative medicine therapy for HF due to prior MI; and from our Precision Medicine platform, we are advancing an HDAC6i for a prevalent form of HFpEF and gDCM. We are also working on several other undisclosed programs, particularly from our Gene Therapy and Precision Medicine platforms, that will add to our future pipeline opportunities.</w:t>
      </w:r>
    </w:p>
    <w:p>
      <w:pPr>
        <w:spacing w:after="0" w:line="77" w:lineRule="exact"/>
        <w:rPr>
          <w:rFonts w:ascii="Arial" w:cs="Arial" w:eastAsia="Arial" w:hAnsi="Arial"/>
          <w:sz w:val="17"/>
          <w:szCs w:val="17"/>
          <w:color w:val="auto"/>
        </w:rPr>
      </w:pPr>
    </w:p>
    <w:p>
      <w:pPr>
        <w:ind w:left="1080" w:right="380" w:hanging="532"/>
        <w:spacing w:after="0" w:line="293"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Internalize and integrate core capabilities to support our innovation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five core capabilities that we believe will enable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discover, develop, and deliver heart therapies. These capabilities include: (i) Disease Models, (ii) Capsid Engineering,</w:t>
      </w:r>
    </w:p>
    <w:p>
      <w:pPr>
        <w:spacing w:after="0" w:line="1" w:lineRule="exact"/>
        <w:rPr>
          <w:rFonts w:ascii="Arial" w:cs="Arial" w:eastAsia="Arial" w:hAnsi="Arial"/>
          <w:sz w:val="16"/>
          <w:szCs w:val="16"/>
          <w:color w:val="auto"/>
        </w:rPr>
      </w:pPr>
    </w:p>
    <w:p>
      <w:pPr>
        <w:ind w:left="1080" w:right="60"/>
        <w:spacing w:after="0" w:line="253" w:lineRule="auto"/>
        <w:rPr>
          <w:rFonts w:ascii="Arial" w:cs="Arial" w:eastAsia="Arial" w:hAnsi="Arial"/>
          <w:sz w:val="16"/>
          <w:szCs w:val="16"/>
          <w:color w:val="auto"/>
        </w:rPr>
      </w:pPr>
      <w:r>
        <w:rPr>
          <w:rFonts w:ascii="Arial" w:cs="Arial" w:eastAsia="Arial" w:hAnsi="Arial"/>
          <w:sz w:val="18"/>
          <w:szCs w:val="18"/>
          <w:color w:val="auto"/>
        </w:rPr>
        <w:t>(iii) Promoter and Regulatory Elements, (iv) Drug Delivery and (v) Manufacturing. We believe the integration of our know-how and innovations in these areas will allow us to generate scientific insights more rapidly and improve the probability of technical and regulatory success of our product candidates. The internalization of these capabilities also reduces our reliance on third parties—be it academic labs, contract research organizations (CROs), or contract development and manufacturing organizations (CDMOs)—providing us better control of our timelines and costs.</w:t>
      </w:r>
    </w:p>
    <w:p>
      <w:pPr>
        <w:spacing w:after="0" w:line="96" w:lineRule="exact"/>
        <w:rPr>
          <w:rFonts w:ascii="Arial" w:cs="Arial" w:eastAsia="Arial" w:hAnsi="Arial"/>
          <w:sz w:val="16"/>
          <w:szCs w:val="16"/>
          <w:color w:val="auto"/>
        </w:rPr>
      </w:pPr>
    </w:p>
    <w:p>
      <w:pPr>
        <w:ind w:left="1080" w:right="80" w:hanging="532"/>
        <w:spacing w:after="0" w:line="296"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Become a fully integrated biopharmaceutical company with commercial capabilities. </w:t>
      </w:r>
      <w:r>
        <w:rPr>
          <w:rFonts w:ascii="Arial" w:cs="Arial" w:eastAsia="Arial" w:hAnsi="Arial"/>
          <w:sz w:val="16"/>
          <w:szCs w:val="16"/>
          <w:color w:val="auto"/>
        </w:rPr>
        <w:t>We aim to discover, develop, manufacture,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eventually commercialize therapies. We believe this strategy can make us a partner of choice for academics and larger companies alike who wish to access deep expertise in next 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Platforms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To unlock the full potential of novel therapies across many forms of heart disease, we are advancing science from three product platforms in parallel. Each platform is intended to address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7"/>
          <w:szCs w:val="17"/>
          <w:i w:val="1"/>
          <w:iCs w:val="1"/>
          <w:color w:val="auto"/>
        </w:rPr>
        <w:t>.</w:t>
      </w:r>
      <w:r>
        <w:rPr>
          <w:rFonts w:ascii="Arial" w:cs="Arial" w:eastAsia="Arial" w:hAnsi="Arial"/>
          <w:sz w:val="17"/>
          <w:szCs w:val="17"/>
          <w:color w:val="auto"/>
        </w:rPr>
        <w:t xml:space="preserve"> We are advancing programs from these distinct but interrelated product platforms that combine different science, capabilities, and intellectual property. We believe these three product platforms together yield better insights into disease processes, create more opportunities for successful drug development, mitigate scientific risk, and differentiate our efforts relative to competitors.</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092065" cy="2194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9206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Gene therapy focuses on repairing or replacing defective or mutated genes to produce a therapeutic effect or treat a disease. AAV is a non-enveloped virus that already exists in some humans and does not cause disease. In gene therapy, the viral DNA within an AAV is replaced with new DNA to become a precisely coded vector to deliver the engineered therapeutic to specific tissues or organs within the body.</w:t>
      </w:r>
    </w:p>
    <w:p>
      <w:pPr>
        <w:spacing w:after="0" w:line="16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AAV vectors are the subject of significant research and development as they can be leveraged as a gene delivery vehicle for a wide range of therapeutic payloads to a wide variety of human cells. AAV-mediated gene therapy has been shown to be highly effective in targeting multiple organs, including the eye, the liver and the central nervous system. These viruses have been used to dose more than 3,300 patients in approximately 150 clinical studies around the world, and there are now several therapies that use such viruses that have been approved by the FDA and other regulatory agencies.</w:t>
      </w:r>
    </w:p>
    <w:p>
      <w:pPr>
        <w:spacing w:after="0" w:line="15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Recent third party clinical studies have demonstrated that AAV serotype 9 (AAV9) can effectively transduce the hearts of infants and adults. This supports the results of several published non-clinical studies using AAV9 in murine and NHP models. Overall, most data suggest that AAV9 may be the best of the known existing parental vectors for the purpose of cardiac gene therapy.</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However, AAV9 has limitations. AAV9 has a well-established ability to also transduce the liver and the central nervous system, in addition to the heart, which can create safety considerations. Also, some individuals have neutralizing antibodies to AAV9, making them ineligible for AAV9-based treatments.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Cardiac-specific promoters like cardiac troponin T (cTnT) can help limit the expression of AAV-delivered genes to CMs, but do not enable targeted gene expression in other heart cells (e.g. CFs). Additionally, the level of gene expression from these promoters may not be sufficient for therapeutic effect in some settings.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Therefore, there is significant room for improvement, and we aim to improve gene therapy for the heart in ways that expand its utility. We believe our five core internal capabilities will allow us to identify, engineer, validate, deliver and manufacture novel AAV vectors to optimize the delivery and expression of therapies more selectively to cells of interest in the heart. With our capsid engineering capabilities, we have designed and screened more than one billion AAV variants to find novel capsids with higher tropism and transduction efficiency for different types of heart cells, lower transduction efficiency for the liver and other tissues, and lower susceptibility to neutralizing antibodies. We have discovered promoters and regulatory elements that enable more precise gene expression in specific heart cells. We are developing new catheters and are exploring different ROAs to more precisely deliver vectors to heart tissue. And we have established know-how to enable more optimal manufacturing, including of novel AAV capsids.</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These capabilities open the opportunity to deliver novel gene therapies to patients with heart disease and position us to become a leader in gene therapy for cardiology. We are leveraging these capabilities to develop gene therapies not only for rare, genetic forms of heart disease, but also to enable the transition to more prevalent forms as well.</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The product candidates arising from our Gene Therapy platform are intended to overcome the shortcomings of traditional pharmacological or surgical interventions that are not able to address the underlying genetic factors contributing to heart disease. Our initial area of focus is on the delivery of a healthy copy of genes that are known to be mutated in genetic cardiomyopathies; for example, our most advanced product candidate from our Gene Therapy platform involves delivering a healthy copy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to address the leading cause of gHCM. This “lock and key” gene therapy program was selected following a screen of hundreds of potential targets. We believe our MYBPC3 Gene Therapy program is able to benefit from a variety of factors, including high disease severity and large unmet need; relatively high prevalence; emerging science supporting haploinsufficiency as the disease driver; representative disease models; and illustrative proof-of-concept evidence for gene therapy from academic labs.</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believe the versatility of our Gene Therapy platform and related differentiated capabilities enables us to rapidly expand our portfolio of therapies beyond the initial focus. For example, our DWORF Gene Therapy program is based on the idea of delivering the recently discovered DWORF protein targeting a well-known pathway that has been shown to exert a therapeutic effect in a range of disease models. We continue to explore other genetic cardiomyopathies that can potentially be addressed by our Gene Therapy platform.</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Cellular Regeneration Platform</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Scientists have long known that the human heart is not able to regenerate itself, unlike many other organs in the body. Acute MI—more commonly referred to as a heart attack—can kill as many as 25% of CMs from the left ventricle (LV), or approximately one billion cells. The heart has no natural way to replace cells that are lost slowly with age or suddenly due to disease. One reason that HF is so prevalent and the leading cause of death in the world is due to the lack of regenerative potential of the heart. Acute MI is associated with a 30% mortality rate; about 50% of the deaths occur prior to arrival at the hospital. An additional 5% to 10% of survivors die within the first year after their MI. Approximately half of all patients with an MI are rehospitalized within one year of their first MI. Finding ways to replace lost heart cells is one of the “holy grails” of regenerative medicine.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There are two abundant cell types in the heart: CMs, which are the cells that are responsible for contraction during each heartbeat, and CFs, that produce and secrete growth factors, cytokines and other signaling molecules contributing to structural, biochemical, mechanical and electrical properties of the myocardium. While CFs are able to divide and proliferate, CMs are post-mitotic, meaning they are incapable of regenerating. CMs that are lost due to aging or disease are replaced by fibrotic scar tissue that is permanent and irreparable with currently approved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125730</wp:posOffset>
            </wp:positionV>
            <wp:extent cx="1508760" cy="19977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0876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 xml:space="preserve">The field of cardiac regeneration has historically been dominated by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therapy approaches using autologous (from self) or allogeneic (from donors) cell sources to replace lost CMs. However, there have been no successful therapies after scores of clinical studies involving thousands of patients. Any modest efficacy seen in clinical studies are now often attributed to indirect paracrine effects rather than true cardiac regeneration. Some have tried to induce regeneration by infusion or injecting cells generated from hiPSC-CMs or human embryonic stem cells (hESCs), but that has been fraught with many challenges, as these cells have an embryonic phenotype and generate arrhythmias once injected into the heart; recipients need to be immunosuppressed to avoid rejection; and integration into the electric and mechanical connections of the heart is still imperfect.</w:t>
      </w:r>
    </w:p>
    <w:p>
      <w:pPr>
        <w:spacing w:after="0" w:line="16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We are advancing a cardiac regeneration approach based on research conducted by our founders at the Gladstone Institutes and UTSW, who pioneered the idea of restoring heart function after a heart attack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regeneration of lost CMs. Our approach is intended to achieve this by using viral vectors to deliver a proprietary combination of three genes that when delivered together in a single AAV can permanently convert—or “reprogram”—a patient’s own resident CFs into new CMs.</w:t>
      </w:r>
    </w:p>
    <w:p>
      <w:pPr>
        <w:spacing w:after="0" w:line="18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 xml:space="preserve">This approach was inspired by the Nobel-prize winning discoveries of Shinya Yamanaka who first discovered that human cells can be “reprogrammed” with certain specific factors—which became known as the “Yamanaka factors”—to become induced pluripotent stem cells (iPSCs), and that these newly formed iPSCs were in turn capable of differentiating to become any other human cell type in the body, including heart cells. Our founders and other academic labs built on this idea and demonstrated that it is possible to directly convert CFs to CMs without first going through the iPSC stage. Dr. Srivastava, one of our co-founders and a member of our board of directors, was the first to demonstrate proof of concept of this “direct reprogramming” approach for cardiac regeneration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mouse model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human cells. Several independent academic labs around the world have subsequently replicated the results with direct reprogramming for cardiac regeneration using the same factors as well as new combinations.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figure below helps illustrate the idea of direct reprogramming of CFs to CMs using the Waddington model for cellular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176530</wp:posOffset>
            </wp:positionV>
            <wp:extent cx="5186045" cy="22631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 have been several historical challenges for the field of direct reprogramming for cardiac regeneration to turn this promising scientific discovery into potentially viable therapies. Most academic efforts required anywhere from three to five factors to achieve the conversion of human CFs to CMs, and the overall conversion rate was relatively low. Some of these efforts used a combination of retroviruses and small molecules to achieve this conversion, which is not clinically applicable. The published proof-of-concept work has been demonstrated in murine models of acute MI (i.e. immediately at the time of onset of heart attack), but not in models of HF following MI (i.e. sometime after the heart attack has already happened) which more accurately simulates the situation that would be adopted in the clinical setting.</w:t>
      </w:r>
    </w:p>
    <w:p>
      <w:pPr>
        <w:spacing w:after="0" w:line="178"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 xml:space="preserve">We believe we are the first to potentially overcome these challenges. We have discovered a proprietary combination of three genes that can be co-packaged and co-expressed from a single proprietary AAV vector engineered for higher transduction of CFs when compared to existing parental capsids. We have demonstrated higher transdifferentiation rates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using human CFs that are higher than rates reported in published studies using combinations of other factors intended to drive reprogramming, and robust and durable proof-of-concept of this approach in multiple rodent models of acute MI and HF post-MI. Most importantly, we believe we are the first to have demonstrated the therapeutic benefit of this approach in a post-MI pig model with a human-sized heart.</w:t>
      </w:r>
    </w:p>
    <w:p>
      <w:pPr>
        <w:spacing w:after="0" w:line="192"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approach to cardiac regeneration may have several advantages over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therapies. Because the newly formed CMs are generated from the patients’ own cells, they are not rejected by the body and no immunosuppression is needed. And since these newly formed CMs are generated from within the patient’s heart tissue, it may be easier for them to electrically and mechanically connect with surrounding cells as they mature and to contribute to healthy heart function with lower risk for arrhythmias. In addition, it is easier to manufacture and to deliver AAV-based therapies and to offer them at commercially viable prices compared to cell-based therapies.</w:t>
      </w:r>
    </w:p>
    <w:p>
      <w:pPr>
        <w:spacing w:after="0" w:line="1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initial focus of our Cellular Regeneration platform is on the development of disease-modifying treatments for HF due to prior MI. We believe the versatility of this product platform and related differentiated capabilities position us to expand our portfolio of therapies rapidly and pursue other indications involving loss of CMs</w:t>
      </w:r>
      <w:r>
        <w:rPr>
          <w:rFonts w:ascii="Arial" w:cs="Arial" w:eastAsia="Arial" w:hAnsi="Arial"/>
          <w:sz w:val="18"/>
          <w:szCs w:val="18"/>
          <w:i w:val="1"/>
          <w:iCs w:val="1"/>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Precision Medicine Platform</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idea of “precision medicine” has been around for a number of years, with the core concept of delivering the right therapy to the right patient at the right time. Recently, the idea of precision medicine has gained traction in oncology, in particular, with the benefit of a better understanding of the genetics of different tumor types, and to match therapies to specific mutations (e.g. Genentech’s Herceptin therapy for HER2+ breast cancer). We aim to bring this concept of precision medicine to the discovery and development of targeted therapies for heart disease.</w:t>
      </w:r>
    </w:p>
    <w:p>
      <w:pPr>
        <w:spacing w:after="0" w:line="15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There is an increasing understanding of the genetic basis for many cardiomyopathies, including dilated cardiomyopathy (DCM), hypertrophic cardiomyopathy (HCM), restrictive cardiomyopathy (RCM) and arrhythmogenic cardiomopathy. DCM provides an interesting case study. Mutations in more than 50 genes have been identified for gDCM, with more than 50% of patients presenting with multiple mutations. These mutations present in different parts of the cellular apparatus of patients’ CMs, including the sarcomere, nucleus, ion channels, and cellular membranes. Yet mutations in proteins with diverse biology present as a common disease phenotype, suggesting common nodes of disease yet to be discovered. Despite this heterogeneity of genetic background and underlying pathophysiology, the therapies used for these patients are the same as therapies used for patients with other forms of HF. We envision a future in which therapies are more specific to the underlying cause of disease and are used to treat patients who have been categorized based on their underlying genetic mutations.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figure below helps illustrate our vision for “precision medicine” research and development for heart disease through the lens of gDCM: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176530</wp:posOffset>
            </wp:positionV>
            <wp:extent cx="5186045" cy="21513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It is also necessary to have the appropriate disease models to discover new targets and to test new therapies. Unfortunately, there is still a lack of representative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of the greater than 50 genes known to cause gDCM when mutated, less than ten have relevant murine models to support drug discovery. The situation is even worse for others forms of genetic cardiomyopathy. We are committed to finding new ways to model genetic cardiomyopathies, including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but also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is a growing body of academic literature supporting the use of hiPSC-CMs to model human heart disease and the potential cardiotoxicity of therapeutics during drug discovery. This can be helpful where animal models for specific forms of heart disease either do not yet exist or are not yet sufficiently representative of human disease. There is also a growing number of biopharmaceutical companies that are using iPSCs for phenotypic screening and drug discovery. We are advancing a novel approach of using proprietary hiPSC-CMs disease models for target identification and drug discovery.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figure below illustrates how we have internalized and integrated six key aspects necessary to advance the discovery of precision medicine therapeutics using hiPSC-CMs: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134620</wp:posOffset>
            </wp:positionV>
            <wp:extent cx="5126355" cy="2348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2635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We have demonstrated proof of concept of this approach using an hiPSC-CM disease model representing a specific gDCM mutation plus machine learning algorithms to measure variations in appearance of these cells when screened with a library of several thousand small molecule compounds. We identified several biologically relevant hits and validated HDAC6 as a specific target of interest. We have since turned our findings into a product candidate in our HDAC6i program with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and tolerability demonstrated in multiple heart disease models of HFpEF and gDCM.</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are currently conducting target identification screens for both gene therapy and small molecules targets in multiple iPSC-CM disease models of gDCM. We are also expanding our efforts to different genetic backgrounds including the leading genetic causes of HCM and genetic arrhythmogenic cardiomyopathy. We believe the versatility of our Precision Medicine platform and related capabilities enables us to rapidly expand our portfolio of product candidates beyond HDAC6i.</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and Capabilities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utilize five core internal capabilities to support our three product platforms. Our key capabilities include the creation and development of</w:t>
      </w:r>
    </w:p>
    <w:p>
      <w:pPr>
        <w:spacing w:after="0" w:line="35" w:lineRule="exact"/>
        <w:rPr>
          <w:sz w:val="20"/>
          <w:szCs w:val="20"/>
          <w:color w:val="auto"/>
        </w:rPr>
      </w:pPr>
    </w:p>
    <w:p>
      <w:pPr>
        <w:ind w:left="380" w:hanging="264"/>
        <w:spacing w:after="0"/>
        <w:tabs>
          <w:tab w:leader="none" w:pos="3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disease models to more accurately simulate human heart disease phenotypes, (2) novel heart-tropic AAV capsids designed to enable precise tissue</w:t>
      </w:r>
    </w:p>
    <w:p>
      <w:pPr>
        <w:spacing w:after="0" w:line="32" w:lineRule="exact"/>
        <w:rPr>
          <w:rFonts w:ascii="Arial" w:cs="Arial" w:eastAsia="Arial" w:hAnsi="Arial"/>
          <w:sz w:val="16"/>
          <w:szCs w:val="16"/>
          <w:color w:val="auto"/>
        </w:rPr>
      </w:pPr>
    </w:p>
    <w:p>
      <w:pPr>
        <w:ind w:left="120"/>
        <w:spacing w:after="0" w:line="323" w:lineRule="auto"/>
        <w:rPr>
          <w:rFonts w:ascii="Arial" w:cs="Arial" w:eastAsia="Arial" w:hAnsi="Arial"/>
          <w:sz w:val="16"/>
          <w:szCs w:val="16"/>
          <w:color w:val="auto"/>
        </w:rPr>
      </w:pPr>
      <w:r>
        <w:rPr>
          <w:rFonts w:ascii="Arial" w:cs="Arial" w:eastAsia="Arial" w:hAnsi="Arial"/>
          <w:sz w:val="16"/>
          <w:szCs w:val="16"/>
          <w:color w:val="auto"/>
        </w:rPr>
        <w:t>targeting and increase safety, (3) novel promoters and regulatory elements to control gene expression, (4) fit-for-purpose drug delivery methods for more optimal uptake and distribution of our product candidates and (5) scalable AAV manufacturing to better control quality, costs, timelines and supply.</w:t>
      </w:r>
    </w:p>
    <w:p>
      <w:pPr>
        <w:spacing w:after="0" w:line="13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believe integration of these in-house capabilities provides us with several advantages and differentiates our efforts relative to other drug discovery companies, especially for gene therapy drug development. Through the combination of these capabilities, we are developing product candidates that can address the complicated characteristics of heart disease. For example, we believe with our capabilities in capsids and promoter design and delivery, we can overcome the limitations faced by prior cardiac gene therapy approaches through enabling precise delivery and robust gene expression and lowering the risk of off-target effects. We also believe that these approaches can overcome the historical challenges of drug development for heart disease, by enabling delivery of a wide range of therapeutic approaches to specific cells in the heart.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By having our capabilities in-house, we believe we are able to achieve deeper insight, shorten product development cycles, and improve the probability of technical and regulatory success for our product candidates compared to what can be achieved when outsourcing. This further allows us to rapidly build a diverse pipeline of product candidates. Ultimately, we believe our differentiated capabilities can support development of product candidates that, if approved, could address the high unmet need of patients with cardiac diseases and could be delivered at a lower cost of goods than what is possible today.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Disease Models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We have internalized the ability to create and integrate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within our research organization, which allows us to simulate human heart disease phenotypes. We believe our success will be supported by the know-how we are developing and the proprietary integration of these disease models across our programs.</w:t>
      </w:r>
    </w:p>
    <w:p>
      <w:pPr>
        <w:spacing w:after="0" w:line="89" w:lineRule="exact"/>
        <w:rPr>
          <w:sz w:val="20"/>
          <w:szCs w:val="20"/>
          <w:color w:val="auto"/>
        </w:rPr>
      </w:pPr>
    </w:p>
    <w:p>
      <w:pPr>
        <w:ind w:left="1080" w:right="100" w:hanging="532"/>
        <w:spacing w:after="0" w:line="273"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In vitro cell-based disease models</w:t>
      </w:r>
      <w:r>
        <w:rPr>
          <w:rFonts w:ascii="Arial" w:cs="Arial" w:eastAsia="Arial" w:hAnsi="Arial"/>
          <w:sz w:val="17"/>
          <w:szCs w:val="17"/>
          <w:color w:val="auto"/>
        </w:rPr>
        <w:t>: For our</w:t>
      </w:r>
      <w:r>
        <w:rPr>
          <w:rFonts w:ascii="Arial" w:cs="Arial" w:eastAsia="Arial" w:hAnsi="Arial"/>
          <w:sz w:val="17"/>
          <w:szCs w:val="17"/>
          <w:i w:val="1"/>
          <w:iCs w:val="1"/>
          <w:color w:val="auto"/>
        </w:rPr>
        <w:t xml:space="preserve"> in vitro </w:t>
      </w:r>
      <w:r>
        <w:rPr>
          <w:rFonts w:ascii="Arial" w:cs="Arial" w:eastAsia="Arial" w:hAnsi="Arial"/>
          <w:sz w:val="17"/>
          <w:szCs w:val="17"/>
          <w:color w:val="auto"/>
        </w:rPr>
        <w:t>disease models, we have leveraged the seminal discovery of methods used to generate</w:t>
      </w:r>
      <w:r>
        <w:rPr>
          <w:rFonts w:ascii="Arial" w:cs="Arial" w:eastAsia="Arial" w:hAnsi="Arial"/>
          <w:sz w:val="17"/>
          <w:szCs w:val="17"/>
          <w:i w:val="1"/>
          <w:iCs w:val="1"/>
          <w:color w:val="auto"/>
        </w:rPr>
        <w:t xml:space="preserve"> </w:t>
      </w:r>
      <w:r>
        <w:rPr>
          <w:rFonts w:ascii="Arial" w:cs="Arial" w:eastAsia="Arial" w:hAnsi="Arial"/>
          <w:sz w:val="17"/>
          <w:szCs w:val="17"/>
          <w:color w:val="auto"/>
        </w:rPr>
        <w:t>iPSCs to establish disease models based on human iPSC-derived cardiomyocytes (iPSC-CMs). We have implemented three primary approaches to model human heart disease in this way: (i) short interfering ribonucleic acid (siRNA) constructs to silence specific genes of interest in iPSC-CMs; (ii) CRISPR-based gene editing approaches to create isogenic iPSC-cell lines where specific genes have been altered; and (iii) iPSCs derived from patients with severe heart disease, for example, severe DCM resulting in early HF and transplant, sourced from commercial and academic collaborators.</w:t>
      </w:r>
    </w:p>
    <w:p>
      <w:pPr>
        <w:spacing w:after="0" w:line="69"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In the figure below, we illustrate our primary disease models based on 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168910</wp:posOffset>
            </wp:positionV>
            <wp:extent cx="4732020" cy="19799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3202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These disease models can collectively help simulate the impact of human disease-causing mutations on the appearance and function of CMs. They can also help model the impact of potentially disease-modifying treatments on such cells. In the figure below, we illustrate how, through use of gene editing and gene silencing tools, we can modify the appearance of normal iPSC-CMs to appear disorganized, and subsequently restore cell appearance with compounds from our screening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144780</wp:posOffset>
            </wp:positionV>
            <wp:extent cx="4732020" cy="10883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3202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right="100"/>
        <w:spacing w:after="0" w:line="263" w:lineRule="auto"/>
        <w:rPr>
          <w:sz w:val="20"/>
          <w:szCs w:val="20"/>
          <w:color w:val="auto"/>
        </w:rPr>
      </w:pPr>
      <w:r>
        <w:rPr>
          <w:rFonts w:ascii="Arial" w:cs="Arial" w:eastAsia="Arial" w:hAnsi="Arial"/>
          <w:sz w:val="18"/>
          <w:szCs w:val="18"/>
          <w:color w:val="auto"/>
        </w:rPr>
        <w:t>We initially used cells from these disease models plated in two-dimensional formats. We have since advanced our efforts to include three-dimensional engineered heart tissue disease models where the cells have a more mature phenotype and with contractility that can be measured more reliably.</w:t>
      </w:r>
    </w:p>
    <w:p>
      <w:pPr>
        <w:spacing w:after="0" w:line="89" w:lineRule="exact"/>
        <w:rPr>
          <w:sz w:val="20"/>
          <w:szCs w:val="20"/>
          <w:color w:val="auto"/>
        </w:rPr>
      </w:pPr>
    </w:p>
    <w:p>
      <w:pPr>
        <w:ind w:left="1080" w:right="120" w:hanging="532"/>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iPSC production: </w:t>
      </w:r>
      <w:r>
        <w:rPr>
          <w:rFonts w:ascii="Arial" w:cs="Arial" w:eastAsia="Arial" w:hAnsi="Arial"/>
          <w:sz w:val="18"/>
          <w:szCs w:val="18"/>
          <w:color w:val="auto"/>
        </w:rPr>
        <w:t>To conduct robust target identification and drug discovery screens using our cell-based disease models, we need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produce large volumes of these hiPSC-CMs. We have developed the necessary know-how to do so reliably and reproducibly at increasing scale.</w:t>
      </w:r>
    </w:p>
    <w:p>
      <w:pPr>
        <w:spacing w:after="0" w:line="7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7"/>
          <w:szCs w:val="17"/>
          <w:color w:val="auto"/>
        </w:rPr>
        <w:t>The figure below provides an overview of our scale-up process for hiPSC-CM production from six-well plates up to 3L bioreactors: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176530</wp:posOffset>
            </wp:positionV>
            <wp:extent cx="4732020" cy="8401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3202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80" w:right="80" w:hanging="532"/>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Imaging techniques: </w:t>
      </w:r>
      <w:r>
        <w:rPr>
          <w:rFonts w:ascii="Arial" w:cs="Arial" w:eastAsia="Arial" w:hAnsi="Arial"/>
          <w:sz w:val="18"/>
          <w:szCs w:val="18"/>
          <w:color w:val="auto"/>
        </w:rPr>
        <w:t>We use a combination of immunostaining, high-resolution imaging, and imaging algorithms to visualize and quantify</w:t>
      </w:r>
      <w:r>
        <w:rPr>
          <w:rFonts w:ascii="Arial" w:cs="Arial" w:eastAsia="Arial" w:hAnsi="Arial"/>
          <w:sz w:val="18"/>
          <w:szCs w:val="18"/>
          <w:i w:val="1"/>
          <w:iCs w:val="1"/>
          <w:color w:val="auto"/>
        </w:rPr>
        <w:t xml:space="preserve"> </w:t>
      </w:r>
      <w:r>
        <w:rPr>
          <w:rFonts w:ascii="Arial" w:cs="Arial" w:eastAsia="Arial" w:hAnsi="Arial"/>
          <w:sz w:val="18"/>
          <w:szCs w:val="18"/>
          <w:color w:val="auto"/>
        </w:rPr>
        <w:t>phenotypic differences between our in-house iPSC-CM disease models. We can measure several details of the sarcomeres of these cell lines, including sarcomere density, disarray and Z-disc area.</w:t>
      </w: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The figure below shows the degree of automated high-resolution image capture that is possible to help visualize the details of iPSC-CM disease models such as, the sarcomere structure and other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134620</wp:posOffset>
            </wp:positionV>
            <wp:extent cx="4732020" cy="2348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3202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In the figure below, we show data that illustrate our ability to use proprietary imaging algorithms to quantify reproducible and statistically significant differences between particular attributes of the iPSC-CMs (e.g. Z-Disc Area of the sarcomere) across multiple disease model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142875</wp:posOffset>
            </wp:positionV>
            <wp:extent cx="4732020" cy="1920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3202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8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Machine learning algorithms: </w:t>
      </w:r>
      <w:r>
        <w:rPr>
          <w:rFonts w:ascii="Arial" w:cs="Arial" w:eastAsia="Arial" w:hAnsi="Arial"/>
          <w:sz w:val="18"/>
          <w:szCs w:val="18"/>
          <w:color w:val="auto"/>
        </w:rPr>
        <w:t>We have used machine learning algorithms to support high-throughput phenotypic screening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iPSC-CM disease models. The algorithms can rapidly and reproducibly measure subtle differences in the overall appearance between wild-type iPSC-CM cells and the different disease models, as well as differences on the disease models in response to compounds in our screening libraries.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301" w:lineRule="auto"/>
        <w:rPr>
          <w:sz w:val="20"/>
          <w:szCs w:val="20"/>
          <w:color w:val="auto"/>
        </w:rPr>
      </w:pPr>
      <w:r>
        <w:rPr>
          <w:rFonts w:ascii="Arial" w:cs="Arial" w:eastAsia="Arial" w:hAnsi="Arial"/>
          <w:sz w:val="16"/>
          <w:szCs w:val="16"/>
          <w:color w:val="auto"/>
        </w:rPr>
        <w:t xml:space="preserve">The figure below illustrates the output of a screen in a disease model of DCM, using siRNA silencing of the </w:t>
      </w:r>
      <w:r>
        <w:rPr>
          <w:rFonts w:ascii="Arial" w:cs="Arial" w:eastAsia="Arial" w:hAnsi="Arial"/>
          <w:sz w:val="16"/>
          <w:szCs w:val="16"/>
          <w:i w:val="1"/>
          <w:iCs w:val="1"/>
          <w:color w:val="auto"/>
        </w:rPr>
        <w:t>BAG3</w:t>
      </w:r>
      <w:r>
        <w:rPr>
          <w:rFonts w:ascii="Arial" w:cs="Arial" w:eastAsia="Arial" w:hAnsi="Arial"/>
          <w:sz w:val="16"/>
          <w:szCs w:val="16"/>
          <w:color w:val="auto"/>
        </w:rPr>
        <w:t xml:space="preserve"> gene, with a curated library of greater than 5,000 small molecule compounds. A deep learning algorithm that was trained on images of the disease model and on normal cells was used to determine which compounds caused the sarcomeres within the cells to appear more disorganized, representing more sarcomere damage (red), or more organized, representing less sarcomere damage (green), as measured by a “cardiomyocyte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125730</wp:posOffset>
            </wp:positionV>
            <wp:extent cx="4491990" cy="23742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9199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right="20" w:hanging="532"/>
        <w:spacing w:after="0" w:line="269" w:lineRule="auto"/>
        <w:tabs>
          <w:tab w:leader="none" w:pos="1080" w:val="left"/>
        </w:tabs>
        <w:numPr>
          <w:ilvl w:val="1"/>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In vivo models: </w:t>
      </w:r>
      <w:r>
        <w:rPr>
          <w:rFonts w:ascii="Arial" w:cs="Arial" w:eastAsia="Arial" w:hAnsi="Arial"/>
          <w:sz w:val="17"/>
          <w:szCs w:val="17"/>
          <w:color w:val="auto"/>
        </w:rPr>
        <w:t>For our</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disease models, we have a dedicated onsite</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pharmacology group and vivarium. We have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 rodent heart disease models, both genetic and non-genetic, and continue to develop new models in-house as needed. We can dose both gene therapies as well as small molecules. We can perform heart surgeries on these rodent models and use blinded echocardiography-based imaging techniques to assess the impact of our therapies under development. The internalization of these capabilities greatly reduces our reliance on external CROs and academic organizations and significantly increases the speed and consistency with which we can iterate on product prototypes, generate data and formulate insights on our product candidates. We also work with established CROs for research efforts involving large animal models (e.g., NHPs and pigs), including for efficacy studies and evaluation of drug delivery methods. Through these efforts we have developed important insights into the advantages and limitations of specific models and have learned how to optimize the design of our experiments. This insight influences our preclinical drug development strategies and our discussions with regulatory agencies.</w:t>
      </w:r>
    </w:p>
    <w:p>
      <w:pPr>
        <w:spacing w:after="0" w:line="293" w:lineRule="exact"/>
        <w:rPr>
          <w:rFonts w:ascii="Arial" w:cs="Arial" w:eastAsia="Arial" w:hAnsi="Arial"/>
          <w:sz w:val="17"/>
          <w:szCs w:val="17"/>
          <w:color w:val="auto"/>
        </w:rPr>
      </w:pPr>
    </w:p>
    <w:p>
      <w:pPr>
        <w:ind w:left="300" w:hanging="184"/>
        <w:spacing w:after="0"/>
        <w:tabs>
          <w:tab w:leader="none" w:pos="30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Capsid Engineering</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goal is to discover, design, and develop novel heart-tropic AAV capsids with superior attributes in order to enable more precise tissue targeting and to improve the safety profile of our product candidates. To achieve this goal, we have established in-house AAV capsid engineering capabilities and have designed and screened over one billion variants from diverse, proprietary libraries to discover, design, and develop novel capsids to support our programs.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table below captures the breadth and depth of the focused strategies we have pursued to discover novel AAV capsids:</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1900" w:type="dxa"/>
            <w:vAlign w:val="bottom"/>
            <w:vMerge w:val="restart"/>
          </w:tcPr>
          <w:p>
            <w:pPr>
              <w:spacing w:after="0"/>
              <w:rPr>
                <w:sz w:val="20"/>
                <w:szCs w:val="20"/>
                <w:color w:val="auto"/>
              </w:rPr>
            </w:pPr>
            <w:r>
              <w:rPr>
                <w:rFonts w:ascii="Arial" w:cs="Arial" w:eastAsia="Arial" w:hAnsi="Arial"/>
                <w:sz w:val="18"/>
                <w:szCs w:val="18"/>
                <w:color w:val="auto"/>
              </w:rPr>
              <w:t>Cell specificity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Focused Multi-Year AAV Screening Efforts Using Diverse Strategies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900" w:type="dxa"/>
            <w:vAlign w:val="bottom"/>
            <w:vMerge w:val="continue"/>
          </w:tcPr>
          <w:p>
            <w:pPr>
              <w:spacing w:after="0"/>
              <w:rPr>
                <w:sz w:val="19"/>
                <w:szCs w:val="19"/>
                <w:color w:val="auto"/>
              </w:rPr>
            </w:pP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rPr>
              <w:t>Capsid engineering efforts for both CMs and CFs</w:t>
            </w:r>
          </w:p>
        </w:tc>
        <w:tc>
          <w:tcPr>
            <w:tcW w:w="0" w:type="dxa"/>
            <w:vAlign w:val="bottom"/>
          </w:tcPr>
          <w:p>
            <w:pPr>
              <w:spacing w:after="0"/>
              <w:rPr>
                <w:sz w:val="1"/>
                <w:szCs w:val="1"/>
                <w:color w:val="auto"/>
              </w:rPr>
            </w:pPr>
          </w:p>
        </w:tc>
      </w:tr>
      <w:tr>
        <w:trPr>
          <w:trHeight w:val="336"/>
        </w:trPr>
        <w:tc>
          <w:tcPr>
            <w:tcW w:w="1900" w:type="dxa"/>
            <w:vAlign w:val="bottom"/>
          </w:tcPr>
          <w:p>
            <w:pPr>
              <w:spacing w:after="0"/>
              <w:rPr>
                <w:sz w:val="20"/>
                <w:szCs w:val="20"/>
                <w:color w:val="auto"/>
              </w:rPr>
            </w:pPr>
            <w:r>
              <w:rPr>
                <w:rFonts w:ascii="Arial" w:cs="Arial" w:eastAsia="Arial" w:hAnsi="Arial"/>
                <w:sz w:val="18"/>
                <w:szCs w:val="18"/>
                <w:color w:val="auto"/>
              </w:rPr>
              <w:t>Library diversity</w:t>
            </w: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w w:val="94"/>
              </w:rPr>
              <w:t>Screened more than one billion variants from 30 diverse libraries</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w w:val="94"/>
              </w:rPr>
              <w:t>(rational design, peptide insertion, variable region, chimeric, etc.)</w:t>
            </w:r>
          </w:p>
        </w:tc>
        <w:tc>
          <w:tcPr>
            <w:tcW w:w="0" w:type="dxa"/>
            <w:vAlign w:val="bottom"/>
          </w:tcPr>
          <w:p>
            <w:pPr>
              <w:spacing w:after="0"/>
              <w:rPr>
                <w:sz w:val="1"/>
                <w:szCs w:val="1"/>
                <w:color w:val="auto"/>
              </w:rPr>
            </w:pPr>
          </w:p>
        </w:tc>
      </w:tr>
      <w:tr>
        <w:trPr>
          <w:trHeight w:val="809"/>
        </w:trPr>
        <w:tc>
          <w:tcPr>
            <w:tcW w:w="1900" w:type="dxa"/>
            <w:vAlign w:val="bottom"/>
          </w:tcPr>
          <w:p>
            <w:pPr>
              <w:spacing w:after="0"/>
              <w:rPr>
                <w:sz w:val="20"/>
                <w:szCs w:val="20"/>
                <w:color w:val="auto"/>
              </w:rPr>
            </w:pPr>
            <w:r>
              <w:rPr>
                <w:rFonts w:ascii="Arial" w:cs="Arial" w:eastAsia="Arial" w:hAnsi="Arial"/>
                <w:sz w:val="18"/>
                <w:szCs w:val="18"/>
                <w:color w:val="auto"/>
              </w:rPr>
              <w:t>Screening models</w:t>
            </w: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rPr>
              <w:t>Screening and validation in multiple models, including human</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w w:val="98"/>
              </w:rPr>
              <w:t>iPSC-CMs, rodent models, NHPs as well as in silico / machine</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rPr>
              <w:t>learning models</w:t>
            </w:r>
          </w:p>
        </w:tc>
        <w:tc>
          <w:tcPr>
            <w:tcW w:w="0" w:type="dxa"/>
            <w:vAlign w:val="bottom"/>
          </w:tcPr>
          <w:p>
            <w:pPr>
              <w:spacing w:after="0"/>
              <w:rPr>
                <w:sz w:val="1"/>
                <w:szCs w:val="1"/>
                <w:color w:val="auto"/>
              </w:rPr>
            </w:pPr>
          </w:p>
        </w:tc>
      </w:tr>
      <w:tr>
        <w:trPr>
          <w:trHeight w:val="310"/>
        </w:trPr>
        <w:tc>
          <w:tcPr>
            <w:tcW w:w="1900" w:type="dxa"/>
            <w:vAlign w:val="bottom"/>
          </w:tcPr>
          <w:p>
            <w:pPr>
              <w:spacing w:after="0"/>
              <w:rPr>
                <w:sz w:val="20"/>
                <w:szCs w:val="20"/>
                <w:color w:val="auto"/>
              </w:rPr>
            </w:pPr>
            <w:r>
              <w:rPr>
                <w:rFonts w:ascii="Arial" w:cs="Arial" w:eastAsia="Arial" w:hAnsi="Arial"/>
                <w:sz w:val="18"/>
                <w:szCs w:val="18"/>
                <w:color w:val="auto"/>
              </w:rPr>
              <w:t>Screening criteria</w:t>
            </w: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w w:val="92"/>
              </w:rPr>
              <w:t>Evaluating novel capsids for multiple criteria including higher heart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rPr>
              <w:t>transduction, lower liver transduction, lower antigenicity, and</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w w:val="98"/>
              </w:rPr>
              <w:t>comparable manufacturability (as compared to relevant known</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7080" w:type="dxa"/>
            <w:vAlign w:val="bottom"/>
            <w:gridSpan w:val="2"/>
          </w:tcPr>
          <w:p>
            <w:pPr>
              <w:ind w:left="2180"/>
              <w:spacing w:after="0"/>
              <w:rPr>
                <w:sz w:val="20"/>
                <w:szCs w:val="20"/>
                <w:color w:val="auto"/>
              </w:rPr>
            </w:pPr>
            <w:r>
              <w:rPr>
                <w:rFonts w:ascii="Arial" w:cs="Arial" w:eastAsia="Arial" w:hAnsi="Arial"/>
                <w:sz w:val="18"/>
                <w:szCs w:val="18"/>
                <w:color w:val="auto"/>
              </w:rPr>
              <w:t>serotypes)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-1919605</wp:posOffset>
            </wp:positionV>
            <wp:extent cx="942975" cy="12172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2975" cy="121729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-548005</wp:posOffset>
            </wp:positionV>
            <wp:extent cx="1139825" cy="291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39825" cy="291465"/>
                    </a:xfrm>
                    <a:prstGeom prst="rect">
                      <a:avLst/>
                    </a:prstGeom>
                    <a:noFill/>
                  </pic:spPr>
                </pic:pic>
              </a:graphicData>
            </a:graphic>
          </wp:anchor>
        </w:drawing>
      </w:r>
    </w:p>
    <w:p>
      <w:pPr>
        <w:spacing w:after="0" w:line="87"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Cell specificity: </w:t>
      </w:r>
      <w:r>
        <w:rPr>
          <w:rFonts w:ascii="Arial" w:cs="Arial" w:eastAsia="Arial" w:hAnsi="Arial"/>
          <w:sz w:val="16"/>
          <w:szCs w:val="16"/>
          <w:color w:val="auto"/>
        </w:rPr>
        <w:t>We are using our capsid engineering capabilities to identify novel AAV capsids with an overall higher tropism for the heart</w:t>
      </w:r>
    </w:p>
    <w:p>
      <w:pPr>
        <w:spacing w:after="0" w:line="46" w:lineRule="exact"/>
        <w:rPr>
          <w:rFonts w:ascii="Arial" w:cs="Arial" w:eastAsia="Arial" w:hAnsi="Arial"/>
          <w:sz w:val="16"/>
          <w:szCs w:val="16"/>
          <w:color w:val="auto"/>
        </w:rPr>
      </w:pPr>
    </w:p>
    <w:p>
      <w:pPr>
        <w:ind w:left="1080" w:right="1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compared to other organs and selectively target the two most abundant cell types in the heart: CMs and CFs. We already have achieved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proof of concept for novel vectors for both cell types. Having capsids that more specifically target one cell type over another could</w:t>
      </w:r>
      <w:r>
        <w:rPr>
          <w:rFonts w:ascii="Arial" w:cs="Arial" w:eastAsia="Arial" w:hAnsi="Arial"/>
          <w:sz w:val="18"/>
          <w:szCs w:val="18"/>
          <w:i w:val="1"/>
          <w:iCs w:val="1"/>
          <w:color w:val="auto"/>
        </w:rPr>
        <w:t xml:space="preserve"> </w:t>
      </w:r>
      <w:r>
        <w:rPr>
          <w:rFonts w:ascii="Arial" w:cs="Arial" w:eastAsia="Arial" w:hAnsi="Arial"/>
          <w:sz w:val="18"/>
          <w:szCs w:val="18"/>
          <w:color w:val="auto"/>
        </w:rPr>
        <w:t>help improve efficacy and safety and lower cost of goods for our future product candidates.</w:t>
      </w:r>
    </w:p>
    <w:p>
      <w:pPr>
        <w:spacing w:after="0" w:line="95"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Library diversity: </w:t>
      </w:r>
      <w:r>
        <w:rPr>
          <w:rFonts w:ascii="Arial" w:cs="Arial" w:eastAsia="Arial" w:hAnsi="Arial"/>
          <w:sz w:val="18"/>
          <w:szCs w:val="18"/>
          <w:color w:val="auto"/>
        </w:rPr>
        <w:t>We have screened more than one billion variants from 30 diverse libraries utilizing a range of strategies,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rational modification of surface residues as well as directed evolution efforts with peptide insertion libraries, chimeric libraries, and libraries based on systematic alteration of variable regions (VR) using different parental capsids. The diversity of approaches increases the likelihood that we will find capsids with novel properties.</w:t>
      </w:r>
    </w:p>
    <w:p>
      <w:pPr>
        <w:spacing w:after="0" w:line="78"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image below illustrates our efforts to achieve diverse heart-tropic AAV capsids.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168910</wp:posOffset>
            </wp:positionV>
            <wp:extent cx="4732020" cy="11144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3202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Capsid</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Surface-Exposed</w:t>
            </w:r>
          </w:p>
        </w:tc>
        <w:tc>
          <w:tcPr>
            <w:tcW w:w="120" w:type="dxa"/>
            <w:vAlign w:val="bottom"/>
          </w:tcPr>
          <w:p>
            <w:pPr>
              <w:spacing w:after="0"/>
              <w:rPr>
                <w:sz w:val="14"/>
                <w:szCs w:val="14"/>
                <w:color w:val="auto"/>
              </w:rPr>
            </w:pPr>
          </w:p>
        </w:tc>
        <w:tc>
          <w:tcPr>
            <w:tcW w:w="1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Peptide Insertion</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Randomly Altered</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Chimeric Library</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Systematic Alteration</w:t>
            </w:r>
          </w:p>
        </w:tc>
        <w:tc>
          <w:tcPr>
            <w:tcW w:w="0" w:type="dxa"/>
            <w:vAlign w:val="bottom"/>
          </w:tcPr>
          <w:p>
            <w:pPr>
              <w:spacing w:after="0"/>
              <w:rPr>
                <w:sz w:val="1"/>
                <w:szCs w:val="1"/>
                <w:color w:val="auto"/>
              </w:rPr>
            </w:pPr>
          </w:p>
        </w:tc>
      </w:tr>
      <w:tr>
        <w:trPr>
          <w:trHeight w:val="148"/>
        </w:trPr>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Residues Prone to</w:t>
            </w:r>
          </w:p>
        </w:tc>
        <w:tc>
          <w:tcPr>
            <w:tcW w:w="1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Variable Region</w:t>
            </w:r>
          </w:p>
        </w:tc>
        <w:tc>
          <w:tcPr>
            <w:tcW w:w="1960" w:type="dxa"/>
            <w:vAlign w:val="bottom"/>
            <w:gridSpan w:val="2"/>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Phosphorylation</w:t>
            </w:r>
          </w:p>
        </w:tc>
        <w:tc>
          <w:tcPr>
            <w:tcW w:w="120" w:type="dxa"/>
            <w:vAlign w:val="bottom"/>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Library</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Library</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of Variable Regions</w:t>
            </w:r>
          </w:p>
        </w:tc>
        <w:tc>
          <w:tcPr>
            <w:tcW w:w="0" w:type="dxa"/>
            <w:vAlign w:val="bottom"/>
          </w:tcPr>
          <w:p>
            <w:pPr>
              <w:spacing w:after="0"/>
              <w:rPr>
                <w:sz w:val="1"/>
                <w:szCs w:val="1"/>
                <w:color w:val="auto"/>
              </w:rPr>
            </w:pPr>
          </w:p>
        </w:tc>
      </w:tr>
      <w:tr>
        <w:trPr>
          <w:trHeight w:val="123"/>
        </w:trPr>
        <w:tc>
          <w:tcPr>
            <w:tcW w:w="12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i w:val="1"/>
                <w:iCs w:val="1"/>
                <w:color w:val="auto"/>
                <w:w w:val="90"/>
              </w:rPr>
              <w:t>Tenaya Efforts</w:t>
            </w:r>
          </w:p>
        </w:tc>
        <w:tc>
          <w:tcPr>
            <w:tcW w:w="120" w:type="dxa"/>
            <w:vAlign w:val="bottom"/>
          </w:tcPr>
          <w:p>
            <w:pPr>
              <w:spacing w:after="0"/>
              <w:rPr>
                <w:sz w:val="10"/>
                <w:szCs w:val="10"/>
                <w:color w:val="auto"/>
              </w:rPr>
            </w:pPr>
          </w:p>
        </w:tc>
        <w:tc>
          <w:tcPr>
            <w:tcW w:w="17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 Mutagenesis screen of</w:t>
            </w:r>
          </w:p>
        </w:tc>
        <w:tc>
          <w:tcPr>
            <w:tcW w:w="120" w:type="dxa"/>
            <w:vAlign w:val="bottom"/>
          </w:tcPr>
          <w:p>
            <w:pPr>
              <w:spacing w:after="0"/>
              <w:rPr>
                <w:sz w:val="10"/>
                <w:szCs w:val="10"/>
                <w:color w:val="auto"/>
              </w:rPr>
            </w:pPr>
          </w:p>
        </w:tc>
        <w:tc>
          <w:tcPr>
            <w:tcW w:w="18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 Generated peptide insertion</w:t>
            </w:r>
          </w:p>
        </w:tc>
        <w:tc>
          <w:tcPr>
            <w:tcW w:w="100" w:type="dxa"/>
            <w:vAlign w:val="bottom"/>
          </w:tcPr>
          <w:p>
            <w:pPr>
              <w:spacing w:after="0"/>
              <w:rPr>
                <w:sz w:val="10"/>
                <w:szCs w:val="10"/>
                <w:color w:val="auto"/>
              </w:rPr>
            </w:pPr>
          </w:p>
        </w:tc>
        <w:tc>
          <w:tcPr>
            <w:tcW w:w="18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 Generated multiple modified</w:t>
            </w:r>
          </w:p>
        </w:tc>
        <w:tc>
          <w:tcPr>
            <w:tcW w:w="120" w:type="dxa"/>
            <w:vAlign w:val="bottom"/>
          </w:tcPr>
          <w:p>
            <w:pPr>
              <w:spacing w:after="0"/>
              <w:rPr>
                <w:sz w:val="10"/>
                <w:szCs w:val="10"/>
                <w:color w:val="auto"/>
              </w:rPr>
            </w:pPr>
          </w:p>
        </w:tc>
        <w:tc>
          <w:tcPr>
            <w:tcW w:w="18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 Generated chimeric libraries</w:t>
            </w:r>
          </w:p>
        </w:tc>
        <w:tc>
          <w:tcPr>
            <w:tcW w:w="100" w:type="dxa"/>
            <w:vAlign w:val="bottom"/>
          </w:tcPr>
          <w:p>
            <w:pPr>
              <w:spacing w:after="0"/>
              <w:rPr>
                <w:sz w:val="10"/>
                <w:szCs w:val="10"/>
                <w:color w:val="auto"/>
              </w:rPr>
            </w:pPr>
          </w:p>
        </w:tc>
        <w:tc>
          <w:tcPr>
            <w:tcW w:w="18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 Modified parental VRs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w w:val="99"/>
              </w:rPr>
              <w:t>surface-exposed residues</w:t>
            </w:r>
          </w:p>
        </w:tc>
        <w:tc>
          <w:tcPr>
            <w:tcW w:w="120" w:type="dxa"/>
            <w:vAlign w:val="bottom"/>
          </w:tcPr>
          <w:p>
            <w:pPr>
              <w:spacing w:after="0"/>
              <w:rPr>
                <w:sz w:val="12"/>
                <w:szCs w:val="12"/>
                <w:color w:val="auto"/>
              </w:rPr>
            </w:pPr>
          </w:p>
        </w:tc>
        <w:tc>
          <w:tcPr>
            <w:tcW w:w="19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libraries with multiple AAV</w:t>
            </w:r>
          </w:p>
        </w:tc>
        <w:tc>
          <w:tcPr>
            <w:tcW w:w="1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variable region libraries with</w:t>
            </w:r>
          </w:p>
        </w:tc>
        <w:tc>
          <w:tcPr>
            <w:tcW w:w="1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to identify CM capsids with</w:t>
            </w: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3"/>
              </w:rPr>
              <w:t>prone to phosphorylation</w:t>
            </w:r>
          </w:p>
        </w:tc>
        <w:tc>
          <w:tcPr>
            <w:tcW w:w="120" w:type="dxa"/>
            <w:vAlign w:val="bottom"/>
          </w:tcPr>
          <w:p>
            <w:pPr>
              <w:spacing w:after="0"/>
              <w:rPr>
                <w:sz w:val="12"/>
                <w:szCs w:val="12"/>
                <w:color w:val="auto"/>
              </w:rPr>
            </w:pPr>
          </w:p>
        </w:tc>
        <w:tc>
          <w:tcPr>
            <w:tcW w:w="1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parental capsids</w:t>
            </w:r>
          </w:p>
        </w:tc>
        <w:tc>
          <w:tcPr>
            <w:tcW w:w="1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modified VRs to screen for</w:t>
            </w:r>
          </w:p>
        </w:tc>
        <w:tc>
          <w:tcPr>
            <w:tcW w:w="1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improved properties for</w:t>
            </w: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ind w:left="160"/>
              <w:spacing w:after="0"/>
              <w:rPr>
                <w:sz w:val="20"/>
                <w:szCs w:val="20"/>
                <w:color w:val="auto"/>
              </w:rPr>
            </w:pPr>
            <w:r>
              <w:rPr>
                <w:rFonts w:ascii="Arial" w:cs="Arial" w:eastAsia="Arial" w:hAnsi="Arial"/>
                <w:sz w:val="14"/>
                <w:szCs w:val="14"/>
                <w:color w:val="auto"/>
              </w:rPr>
              <w:t>CM tropism</w:t>
            </w:r>
          </w:p>
        </w:tc>
        <w:tc>
          <w:tcPr>
            <w:tcW w:w="1960" w:type="dxa"/>
            <w:vAlign w:val="bottom"/>
            <w:gridSpan w:val="2"/>
          </w:tcPr>
          <w:p>
            <w:pPr>
              <w:ind w:left="140"/>
              <w:spacing w:after="0"/>
              <w:rPr>
                <w:sz w:val="20"/>
                <w:szCs w:val="20"/>
                <w:color w:val="auto"/>
              </w:rPr>
            </w:pPr>
            <w:r>
              <w:rPr>
                <w:rFonts w:ascii="Arial" w:cs="Arial" w:eastAsia="Arial" w:hAnsi="Arial"/>
                <w:sz w:val="14"/>
                <w:szCs w:val="14"/>
                <w:color w:val="auto"/>
              </w:rPr>
              <w:t>cardiac gene transfer</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30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Screening models: </w:t>
      </w:r>
      <w:r>
        <w:rPr>
          <w:rFonts w:ascii="Arial" w:cs="Arial" w:eastAsia="Arial" w:hAnsi="Arial"/>
          <w:sz w:val="18"/>
          <w:szCs w:val="18"/>
          <w:color w:val="auto"/>
        </w:rPr>
        <w:t>We have performed our screens in a variety of</w:t>
      </w:r>
      <w:r>
        <w:rPr>
          <w:rFonts w:ascii="Arial" w:cs="Arial" w:eastAsia="Arial" w:hAnsi="Arial"/>
          <w:sz w:val="18"/>
          <w:szCs w:val="18"/>
          <w:i w:val="1"/>
          <w:iCs w:val="1"/>
          <w:color w:val="auto"/>
        </w:rPr>
        <w:t xml:space="preserve"> in vitro</w:t>
      </w:r>
      <w:r>
        <w:rPr>
          <w:rFonts w:ascii="Arial" w:cs="Arial" w:eastAsia="Arial" w:hAnsi="Arial"/>
          <w:sz w:val="18"/>
          <w:szCs w:val="18"/>
          <w:color w:val="auto"/>
        </w:rPr>
        <w:t>,</w:t>
      </w:r>
      <w:r>
        <w:rPr>
          <w:rFonts w:ascii="Arial" w:cs="Arial" w:eastAsia="Arial" w:hAnsi="Arial"/>
          <w:sz w:val="18"/>
          <w:szCs w:val="18"/>
          <w:i w:val="1"/>
          <w:iCs w:val="1"/>
          <w:color w:val="auto"/>
        </w:rPr>
        <w:t xml:space="preserve"> in vivo</w:t>
      </w:r>
      <w:r>
        <w:rPr>
          <w:rFonts w:ascii="Arial" w:cs="Arial" w:eastAsia="Arial" w:hAnsi="Arial"/>
          <w:sz w:val="18"/>
          <w:szCs w:val="18"/>
          <w:color w:val="auto"/>
        </w:rPr>
        <w:t>, and</w:t>
      </w:r>
      <w:r>
        <w:rPr>
          <w:rFonts w:ascii="Arial" w:cs="Arial" w:eastAsia="Arial" w:hAnsi="Arial"/>
          <w:sz w:val="18"/>
          <w:szCs w:val="18"/>
          <w:i w:val="1"/>
          <w:iCs w:val="1"/>
          <w:color w:val="auto"/>
        </w:rPr>
        <w:t xml:space="preserve"> in silico </w:t>
      </w:r>
      <w:r>
        <w:rPr>
          <w:rFonts w:ascii="Arial" w:cs="Arial" w:eastAsia="Arial" w:hAnsi="Arial"/>
          <w:sz w:val="18"/>
          <w:szCs w:val="18"/>
          <w:color w:val="auto"/>
        </w:rPr>
        <w:t>libraries. Current efforts are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 screening in NHPs, as well as use of machine learning algorithms. We believe our probability of finding novel variants that will translate to superior attributes in humans is highest in NHPs. We believe our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approaches can complement these efforts to help predict novel variants.</w:t>
      </w:r>
    </w:p>
    <w:p>
      <w:pPr>
        <w:spacing w:after="0" w:line="92" w:lineRule="exact"/>
        <w:rPr>
          <w:rFonts w:ascii="Arial" w:cs="Arial" w:eastAsia="Arial" w:hAnsi="Arial"/>
          <w:sz w:val="18"/>
          <w:szCs w:val="18"/>
          <w:color w:val="auto"/>
        </w:rPr>
      </w:pPr>
    </w:p>
    <w:p>
      <w:pPr>
        <w:ind w:left="1080" w:hanging="532"/>
        <w:spacing w:after="0" w:line="301"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Screening criteria: </w:t>
      </w:r>
      <w:r>
        <w:rPr>
          <w:rFonts w:ascii="Arial" w:cs="Arial" w:eastAsia="Arial" w:hAnsi="Arial"/>
          <w:sz w:val="16"/>
          <w:szCs w:val="16"/>
          <w:color w:val="auto"/>
        </w:rPr>
        <w:t>We have broad criteria for the selection of novel capsids, including improved tropism for the heart compared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organs, with a particular interest in de-targeting the liver; improved transduction of specific heart cell types; higher ability to evade neutralizing antibodies; and comparable manufacturing in both HEK293- and Sf9/rBV-based manufacturing systems. We seek capsids that can outperform the relevant parental capsids, which may vary depending on the intended use and on some or all of these criteria.</w:t>
      </w:r>
    </w:p>
    <w:p>
      <w:pPr>
        <w:spacing w:after="0" w:line="49" w:lineRule="exact"/>
        <w:rPr>
          <w:rFonts w:ascii="Arial" w:cs="Arial" w:eastAsia="Arial" w:hAnsi="Arial"/>
          <w:sz w:val="16"/>
          <w:szCs w:val="16"/>
          <w:color w:val="auto"/>
        </w:rPr>
      </w:pPr>
    </w:p>
    <w:p>
      <w:pPr>
        <w:ind w:left="1100" w:right="40"/>
        <w:spacing w:after="0" w:line="279" w:lineRule="auto"/>
        <w:rPr>
          <w:rFonts w:ascii="Arial" w:cs="Arial" w:eastAsia="Arial" w:hAnsi="Arial"/>
          <w:sz w:val="16"/>
          <w:szCs w:val="16"/>
          <w:color w:val="auto"/>
        </w:rPr>
      </w:pPr>
      <w:r>
        <w:rPr>
          <w:rFonts w:ascii="Arial" w:cs="Arial" w:eastAsia="Arial" w:hAnsi="Arial"/>
          <w:sz w:val="17"/>
          <w:szCs w:val="17"/>
          <w:color w:val="auto"/>
        </w:rPr>
        <w:t>Through these efforts, we have discovered proprietary capsids with superior performance over parental variants in multiple species, including NHPs. These capsids have improved tropism for the heart compared to other organs and even for specific cells within the heart; improved transduction and expression within the heart cells; and lower susceptibility to neutralizing antibodies. We have also developed insights about the performance of novel capsids across different species including mice and NHPs.</w:t>
      </w:r>
    </w:p>
    <w:p>
      <w:pPr>
        <w:spacing w:after="0" w:line="63" w:lineRule="exact"/>
        <w:rPr>
          <w:rFonts w:ascii="Arial" w:cs="Arial" w:eastAsia="Arial" w:hAnsi="Arial"/>
          <w:sz w:val="16"/>
          <w:szCs w:val="16"/>
          <w:color w:val="auto"/>
        </w:rPr>
      </w:pPr>
    </w:p>
    <w:p>
      <w:pPr>
        <w:ind w:left="1100" w:right="60"/>
        <w:spacing w:after="0" w:line="259" w:lineRule="auto"/>
        <w:rPr>
          <w:rFonts w:ascii="Arial" w:cs="Arial" w:eastAsia="Arial" w:hAnsi="Arial"/>
          <w:sz w:val="16"/>
          <w:szCs w:val="16"/>
          <w:color w:val="auto"/>
        </w:rPr>
      </w:pPr>
      <w:r>
        <w:rPr>
          <w:rFonts w:ascii="Arial" w:cs="Arial" w:eastAsia="Arial" w:hAnsi="Arial"/>
          <w:sz w:val="18"/>
          <w:szCs w:val="18"/>
          <w:color w:val="auto"/>
        </w:rPr>
        <w:t>The data below are from the results of a head-to-head comparison in NHPs of novel capsids that were first identified via screening efforts in iPSC-CMs and a mouse model. Several capsids identified have superior transduction in the heart and lower transduction of the liver compared to AAV9, leading to an overall better heart-to-liver ratio as validated in an NHP model. TNC-CM3 has a five-fold better heart-to-liver ratio compared to AAV9:</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Head-to-Head Comparison of Novel AAV Capsids in Non-Human Primates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171450</wp:posOffset>
            </wp:positionV>
            <wp:extent cx="3625850" cy="19888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258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Additionally, we have shown that several capsids we identified through this effort, such as TNC-CM5, have overall better ability to evade human neutralizing antibodies compared to AAV9.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9" w:right="5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9" w:lineRule="auto"/>
        <w:rPr>
          <w:sz w:val="20"/>
          <w:szCs w:val="20"/>
          <w:color w:val="auto"/>
        </w:rPr>
      </w:pPr>
      <w:r>
        <w:rPr>
          <w:rFonts w:ascii="Arial" w:cs="Arial" w:eastAsia="Arial" w:hAnsi="Arial"/>
          <w:sz w:val="17"/>
          <w:szCs w:val="17"/>
          <w:color w:val="auto"/>
        </w:rPr>
        <w:t>The data below show preliminary results from efforts to identify novel AAV capsids by direct screening in NHPs. These results show it is possible to identify variants that have higher specificity for CMs of the right ventricle (RV) compared to CMs of the LV. These capsids that are identified to have higher tropism for the RV may enable better targeting of heart tissue for conditions predominantly affecting a specific chamber of the heart such as arrhythmogenic right ventricular cardiomyopathy (ARVC):</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Early Results of Direct Screening of Novel AAV Capsids in Non-Human Primates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171450</wp:posOffset>
            </wp:positionV>
            <wp:extent cx="4003040" cy="2186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0304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Promoters and Regulatory Elements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Enabled by our in-house molecular biology capabilities, we have created novel heart-specific promoters and regulatory elements to support our AAV-based programs and regulatory elements control gene expression within the cells. We are designing promoters and regulatory elements to help ensure a more precise and conditional expression of therapeutic payloads in different cell types in the heart. We believe our innovations in promoters and regulatory elements may further support the successful clinical development of our product candidates.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Illustrative examples of our innovations in this area include:</w:t>
      </w:r>
    </w:p>
    <w:p>
      <w:pPr>
        <w:spacing w:after="0" w:line="131" w:lineRule="exact"/>
        <w:rPr>
          <w:sz w:val="20"/>
          <w:szCs w:val="20"/>
          <w:color w:val="auto"/>
        </w:rPr>
      </w:pPr>
    </w:p>
    <w:p>
      <w:pPr>
        <w:ind w:left="1080" w:right="60" w:hanging="532"/>
        <w:spacing w:after="0" w:line="275"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Heart specificity: </w:t>
      </w:r>
      <w:r>
        <w:rPr>
          <w:rFonts w:ascii="Arial" w:cs="Arial" w:eastAsia="Arial" w:hAnsi="Arial"/>
          <w:sz w:val="17"/>
          <w:szCs w:val="17"/>
          <w:color w:val="auto"/>
        </w:rPr>
        <w:t>We have developed cardiac-specific promoters that enable more selective and robust expression in the heart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other organs. During optimization of our MYBPC3 gene therapies, we discovered a CM-specific promoter, TNP-CM1, with improved performance attributes as compared to the standard cTnT promoter.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analyses confirmed that TNP-CM1 significantly increased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compared to what can be achieved with the standard cTNT promoter. In addition, we observed 1000-fold selectivity of expression in cardiac tissue relative to other tissues.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20"/>
        <w:spacing w:after="0" w:line="277" w:lineRule="auto"/>
        <w:rPr>
          <w:sz w:val="20"/>
          <w:szCs w:val="20"/>
          <w:color w:val="auto"/>
        </w:rPr>
      </w:pPr>
      <w:r>
        <w:rPr>
          <w:rFonts w:ascii="Arial" w:cs="Arial" w:eastAsia="Arial" w:hAnsi="Arial"/>
          <w:sz w:val="18"/>
          <w:szCs w:val="18"/>
          <w:color w:val="auto"/>
        </w:rPr>
        <w:t>In the figure below, we show data that demonstrate how our TNP-CM1 promoter outperformed a standard cTnT promoter in terms of robust gene expression in the heart of mice without loss of heart specificity:</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 xml:space="preserve">MYBPC3 </w:t>
      </w:r>
      <w:r>
        <w:rPr>
          <w:rFonts w:ascii="Arial" w:cs="Arial" w:eastAsia="Arial" w:hAnsi="Arial"/>
          <w:sz w:val="18"/>
          <w:szCs w:val="18"/>
          <w:b w:val="1"/>
          <w:bCs w:val="1"/>
          <w:color w:val="auto"/>
        </w:rPr>
        <w:t>mRNA Expression in Wild-Type Mice with TNP-CM1 Compared to Standard cTnT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171450</wp:posOffset>
            </wp:positionV>
            <wp:extent cx="3060065" cy="19030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6006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80" w:hanging="532"/>
        <w:spacing w:after="0" w:line="255"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Cell specificity: </w:t>
      </w:r>
      <w:r>
        <w:rPr>
          <w:rFonts w:ascii="Arial" w:cs="Arial" w:eastAsia="Arial" w:hAnsi="Arial"/>
          <w:sz w:val="18"/>
          <w:szCs w:val="18"/>
          <w:color w:val="auto"/>
        </w:rPr>
        <w:t>We have also developed a proprietary combination of regulatory elements that enable more optimal and selective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expression in one cell type in the heart compared to others. For our Reprogramming program for cellular regeneration, we discovered ways to optimize the robust co-expression of two protein-coding genes and one miRNA gene delivered within a single AAV in CFs, which we believe supports higher efficacy in preclinical models. We also discovered how to use specific micro-RNA binding sites to silence the translation of those same genes in both existing CMs as well as newly created CMs, which may provide a safety benefit and reduce the chance for off-target effects.</w:t>
      </w: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7" w:lineRule="auto"/>
        <w:rPr>
          <w:sz w:val="20"/>
          <w:szCs w:val="20"/>
          <w:color w:val="auto"/>
        </w:rPr>
      </w:pPr>
      <w:r>
        <w:rPr>
          <w:rFonts w:ascii="Arial" w:cs="Arial" w:eastAsia="Arial" w:hAnsi="Arial"/>
          <w:sz w:val="18"/>
          <w:szCs w:val="18"/>
          <w:color w:val="auto"/>
        </w:rPr>
        <w:t>In the figure below, we illustrate how the use of a novel regulatory element, TNR-CF1, helped prevent the expression of a fluorescent protein (GFP) in the CMs of a mouse model and only allowed expression in the CFs. We have used this regulatory element in our Reprogramming program to focus the expression of our proprietary factors in resident CFs for the creation of new CMs, but to prevent the expression of those factors both in resident CMs and in newly created CMs, which we believe will improve the safety profile of our future product candidates: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Illustration of Precise Expression of Genes in CFs and CMs Using TNR-CF1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171450</wp:posOffset>
            </wp:positionV>
            <wp:extent cx="4663440" cy="29317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6344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8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Tunable gene expression: </w:t>
      </w:r>
      <w:r>
        <w:rPr>
          <w:rFonts w:ascii="Arial" w:cs="Arial" w:eastAsia="Arial" w:hAnsi="Arial"/>
          <w:sz w:val="18"/>
          <w:szCs w:val="18"/>
          <w:color w:val="auto"/>
        </w:rPr>
        <w:t>We have also demonstrated the ability to develop an entire spectrum of novel promoters to titer the expression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genes within CMs. Through data (not shown) generated in our DWORF Gene Therapy program, more than ten promoters were designed and tested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hiPSC-CMs,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murine models to optimize the 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to be higher than what can be achieved with a standard cTnT promoter.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40"/>
        <w:spacing w:after="0" w:line="263" w:lineRule="auto"/>
        <w:rPr>
          <w:sz w:val="20"/>
          <w:szCs w:val="20"/>
          <w:color w:val="auto"/>
        </w:rPr>
      </w:pPr>
      <w:r>
        <w:rPr>
          <w:rFonts w:ascii="Arial" w:cs="Arial" w:eastAsia="Arial" w:hAnsi="Arial"/>
          <w:sz w:val="18"/>
          <w:szCs w:val="18"/>
          <w:color w:val="auto"/>
        </w:rPr>
        <w:t xml:space="preserve">In the figure below, we show data for six of our promoters and cassete engineering efforts that illustrate how we have been able to create a suite of cardiac-specific constructs that are able to mediate significantly higher 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than can be achieved with a standard cTnT promoter:</w:t>
      </w:r>
    </w:p>
    <w:p>
      <w:pPr>
        <w:spacing w:after="0" w:line="288" w:lineRule="exact"/>
        <w:rPr>
          <w:sz w:val="20"/>
          <w:szCs w:val="20"/>
          <w:color w:val="auto"/>
        </w:rPr>
      </w:pPr>
    </w:p>
    <w:p>
      <w:pPr>
        <w:jc w:val="center"/>
        <w:ind w:left="460" w:right="380"/>
        <w:spacing w:after="0" w:line="282" w:lineRule="auto"/>
        <w:rPr>
          <w:sz w:val="20"/>
          <w:szCs w:val="20"/>
          <w:color w:val="auto"/>
        </w:rPr>
      </w:pPr>
      <w:r>
        <w:rPr>
          <w:rFonts w:ascii="Arial" w:cs="Arial" w:eastAsia="Arial" w:hAnsi="Arial"/>
          <w:sz w:val="18"/>
          <w:szCs w:val="18"/>
          <w:b w:val="1"/>
          <w:bCs w:val="1"/>
          <w:color w:val="auto"/>
        </w:rPr>
        <w:t>DWORF Expression with Novel Cardiomyocyte-Specific Promoters and Constructs Compared with Standard cTnT Promoter and to Transgenic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131445</wp:posOffset>
            </wp:positionV>
            <wp:extent cx="3000375" cy="30257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0037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Drug Delivery</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Delivery of drugs to the heart is widely considered to be an important challenge to successful translation of cardiac gene therapy and regenerative medicines into approved products. The diversity of programs in our current pipeline necessitates the use of different delivery methods. We are actively exploring different ROAs as well as different infusion- or injection-based catheters to support more targeted delivery and more efficient uptake of therapies based on viral vectors. We believe our discoveries in drug delivery can widen the therapeutic index of our product candidates by reducing the dose required for a therapeutic benefit.</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Several distinct methods of drug delivery for the heart have been explored by different groups for gene- or cell-based therapies, including infusion-based approaches, such as peripheral IV infusion, intracoronary infusion, and retrograde coronary sinus infusion, and injection-based, such as transendocardial injection and epicardial injection. These delivery methods vary significantly in terms of degree of invasiveness, distribution of therapy around the heart, degree of therapy uptake into the heart, technical difficulty of administration, and clinical relevance and experience. For some approaches, additional methods to improve therapeutic delivery have also been tested to improve perfusion of AAV into the heart. Through these efforts, several groups have demonstrated how different delivery methods can meaningfully affect the relative uptake and biodistribution of therapies in the heart compared to peripheral organs.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Illustrative examples of various delivery methods for the heart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084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8604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For the initial product candidates emerging from our Gene Therapy platform, including those from our MYBPC3 Gene Therapy program, we generally need broad distribution across the heart tissue that is more suited to infusion-based approaches. By contrast, for the initial product candidates emerging from our Cellular Regeneration platform, including those from our Reprogramming program, we need more precise delivery into the heart tissue directly around a scar area of the LV in a way that is more suited to injection-based approaches.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Illustrative examples of our innovations and capabilities in drug delivery include:</w:t>
      </w:r>
    </w:p>
    <w:p>
      <w:pPr>
        <w:spacing w:after="0" w:line="131" w:lineRule="exact"/>
        <w:rPr>
          <w:sz w:val="20"/>
          <w:szCs w:val="20"/>
          <w:color w:val="auto"/>
        </w:rPr>
      </w:pPr>
    </w:p>
    <w:p>
      <w:pPr>
        <w:ind w:left="1080" w:right="60" w:hanging="532"/>
        <w:spacing w:after="0" w:line="272"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Catheters</w:t>
      </w:r>
      <w:r>
        <w:rPr>
          <w:rFonts w:ascii="Arial" w:cs="Arial" w:eastAsia="Arial" w:hAnsi="Arial"/>
          <w:sz w:val="17"/>
          <w:szCs w:val="17"/>
          <w:color w:val="auto"/>
        </w:rPr>
        <w:t>: To support our Reprogramming program for cardiac regeneration, we are developing a novel transendocardial injection catheter</w:t>
      </w:r>
      <w:r>
        <w:rPr>
          <w:rFonts w:ascii="Arial" w:cs="Arial" w:eastAsia="Arial" w:hAnsi="Arial"/>
          <w:sz w:val="17"/>
          <w:szCs w:val="17"/>
          <w:i w:val="1"/>
          <w:iCs w:val="1"/>
          <w:color w:val="auto"/>
        </w:rPr>
        <w:t xml:space="preserve"> </w:t>
      </w:r>
      <w:r>
        <w:rPr>
          <w:rFonts w:ascii="Arial" w:cs="Arial" w:eastAsia="Arial" w:hAnsi="Arial"/>
          <w:sz w:val="17"/>
          <w:szCs w:val="17"/>
          <w:color w:val="auto"/>
        </w:rPr>
        <w:t>for more precise delivery of therapeutic payloads around the scar area that is formed after heart attack, but in a way that is minimally invasive and would not require heart surgery. The prototype of our catheter was designed with the help of interventional cardiologists and is based on similar catheters that have been successfully used in clinical trials. The catheter is designed to be steered into the heart via the femoral artery in the groin area. It has a deflectable tip that can be curved to better access the different parts of the heart. This initial prototype was tested in a large animal model and was able to direct injections to all areas of the LV. We are adding mapping capabilities to the design to allow for more precise delivery during the treatment procedure.</w:t>
      </w:r>
    </w:p>
    <w:p>
      <w:pPr>
        <w:spacing w:after="0" w:line="69" w:lineRule="exact"/>
        <w:rPr>
          <w:rFonts w:ascii="Arial" w:cs="Arial" w:eastAsia="Arial" w:hAnsi="Arial"/>
          <w:sz w:val="17"/>
          <w:szCs w:val="17"/>
          <w:color w:val="auto"/>
        </w:rPr>
      </w:pPr>
    </w:p>
    <w:p>
      <w:pPr>
        <w:ind w:left="1100" w:right="520"/>
        <w:spacing w:after="0" w:line="277" w:lineRule="auto"/>
        <w:rPr>
          <w:rFonts w:ascii="Arial" w:cs="Arial" w:eastAsia="Arial" w:hAnsi="Arial"/>
          <w:sz w:val="17"/>
          <w:szCs w:val="17"/>
          <w:color w:val="auto"/>
        </w:rPr>
      </w:pPr>
      <w:r>
        <w:rPr>
          <w:rFonts w:ascii="Arial" w:cs="Arial" w:eastAsia="Arial" w:hAnsi="Arial"/>
          <w:sz w:val="18"/>
          <w:szCs w:val="18"/>
          <w:color w:val="auto"/>
        </w:rPr>
        <w:t>The figures below include a picture of an initial prototype of our novel injection-based catheter for our Reprogramming program for cardiac regeneration, plus an illustration of how a deflectable tip can allow for more precise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134620</wp:posOffset>
            </wp:positionV>
            <wp:extent cx="3549015" cy="128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4901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80" w:hanging="532"/>
        <w:spacing w:after="0" w:line="255"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ROAs</w:t>
      </w:r>
      <w:r>
        <w:rPr>
          <w:rFonts w:ascii="Arial" w:cs="Arial" w:eastAsia="Arial" w:hAnsi="Arial"/>
          <w:sz w:val="18"/>
          <w:szCs w:val="18"/>
          <w:color w:val="auto"/>
        </w:rPr>
        <w:t>: We prioritize head-to-head comparison of different ROAs in large animal models to confirm the optimal method for delivery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product candidate. For our Reprogramming program, we have conducted experiments in pig models to demonstrate that a less invasive catheter-based transendocardial injection to the LV inside wall can achieve a similar degree of drug uptake and biodistribution as a more invasive direct epicardial injection to the LV outside wall requiring open-heart surgery. For our MYBPC3 Gene Therapy program, we have conducted experiments in NHPs to compare the degree of drug uptake and biodistribution for peripheral IV infusion and infusions delivered directly into the heart.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Manufacturing</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internalizing AAV manufacturing capabilities to support our Gene Therapy and Cellular Regeneration platforms. Our overall strategy is to have total ownership of our process development, analytical development, and quality control so that we have deep insight into the attributes of our drug substance (DS) and drug product (DP). Internalized manufacturing will enable continuous process improvement and innovation that can support manufacturing requirements for clinical development and commercialization not only for rare populations but also for more prevalent indications, and allow us to be a partner of choice in strategic drug development partnerships and with early-stage academic programs.</w:t>
      </w:r>
    </w:p>
    <w:p>
      <w:pPr>
        <w:spacing w:after="0" w:line="176"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Overall, the internalization of these efforts provides us with know-how that yields several advantages that allow us to be in a better position to swiftly transfer technology know-how to CDMOs in order to support our future capacity expansion needs or to achieve dual sourcing for product candidates for risk mitigation purposes.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figure below, we show the breadth and depth of our current and emerging AAV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297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80" w:right="2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Vector core: </w:t>
      </w:r>
      <w:r>
        <w:rPr>
          <w:rFonts w:ascii="Arial" w:cs="Arial" w:eastAsia="Arial" w:hAnsi="Arial"/>
          <w:sz w:val="18"/>
          <w:szCs w:val="18"/>
          <w:color w:val="auto"/>
        </w:rPr>
        <w:t>We have established vector production to support early research involving both parental and novel AAV capsids at the 50L</w:t>
      </w:r>
      <w:r>
        <w:rPr>
          <w:rFonts w:ascii="Arial" w:cs="Arial" w:eastAsia="Arial" w:hAnsi="Arial"/>
          <w:sz w:val="18"/>
          <w:szCs w:val="18"/>
          <w:i w:val="1"/>
          <w:iCs w:val="1"/>
          <w:color w:val="auto"/>
        </w:rPr>
        <w:t xml:space="preserve"> </w:t>
      </w:r>
      <w:r>
        <w:rPr>
          <w:rFonts w:ascii="Arial" w:cs="Arial" w:eastAsia="Arial" w:hAnsi="Arial"/>
          <w:sz w:val="18"/>
          <w:szCs w:val="18"/>
          <w:color w:val="auto"/>
        </w:rPr>
        <w:t>scale. We have hired key PD, AD and QC personnel to internalize those capabilities. We have also established the necessary PD expertise to support comparable product efficacy in both HEK293-based and Sf9/rBV-based manufacturing systems for both existing AAV serotypes as well as for novel capsids discovered from our capsid engineering efforts.</w:t>
      </w:r>
    </w:p>
    <w:p>
      <w:pPr>
        <w:spacing w:after="0" w:line="92"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Pilot plant operation: </w:t>
      </w:r>
      <w:r>
        <w:rPr>
          <w:rFonts w:ascii="Arial" w:cs="Arial" w:eastAsia="Arial" w:hAnsi="Arial"/>
          <w:sz w:val="17"/>
          <w:szCs w:val="17"/>
          <w:color w:val="auto"/>
        </w:rPr>
        <w:t>We have established an in-house Pilot Plant Operation at the 200L scale to support all non-clinical studies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those involving large animal models, such as pigs and NHPs, under Good Laboratory Practice regulations. Our initial production at this scale has been at yields and with full/empty capsid ratios that compare favorably to industry standards.</w:t>
      </w:r>
    </w:p>
    <w:p>
      <w:pPr>
        <w:spacing w:after="0" w:line="70" w:lineRule="exact"/>
        <w:rPr>
          <w:rFonts w:ascii="Arial" w:cs="Arial" w:eastAsia="Arial" w:hAnsi="Arial"/>
          <w:sz w:val="17"/>
          <w:szCs w:val="17"/>
          <w:color w:val="auto"/>
        </w:rPr>
      </w:pPr>
    </w:p>
    <w:p>
      <w:pPr>
        <w:ind w:left="108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cGMP facility: </w:t>
      </w:r>
      <w:r>
        <w:rPr>
          <w:rFonts w:ascii="Arial" w:cs="Arial" w:eastAsia="Arial" w:hAnsi="Arial"/>
          <w:sz w:val="18"/>
          <w:szCs w:val="18"/>
          <w:color w:val="auto"/>
        </w:rPr>
        <w:t>We have initiated construction of a dedicated cGMP facility for drug product manufacturing in the San Francisco Bay Area.</w:t>
      </w:r>
      <w:r>
        <w:rPr>
          <w:rFonts w:ascii="Arial" w:cs="Arial" w:eastAsia="Arial" w:hAnsi="Arial"/>
          <w:sz w:val="18"/>
          <w:szCs w:val="18"/>
          <w:i w:val="1"/>
          <w:iCs w:val="1"/>
          <w:color w:val="auto"/>
        </w:rPr>
        <w:t xml:space="preserve"> </w:t>
      </w:r>
      <w:r>
        <w:rPr>
          <w:rFonts w:ascii="Arial" w:cs="Arial" w:eastAsia="Arial" w:hAnsi="Arial"/>
          <w:sz w:val="18"/>
          <w:szCs w:val="18"/>
          <w:color w:val="auto"/>
        </w:rPr>
        <w:t>The facility will initially produce drug product at the 1000L scale to support first-in-human studies for our MYBPC3 Gene Therapy program. The facility will use a modular pod design that will support scale-out and scale-up of manufacturing capacity in response to evolving needs. We expect this facility will be operational by the end of 2021.</w:t>
      </w:r>
    </w:p>
    <w:p>
      <w:pPr>
        <w:spacing w:after="0" w:line="92"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We have in-licensed certain manufacturing-related intellectual property to support our programs. We have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patent application on process improvements that will support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20"/>
        <w:spacing w:after="0" w:line="277" w:lineRule="auto"/>
        <w:rPr>
          <w:sz w:val="20"/>
          <w:szCs w:val="20"/>
          <w:color w:val="auto"/>
        </w:rPr>
      </w:pPr>
      <w:r>
        <w:rPr>
          <w:rFonts w:ascii="Arial" w:cs="Arial" w:eastAsia="Arial" w:hAnsi="Arial"/>
          <w:sz w:val="18"/>
          <w:szCs w:val="18"/>
          <w:color w:val="auto"/>
        </w:rPr>
        <w:t>scale-up of AAV manufacturing to larger bioreactors necessary for supply of our gene therapy product candidates intended for more prevalent heart disease populations.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MYBPC3 Gene Therapy Program for gHCM</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We are developing an AAV-based gene therapy designed to deliver a functional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in adults and children with gHCM due to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We have demonstrated significant and durable reversal of heart pathology and improvement in survival in a relevant murine model, as well as tolerability in mice and NHPs. Our product candidate, TN-201, uses a differentiated approach that enables more robust expression of the </w:t>
      </w:r>
      <w:r>
        <w:rPr>
          <w:rFonts w:ascii="Arial" w:cs="Arial" w:eastAsia="Arial" w:hAnsi="Arial"/>
          <w:sz w:val="18"/>
          <w:szCs w:val="18"/>
          <w:i w:val="1"/>
          <w:iCs w:val="1"/>
          <w:color w:val="auto"/>
        </w:rPr>
        <w:t xml:space="preserve">MYBPC3 </w:t>
      </w:r>
      <w:r>
        <w:rPr>
          <w:rFonts w:ascii="Arial" w:cs="Arial" w:eastAsia="Arial" w:hAnsi="Arial"/>
          <w:sz w:val="18"/>
          <w:szCs w:val="18"/>
          <w:color w:val="auto"/>
        </w:rPr>
        <w:t>gene in the heart compared to what has been demonstrated by others. The program is currently in IND-enabling studies, and we have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feedback from multiple regulatory agencies to guide our path to the clinic.</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Hypertrophic Cardiomyopathy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HCM is a condition in which the heart walls become thickened without an obvious cause, resulting in a reduced ability to pump blood effectively. A chronic, progressive disease, HCM is usually caused by the inheritance of mutations in the contractile machinery proteins in the heart muscle cell. Signs and symptoms of HCM may begin in infancy, childhood or adulthood. Mildly and moderately affected patients experience chest pain, have trouble breathing, and have reduced exercise tolerance and fatigue. In certain HCM patients, disease progression results in a substantial limitation in activities and impact on quality of life. The most severely affected patients suffer premature death due to end-stage HF, malignant ventricular arrhythmia, or stroke. HCM with onset in childhood and adolescence is, in particular, associated with significant unmet medical need. When compared with adult-onset HCM, childhood-onset HCM is 36% more likely to develop life-threatening ventricular arrhythmias and twice as likely to require transplant or ventricular assist device.</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HCM is the most common form of heritable cardiomyopathy and is estimated to affect one in every 500 people, approximating more than 600,000 potential patients in the United States alone. A majority of HCM patients are currently undiagnosed, with diagnosis typically starting with the onset of symptoms, family screening, or the discovery of an abnormal ECG pattern.</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More than 2,000 mutations in eleven or more genes have been linked to HCM. Mutations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are the most common cause, estimated to represent approximately 19% of the overall HCM population. Disease-causing mutations occur throughout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with most mutations being truncating mutations, causing either a markedly reduced or, in the most severe cases in which both copies of the gene are affected, a complete lack of functional MYBPC3 protein expression.</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Normal MYBPC3 protein binds to the sarcomere and interacts with the muscle cell’s contractile machinery, actin and myosin proteins, as the heart beats. Based on published findings, it has been shown that MYBPC3 is involved in the folding of the myosin head into a state in which the head does not interact with actin or contribute to contraction.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schematic below illustrates the cellular localization of MYBPC3. Within the heart, CMs contain multiple myofibrils, which are comprised of myofilaments containing many sarcomeres. The sarcomeres contain thin filaments containing actin and thick filaments containing myosin; the myosin head binds and pulls actin like a hand on a rope and thus supports normal muscle contraction. MYBPC3 (in yellow) is located between the thin and thick filaments and regulates the folding of the myosin head and its interaction with actin, and in this way, is also a critical element supporting normal muscle contraction.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9030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860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 xml:space="preserve">The reduced MYBPC3 protein levels associated with heterozygous mutations in the </w:t>
      </w:r>
      <w:r>
        <w:rPr>
          <w:rFonts w:ascii="Arial" w:cs="Arial" w:eastAsia="Arial" w:hAnsi="Arial"/>
          <w:sz w:val="18"/>
          <w:szCs w:val="18"/>
          <w:i w:val="1"/>
          <w:iCs w:val="1"/>
          <w:color w:val="auto"/>
        </w:rPr>
        <w:t>MYBPC3 gene result in increased activity of the myosin</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left ventricular assist devices (LVADs) or transplantation, in the most severely affected patients. Fibrosis and muscle cell disarray may also lead to arrhythmias in some patients, including life-threatening ventricular arrhythmias and atrial fibrillation, which can lead to stroke.</w:t>
      </w:r>
    </w:p>
    <w:p>
      <w:pPr>
        <w:spacing w:after="0" w:line="1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 example of an actual heart from a patient who had hypertrophic cardiomyopathy, characterized by LV hypertrophy, fibrosis, high LV mass, and a small LV heart chamber,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134620</wp:posOffset>
            </wp:positionV>
            <wp:extent cx="1774190" cy="2211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7419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 xml:space="preserve">Mutations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have also been associated with other forms of cardiomyopathy, including DCM, RCM, mixed cardiomyopathy, and ventricular non-compaction, which can lead to poor outcomes, particularly in children.</w:t>
      </w:r>
    </w:p>
    <w:p>
      <w:pPr>
        <w:spacing w:after="0" w:line="17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 xml:space="preserve">Infants with homozygous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represent a particularly severe patient group with high risk of death within a year after birth without heart transplantation. Even with a transplant, ten-year survival after transplant for pediatric HCM patients remains less than 50%. Patients with heterozygous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generally have a typical life expectancy, although some patient groups have been associated with increased mortality. Young adult patients with HCM have four-fold higher mortality than the general U.S. population at a similar age. Patients with LV systolic dysfunction have increased mortality and high rates of cardiac transplantation and LVAD implantation.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Current Standard-of-Care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There are no approved therapies for the treatment of HCM and no therapies in clinical development specifically for HCM patients with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The current goal of HCM treatment is to relieve symptoms and prevent sudden cardiac death in people at high risk. In current guideline-directed care, patients are typically prescribed one or more symptomatic therapies, including beta-blockers, verapamil, diltiazem, and disopyramide. These therapies do not address the underlying genetic cause of HCM and do not appear to affect disease progression. No randomized clinical trials have assessed these therapies specifically in HCM. Cardioverter-defibrillators may be implanted for patients at high risk for malignant arrhythmias and sudden death. For a subset of HCM patients with severe and disabling disease, surgery or other invasive interventions may be appropriate, including heart transplantation, and surgical removal of portions of the septum for patients with obstructions in the LV outflow tract, known as obstructive HCM.</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MYBPC3 Gene Therapy</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We are developing an AAV9-based gene therapy designed to deliver a fully-functional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driven by our proprietary heart-tropic promoter to restore normal levels of MYBPC3 protein. We believe our product candidate, TN-201, has the potential to address the underlying biological basis of disease in adult and pediatric HCM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Based on our preclinical data, we believe that gene replacement, through highly specific and robust expression of </w:t>
      </w:r>
      <w:r>
        <w:rPr>
          <w:rFonts w:ascii="Arial" w:cs="Arial" w:eastAsia="Arial" w:hAnsi="Arial"/>
          <w:sz w:val="18"/>
          <w:szCs w:val="18"/>
          <w:i w:val="1"/>
          <w:iCs w:val="1"/>
          <w:color w:val="auto"/>
        </w:rPr>
        <w:t>MYBPC3,</w:t>
      </w:r>
      <w:r>
        <w:rPr>
          <w:rFonts w:ascii="Arial" w:cs="Arial" w:eastAsia="Arial" w:hAnsi="Arial"/>
          <w:sz w:val="18"/>
          <w:szCs w:val="18"/>
          <w:color w:val="auto"/>
        </w:rPr>
        <w:t xml:space="preserve"> has the potential to slow or even reverse the course of gHCM disease in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including LV hypertrophy and disease progression leading to outflow tract obstruction, HF, atrial fibrillation, and malignant arrhythmias. By improving upon these aspects of disease, TN-201 may improve heart functional capacity, stabilize or reverse disease symptoms, reduce the need for invasive treatments and improve survival for the most severely impacted patients. As with other AAV-based gene therapies, benefits are expected to be durable and a one-time dose may be sufficient for disease stabilization and potentially reversal.</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design of TN-201, as illustrated in the schematic below, leverages our internal capabilities, including promoter and cassette engineering, as well as advances in understanding of parental capsids with tropism for the heart:</w:t>
      </w:r>
    </w:p>
    <w:p>
      <w:pPr>
        <w:spacing w:after="0" w:line="76" w:lineRule="exact"/>
        <w:rPr>
          <w:sz w:val="20"/>
          <w:szCs w:val="20"/>
          <w:color w:val="auto"/>
        </w:rPr>
      </w:pPr>
    </w:p>
    <w:p>
      <w:pPr>
        <w:ind w:left="1080" w:hanging="532"/>
        <w:spacing w:after="0" w:line="25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Capsid Selection</w:t>
      </w:r>
      <w:r>
        <w:rPr>
          <w:rFonts w:ascii="Arial" w:cs="Arial" w:eastAsia="Arial" w:hAnsi="Arial"/>
          <w:sz w:val="18"/>
          <w:szCs w:val="18"/>
          <w:color w:val="auto"/>
        </w:rPr>
        <w:t>: AAV9 was selected based on its ability to effectively transduce cardiomyocytes upon systemic administration in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species, including rodents and primates. In addition, clinical data from an FDA-approved product and gene therapy product candidates incorporating AAV9 viral vectors also support cardiac transduction at the doses in the range we are considering for our product candidate; Novartis’ Zolgensma and Rocket Pharma’s RP-501 have demonstrated robust cardiac transduction when delivered systemically at 1×10</w:t>
      </w:r>
      <w:r>
        <w:rPr>
          <w:rFonts w:ascii="Arial" w:cs="Arial" w:eastAsia="Arial" w:hAnsi="Arial"/>
          <w:sz w:val="15"/>
          <w:szCs w:val="15"/>
          <w:color w:val="auto"/>
        </w:rPr>
        <w:t>14</w:t>
      </w:r>
      <w:r>
        <w:rPr>
          <w:rFonts w:ascii="Arial" w:cs="Arial" w:eastAsia="Arial" w:hAnsi="Arial"/>
          <w:sz w:val="18"/>
          <w:szCs w:val="18"/>
          <w:color w:val="auto"/>
        </w:rPr>
        <w:t xml:space="preserve"> vg/kg and 6.7×10</w:t>
      </w:r>
      <w:r>
        <w:rPr>
          <w:rFonts w:ascii="Arial" w:cs="Arial" w:eastAsia="Arial" w:hAnsi="Arial"/>
          <w:sz w:val="15"/>
          <w:szCs w:val="15"/>
          <w:color w:val="auto"/>
        </w:rPr>
        <w:t>13</w:t>
      </w:r>
      <w:r>
        <w:rPr>
          <w:rFonts w:ascii="Arial" w:cs="Arial" w:eastAsia="Arial" w:hAnsi="Arial"/>
          <w:sz w:val="18"/>
          <w:szCs w:val="18"/>
          <w:color w:val="auto"/>
        </w:rPr>
        <w:t xml:space="preserve"> vg/kg doses, respectively.</w:t>
      </w:r>
    </w:p>
    <w:p>
      <w:pPr>
        <w:spacing w:after="0" w:line="93"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Promoter and Regulatory Elements</w:t>
      </w:r>
      <w:r>
        <w:rPr>
          <w:rFonts w:ascii="Arial" w:cs="Arial" w:eastAsia="Arial" w:hAnsi="Arial"/>
          <w:sz w:val="18"/>
          <w:szCs w:val="18"/>
          <w:color w:val="auto"/>
        </w:rPr>
        <w:t>: TN-201 includes a novel promoter that has been optimized for robust and specific expression of the</w:t>
      </w:r>
      <w:r>
        <w:rPr>
          <w:rFonts w:ascii="Arial" w:cs="Arial" w:eastAsia="Arial" w:hAnsi="Arial"/>
          <w:sz w:val="18"/>
          <w:szCs w:val="18"/>
          <w:i w:val="1"/>
          <w:iCs w:val="1"/>
          <w:color w:val="auto"/>
        </w:rPr>
        <w:t xml:space="preserve"> MYBPC3 </w:t>
      </w:r>
      <w:r>
        <w:rPr>
          <w:rFonts w:ascii="Arial" w:cs="Arial" w:eastAsia="Arial" w:hAnsi="Arial"/>
          <w:sz w:val="18"/>
          <w:szCs w:val="18"/>
          <w:color w:val="auto"/>
        </w:rPr>
        <w:t>gene in CMs.</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Drug Delivery</w:t>
      </w:r>
      <w:r>
        <w:rPr>
          <w:rFonts w:ascii="Arial" w:cs="Arial" w:eastAsia="Arial" w:hAnsi="Arial"/>
          <w:sz w:val="18"/>
          <w:szCs w:val="18"/>
          <w:color w:val="auto"/>
        </w:rPr>
        <w:t>: In animal models, we are exploring two distinct ROAs, systemic delivery (IV) and delivery via infusion catheter to release</w:t>
      </w:r>
      <w:r>
        <w:rPr>
          <w:rFonts w:ascii="Arial" w:cs="Arial" w:eastAsia="Arial" w:hAnsi="Arial"/>
          <w:sz w:val="18"/>
          <w:szCs w:val="18"/>
          <w:i w:val="1"/>
          <w:iCs w:val="1"/>
          <w:color w:val="auto"/>
        </w:rPr>
        <w:t xml:space="preserve"> </w:t>
      </w:r>
      <w:r>
        <w:rPr>
          <w:rFonts w:ascii="Arial" w:cs="Arial" w:eastAsia="Arial" w:hAnsi="Arial"/>
          <w:sz w:val="18"/>
          <w:szCs w:val="18"/>
          <w:color w:val="auto"/>
        </w:rPr>
        <w:t>TN-201 directly to the heart tissue.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194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8604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We developed a </w:t>
      </w:r>
      <w:r>
        <w:rPr>
          <w:rFonts w:ascii="Arial" w:cs="Arial" w:eastAsia="Arial" w:hAnsi="Arial"/>
          <w:sz w:val="17"/>
          <w:szCs w:val="17"/>
          <w:i w:val="1"/>
          <w:iCs w:val="1"/>
          <w:color w:val="auto"/>
        </w:rPr>
        <w:t>MYBPC3</w:t>
      </w:r>
      <w:r>
        <w:rPr>
          <w:rFonts w:ascii="Arial" w:cs="Arial" w:eastAsia="Arial" w:hAnsi="Arial"/>
          <w:sz w:val="17"/>
          <w:szCs w:val="17"/>
          <w:color w:val="auto"/>
        </w:rPr>
        <w:t xml:space="preserve"> homozygous knockout (KO) mouse model that simulates key aspects of the severe gHCM phenotype starting as early as two weeks of age. In preclinical studies, we systemically administered a version of TN-201 optimized for the mouse (AAV9:mMYBPC3) at 1×10</w:t>
      </w:r>
      <w:r>
        <w:rPr>
          <w:rFonts w:ascii="Arial" w:cs="Arial" w:eastAsia="Arial" w:hAnsi="Arial"/>
          <w:sz w:val="14"/>
          <w:szCs w:val="14"/>
          <w:color w:val="auto"/>
        </w:rPr>
        <w:t>14</w:t>
      </w:r>
      <w:r>
        <w:rPr>
          <w:rFonts w:ascii="Arial" w:cs="Arial" w:eastAsia="Arial" w:hAnsi="Arial"/>
          <w:sz w:val="17"/>
          <w:szCs w:val="17"/>
          <w:color w:val="auto"/>
        </w:rPr>
        <w:t xml:space="preserve"> vg/kg in two-week-old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mice. As shown in the figure below, AAV9:mMYBPC3 treatment led to sustained improvements in LV mass normalized to body weight (BW) and EF as well as an improvement in survival compared to vehicle-treated controls. Additionally, we observed improvements in LV diameter and ECG measurements. Importantly, the treatment improved heart function for the KO mice above their pre-treatment baseline levels, indicating partial reversal of the disease. At more than eleven months post treatment, these measures have not diminished, suggesting that a single systemic dose may be sufficient for a durable reversal of gHCM caused by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To our knowledge, these data are the first known demonstration of significant and durable disease reversal in a severe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Similar data have been observed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 with our product candidate TN-201.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140970</wp:posOffset>
            </wp:positionV>
            <wp:extent cx="5083175" cy="22459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8317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205740</wp:posOffset>
            </wp:positionV>
            <wp:extent cx="3831590" cy="25374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3159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In addition, a dose-response relationship has been demonstrated with AAV9:mMYBPC3. As shown below, 1×10</w:t>
      </w:r>
      <w:r>
        <w:rPr>
          <w:rFonts w:ascii="Arial" w:cs="Arial" w:eastAsia="Arial" w:hAnsi="Arial"/>
          <w:sz w:val="13"/>
          <w:szCs w:val="13"/>
          <w:color w:val="auto"/>
        </w:rPr>
        <w:t>13</w:t>
      </w:r>
      <w:r>
        <w:rPr>
          <w:rFonts w:ascii="Arial" w:cs="Arial" w:eastAsia="Arial" w:hAnsi="Arial"/>
          <w:sz w:val="16"/>
          <w:szCs w:val="16"/>
          <w:color w:val="auto"/>
        </w:rPr>
        <w:t xml:space="preserve"> vg/kg, 3×10</w:t>
      </w:r>
      <w:r>
        <w:rPr>
          <w:rFonts w:ascii="Arial" w:cs="Arial" w:eastAsia="Arial" w:hAnsi="Arial"/>
          <w:sz w:val="13"/>
          <w:szCs w:val="13"/>
          <w:color w:val="auto"/>
        </w:rPr>
        <w:t>13</w:t>
      </w:r>
      <w:r>
        <w:rPr>
          <w:rFonts w:ascii="Arial" w:cs="Arial" w:eastAsia="Arial" w:hAnsi="Arial"/>
          <w:sz w:val="16"/>
          <w:szCs w:val="16"/>
          <w:color w:val="auto"/>
        </w:rPr>
        <w:t xml:space="preserve"> vg/kg and 1×10</w:t>
      </w:r>
      <w:r>
        <w:rPr>
          <w:rFonts w:ascii="Arial" w:cs="Arial" w:eastAsia="Arial" w:hAnsi="Arial"/>
          <w:sz w:val="13"/>
          <w:szCs w:val="13"/>
          <w:color w:val="auto"/>
        </w:rPr>
        <w:t>14</w:t>
      </w:r>
      <w:r>
        <w:rPr>
          <w:rFonts w:ascii="Arial" w:cs="Arial" w:eastAsia="Arial" w:hAnsi="Arial"/>
          <w:sz w:val="16"/>
          <w:szCs w:val="16"/>
          <w:color w:val="auto"/>
        </w:rPr>
        <w:t xml:space="preserve"> vg/kg weight-based doses all produced significant improvements in EF, LV mass normalized to body mass (LVM/BM), and measures of electrophysiological function (QT interval) at eight months post-injection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HCM mouse model. The 1×10</w:t>
      </w:r>
      <w:r>
        <w:rPr>
          <w:rFonts w:ascii="Arial" w:cs="Arial" w:eastAsia="Arial" w:hAnsi="Arial"/>
          <w:sz w:val="13"/>
          <w:szCs w:val="13"/>
          <w:color w:val="auto"/>
        </w:rPr>
        <w:t>13</w:t>
      </w:r>
      <w:r>
        <w:rPr>
          <w:rFonts w:ascii="Arial" w:cs="Arial" w:eastAsia="Arial" w:hAnsi="Arial"/>
          <w:sz w:val="16"/>
          <w:szCs w:val="16"/>
          <w:color w:val="auto"/>
        </w:rPr>
        <w:t xml:space="preserve"> vg/kg dose had the lowest levels of efficacy, while the 3×10</w:t>
      </w:r>
      <w:r>
        <w:rPr>
          <w:rFonts w:ascii="Arial" w:cs="Arial" w:eastAsia="Arial" w:hAnsi="Arial"/>
          <w:sz w:val="13"/>
          <w:szCs w:val="13"/>
          <w:color w:val="auto"/>
        </w:rPr>
        <w:t>13</w:t>
      </w:r>
      <w:r>
        <w:rPr>
          <w:rFonts w:ascii="Arial" w:cs="Arial" w:eastAsia="Arial" w:hAnsi="Arial"/>
          <w:sz w:val="16"/>
          <w:szCs w:val="16"/>
          <w:color w:val="auto"/>
        </w:rPr>
        <w:t xml:space="preserve"> vg/kg had high improvement in the EF, similar to the 1×10</w:t>
      </w:r>
      <w:r>
        <w:rPr>
          <w:rFonts w:ascii="Arial" w:cs="Arial" w:eastAsia="Arial" w:hAnsi="Arial"/>
          <w:sz w:val="13"/>
          <w:szCs w:val="13"/>
          <w:color w:val="auto"/>
        </w:rPr>
        <w:t>14</w:t>
      </w:r>
      <w:r>
        <w:rPr>
          <w:rFonts w:ascii="Arial" w:cs="Arial" w:eastAsia="Arial" w:hAnsi="Arial"/>
          <w:sz w:val="16"/>
          <w:szCs w:val="16"/>
          <w:color w:val="auto"/>
        </w:rPr>
        <w:t xml:space="preserve"> vg/kg dose, suggesting a plateau in the dose-response curve. A similar dose response has also been observed with TN-201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128905</wp:posOffset>
            </wp:positionV>
            <wp:extent cx="4157345" cy="2040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5734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One-time dosing of AAV9:mMYBPC3 achieved normal levels of protein expression in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 hearts within two to six weeks following delivery, with the higher dose of 1×10</w:t>
      </w:r>
      <w:r>
        <w:rPr>
          <w:rFonts w:ascii="Arial" w:cs="Arial" w:eastAsia="Arial" w:hAnsi="Arial"/>
          <w:sz w:val="14"/>
          <w:szCs w:val="14"/>
          <w:color w:val="auto"/>
        </w:rPr>
        <w:t>14</w:t>
      </w:r>
      <w:r>
        <w:rPr>
          <w:rFonts w:ascii="Arial" w:cs="Arial" w:eastAsia="Arial" w:hAnsi="Arial"/>
          <w:sz w:val="17"/>
          <w:szCs w:val="17"/>
          <w:color w:val="auto"/>
        </w:rPr>
        <w:t xml:space="preserve"> vg/kg able to achieve normal levels of MYBPC3 protein expression within two weeks and lower doses (3×10</w:t>
      </w:r>
      <w:r>
        <w:rPr>
          <w:rFonts w:ascii="Arial" w:cs="Arial" w:eastAsia="Arial" w:hAnsi="Arial"/>
          <w:sz w:val="14"/>
          <w:szCs w:val="14"/>
          <w:color w:val="auto"/>
        </w:rPr>
        <w:t>13</w:t>
      </w:r>
      <w:r>
        <w:rPr>
          <w:rFonts w:ascii="Arial" w:cs="Arial" w:eastAsia="Arial" w:hAnsi="Arial"/>
          <w:sz w:val="17"/>
          <w:szCs w:val="17"/>
          <w:color w:val="auto"/>
        </w:rPr>
        <w:t xml:space="preserve"> vg/kg) able to achieve normal levels of MYBPC3 protein expression within four to six weeks after delivery. Across dose levels, we have not observed MYBPC3 protein levels substantially above normal levels, suggesting that protein accumulation does not occur and supporting the potential for a broad therapeutic index with lessened concern of overexpression-related potential toxicities. In addition, histological assessments of AAV9:mMYBPC3 treated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murine hearts support the uniform and robust distribution of expression following AAV9:mMYBPC3 infusion, suggesting gene therapy may be able to replace the missing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uniformly across the heart and consistent with heart biopsy samples from patients treated with other AAV9-based gene therapies in development.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figure below demonstrates a restoration of MYBPC3 protein levels to wildtype levels following a single dose of AAV9:mMYBPC3 at the 3×10</w:t>
      </w:r>
      <w:r>
        <w:rPr>
          <w:rFonts w:ascii="Arial" w:cs="Arial" w:eastAsia="Arial" w:hAnsi="Arial"/>
          <w:sz w:val="15"/>
          <w:szCs w:val="15"/>
          <w:color w:val="auto"/>
        </w:rPr>
        <w:t>13</w:t>
      </w:r>
      <w:r>
        <w:rPr>
          <w:rFonts w:ascii="Arial" w:cs="Arial" w:eastAsia="Arial" w:hAnsi="Arial"/>
          <w:sz w:val="18"/>
          <w:szCs w:val="18"/>
          <w:color w:val="auto"/>
        </w:rPr>
        <w:t xml:space="preserve"> vg/kg and 1×10</w:t>
      </w:r>
      <w:r>
        <w:rPr>
          <w:rFonts w:ascii="Arial" w:cs="Arial" w:eastAsia="Arial" w:hAnsi="Arial"/>
          <w:sz w:val="15"/>
          <w:szCs w:val="15"/>
          <w:color w:val="auto"/>
        </w:rPr>
        <w:t>14</w:t>
      </w:r>
      <w:r>
        <w:rPr>
          <w:rFonts w:ascii="Arial" w:cs="Arial" w:eastAsia="Arial" w:hAnsi="Arial"/>
          <w:sz w:val="18"/>
          <w:szCs w:val="18"/>
          <w:color w:val="auto"/>
        </w:rPr>
        <w:t xml:space="preserve"> vg/kg dose levels.</w:t>
      </w:r>
    </w:p>
    <w:p>
      <w:pPr>
        <w:sectPr>
          <w:pgSz w:w="11900" w:h="16838" w:orient="portrait"/>
          <w:cols w:equalWidth="0" w:num="1">
            <w:col w:w="11120"/>
          </w:cols>
          <w:pgMar w:left="320" w:top="459" w:right="459" w:bottom="1440" w:gutter="0" w:footer="0" w:header="0"/>
        </w:sectPr>
      </w:pPr>
    </w:p>
    <w:p>
      <w:pPr>
        <w:spacing w:after="0" w:line="193"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MYBPC3 RNA Expression Comparison</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 xml:space="preserve">in Normal Mice and in Untreated vs Treated </w:t>
      </w:r>
      <w:r>
        <w:rPr>
          <w:rFonts w:ascii="Arial" w:cs="Arial" w:eastAsia="Arial" w:hAnsi="Arial"/>
          <w:sz w:val="16"/>
          <w:szCs w:val="16"/>
          <w:b w:val="1"/>
          <w:bCs w:val="1"/>
          <w:i w:val="1"/>
          <w:iCs w:val="1"/>
          <w:color w:val="auto"/>
        </w:rPr>
        <w:t>MYBPC3</w:t>
      </w:r>
      <w:r>
        <w:rPr>
          <w:rFonts w:ascii="Arial" w:cs="Arial" w:eastAsia="Arial" w:hAnsi="Arial"/>
          <w:sz w:val="16"/>
          <w:szCs w:val="16"/>
          <w:b w:val="1"/>
          <w:bCs w:val="1"/>
          <w:color w:val="auto"/>
        </w:rPr>
        <w:t xml:space="preserve"> KO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234315</wp:posOffset>
            </wp:positionV>
            <wp:extent cx="2134235" cy="18599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34235" cy="1859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MYBPC3 Protein Expression Comparison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in Normal Mice and in Untreated vs Treated </w:t>
      </w:r>
      <w:r>
        <w:rPr>
          <w:rFonts w:ascii="Arial" w:cs="Arial" w:eastAsia="Arial" w:hAnsi="Arial"/>
          <w:sz w:val="16"/>
          <w:szCs w:val="16"/>
          <w:b w:val="1"/>
          <w:bCs w:val="1"/>
          <w:i w:val="1"/>
          <w:iCs w:val="1"/>
          <w:color w:val="auto"/>
        </w:rPr>
        <w:t>MYBPC3</w:t>
      </w:r>
      <w:r>
        <w:rPr>
          <w:rFonts w:ascii="Arial" w:cs="Arial" w:eastAsia="Arial" w:hAnsi="Arial"/>
          <w:sz w:val="16"/>
          <w:szCs w:val="16"/>
          <w:b w:val="1"/>
          <w:bCs w:val="1"/>
          <w:color w:val="auto"/>
        </w:rPr>
        <w:t xml:space="preserve"> KO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157480</wp:posOffset>
            </wp:positionV>
            <wp:extent cx="1920240" cy="1937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20240" cy="1937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520"/>
            <w:col w:w="512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 xml:space="preserve">Consistent with observed therapeutic benefit, treatment of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mice with AAV9:mMYBPC3 is also associated with a substantial reduction of expression of genes associated with fibrosis and B-type natriuretic peptide (BNP), a circulating factor associated with heart damage and heart wall stretch. We intend to evaluate the impact of treatment on BNP as a potential PD biomarker in initial clinical studies.</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figure below shows dose-dependent inhibition of expression of genes associated with HF (through BNP levels) and fibrosis following a single dose of AAV9:mMYBPC3 at the 3×10</w:t>
      </w:r>
      <w:r>
        <w:rPr>
          <w:rFonts w:ascii="Arial" w:cs="Arial" w:eastAsia="Arial" w:hAnsi="Arial"/>
          <w:sz w:val="15"/>
          <w:szCs w:val="15"/>
          <w:color w:val="auto"/>
        </w:rPr>
        <w:t>13</w:t>
      </w:r>
      <w:r>
        <w:rPr>
          <w:rFonts w:ascii="Arial" w:cs="Arial" w:eastAsia="Arial" w:hAnsi="Arial"/>
          <w:sz w:val="18"/>
          <w:szCs w:val="18"/>
          <w:color w:val="auto"/>
        </w:rPr>
        <w:t xml:space="preserve"> vg/kg and 1×10</w:t>
      </w:r>
      <w:r>
        <w:rPr>
          <w:rFonts w:ascii="Arial" w:cs="Arial" w:eastAsia="Arial" w:hAnsi="Arial"/>
          <w:sz w:val="15"/>
          <w:szCs w:val="15"/>
          <w:color w:val="auto"/>
        </w:rPr>
        <w:t>14</w:t>
      </w:r>
      <w:r>
        <w:rPr>
          <w:rFonts w:ascii="Arial" w:cs="Arial" w:eastAsia="Arial" w:hAnsi="Arial"/>
          <w:sz w:val="18"/>
          <w:szCs w:val="18"/>
          <w:color w:val="auto"/>
        </w:rPr>
        <w:t xml:space="preserve"> vg/kg dose levels.</w:t>
      </w:r>
    </w:p>
    <w:p>
      <w:pPr>
        <w:spacing w:after="0" w:line="193" w:lineRule="exact"/>
        <w:rPr>
          <w:sz w:val="20"/>
          <w:szCs w:val="20"/>
          <w:color w:val="auto"/>
        </w:rPr>
      </w:pPr>
    </w:p>
    <w:p>
      <w:pPr>
        <w:ind w:left="2040"/>
        <w:spacing w:after="0"/>
        <w:tabs>
          <w:tab w:leader="none" w:pos="5720" w:val="left"/>
        </w:tabs>
        <w:rPr>
          <w:sz w:val="20"/>
          <w:szCs w:val="20"/>
          <w:color w:val="auto"/>
        </w:rPr>
      </w:pPr>
      <w:r>
        <w:rPr>
          <w:rFonts w:ascii="Arial" w:cs="Arial" w:eastAsia="Arial" w:hAnsi="Arial"/>
          <w:sz w:val="18"/>
          <w:szCs w:val="18"/>
          <w:b w:val="1"/>
          <w:bCs w:val="1"/>
          <w:color w:val="auto"/>
        </w:rPr>
        <w:t>BNP</w:t>
      </w:r>
      <w:r>
        <w:rPr>
          <w:sz w:val="20"/>
          <w:szCs w:val="20"/>
          <w:color w:val="auto"/>
        </w:rPr>
        <w:tab/>
      </w:r>
      <w:r>
        <w:rPr>
          <w:rFonts w:ascii="Arial" w:cs="Arial" w:eastAsia="Arial" w:hAnsi="Arial"/>
          <w:sz w:val="18"/>
          <w:szCs w:val="18"/>
          <w:b w:val="1"/>
          <w:bCs w:val="1"/>
          <w:color w:val="auto"/>
        </w:rPr>
        <w:t>Markers of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524637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46370" cy="1714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188595</wp:posOffset>
            </wp:positionV>
            <wp:extent cx="5151755" cy="11144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5175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Treatment with either TN-201 or AAV9:mMYBPC3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has not been associated with significant BW differences, clinical observations, or differences in histopathological assessments across dose levels. In addition, no impact on BW has been observed at dose levels between 3×10</w:t>
      </w:r>
      <w:r>
        <w:rPr>
          <w:rFonts w:ascii="Arial" w:cs="Arial" w:eastAsia="Arial" w:hAnsi="Arial"/>
          <w:sz w:val="14"/>
          <w:szCs w:val="14"/>
          <w:color w:val="auto"/>
        </w:rPr>
        <w:t>13</w:t>
      </w:r>
      <w:r>
        <w:rPr>
          <w:rFonts w:ascii="Arial" w:cs="Arial" w:eastAsia="Arial" w:hAnsi="Arial"/>
          <w:sz w:val="17"/>
          <w:szCs w:val="17"/>
          <w:color w:val="auto"/>
        </w:rPr>
        <w:t xml:space="preserve"> vg/kg and 6×10</w:t>
      </w:r>
      <w:r>
        <w:rPr>
          <w:rFonts w:ascii="Arial" w:cs="Arial" w:eastAsia="Arial" w:hAnsi="Arial"/>
          <w:sz w:val="14"/>
          <w:szCs w:val="14"/>
          <w:color w:val="auto"/>
        </w:rPr>
        <w:t>14</w:t>
      </w:r>
      <w:r>
        <w:rPr>
          <w:rFonts w:ascii="Arial" w:cs="Arial" w:eastAsia="Arial" w:hAnsi="Arial"/>
          <w:sz w:val="17"/>
          <w:szCs w:val="17"/>
          <w:color w:val="auto"/>
        </w:rPr>
        <w:t xml:space="preserve"> vg/kg in safety studies in wildtype neonatal mice twelve weeks after dosing. The 6×10</w:t>
      </w:r>
      <w:r>
        <w:rPr>
          <w:rFonts w:ascii="Arial" w:cs="Arial" w:eastAsia="Arial" w:hAnsi="Arial"/>
          <w:sz w:val="14"/>
          <w:szCs w:val="14"/>
          <w:color w:val="auto"/>
        </w:rPr>
        <w:t>14</w:t>
      </w:r>
      <w:r>
        <w:rPr>
          <w:rFonts w:ascii="Arial" w:cs="Arial" w:eastAsia="Arial" w:hAnsi="Arial"/>
          <w:sz w:val="17"/>
          <w:szCs w:val="17"/>
          <w:color w:val="auto"/>
        </w:rPr>
        <w:t xml:space="preserve"> vg/kg dose level is estimated to be six to twenty times greater than the approximated target dose, further supporting a broad therapeutic index.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Comparison with Previously Published Results for Our MYBPC3 Gene Therapy</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Our approach is differentiated from previously published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therapy approaches. As demonstrated below,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mouse model, our proprietary cassettes show significantly improved EF and LV mass normalized to BW across all dose levels tested when compared to a construct containing a standard cTnT promoter and utilizing an AAV9 capsid.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142875</wp:posOffset>
            </wp:positionV>
            <wp:extent cx="3197225" cy="2194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19722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ind w:left="560"/>
        <w:spacing w:after="0"/>
        <w:tabs>
          <w:tab w:leader="none" w:pos="6360" w:val="left"/>
        </w:tabs>
        <w:rPr>
          <w:sz w:val="20"/>
          <w:szCs w:val="20"/>
          <w:color w:val="auto"/>
        </w:rPr>
      </w:pPr>
      <w:r>
        <w:rPr>
          <w:rFonts w:ascii="Arial" w:cs="Arial" w:eastAsia="Arial" w:hAnsi="Arial"/>
          <w:sz w:val="18"/>
          <w:szCs w:val="18"/>
          <w:color w:val="auto"/>
        </w:rPr>
        <w:t>We intend to submit an IND or CTA to the FDA or EMA, respectively, in</w:t>
      </w:r>
      <w:r>
        <w:rPr>
          <w:sz w:val="20"/>
          <w:szCs w:val="20"/>
          <w:color w:val="auto"/>
        </w:rPr>
        <w:tab/>
      </w:r>
      <w:r>
        <w:rPr>
          <w:rFonts w:ascii="Arial" w:cs="Arial" w:eastAsia="Arial" w:hAnsi="Arial"/>
          <w:sz w:val="16"/>
          <w:szCs w:val="16"/>
          <w:color w:val="auto"/>
        </w:rPr>
        <w:t>. If our IND or CTA is approved, we plan to initiate global</w:t>
      </w:r>
    </w:p>
    <w:p>
      <w:pPr>
        <w:spacing w:after="0" w:line="2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 xml:space="preserve">first-in-human studies in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We have obtained useful feedback from regulatory authorities in multiple countries and have submitted an orphan drug designation request to the FDA.</w:t>
      </w:r>
    </w:p>
    <w:p>
      <w:pPr>
        <w:spacing w:after="0" w:line="18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 xml:space="preserve">We plan to initiate a prospective and retrospective natural history study in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mutation-associated cardiomyopathy. The objective of the natural history study, a non-interventional clinical study that follows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mutations over time, is to characterize the outcomes, burden of illness, risk factors, quality of life, and biomarkers associated with disease progression in patients with cardiomyopathy due to </w:t>
      </w:r>
      <w:r>
        <w:rPr>
          <w:rFonts w:ascii="Arial" w:cs="Arial" w:eastAsia="Arial" w:hAnsi="Arial"/>
          <w:sz w:val="17"/>
          <w:szCs w:val="17"/>
          <w:i w:val="1"/>
          <w:iCs w:val="1"/>
          <w:color w:val="auto"/>
        </w:rPr>
        <w:t xml:space="preserve">MYBPC3 </w:t>
      </w:r>
      <w:r>
        <w:rPr>
          <w:rFonts w:ascii="Arial" w:cs="Arial" w:eastAsia="Arial" w:hAnsi="Arial"/>
          <w:sz w:val="17"/>
          <w:szCs w:val="17"/>
          <w:color w:val="auto"/>
        </w:rPr>
        <w:t>mutations as well as treatments, procedures, and patient outcomes.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DWORF Gene Therapy Program for gDCM and HFrEF</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The DWORF gene therapy program is intended to provide meaningful therapeutic benefit for multiple patient populations with significant unmet need with a focus on gDCM and HFrEF. We and our academic collaborators have accumulated significant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evidence for the therapeutic benefit of over-expression of the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in multiple murine models, including models of gDCM and HFrEF, as well as tolerability in murine models. These findings in animal models support the idea that overexpression of DWORF may be a promising approach for both rare and prevalent forms of HF. This program is currently at the candidate selection stage.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DCM</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DCM is broadly defined as HF with a reduced EF (HFrEF), in which the LV walls are thin and over-expanded, leading to insufficient contraction, reduced blood flow pumped by the heart, and abnormal heart rhythms. DCM can be caused by a variety of mechanisms, including genetics, coronary artery disease, high blood pressure, heart attack, and viral infection.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DCM is a life-threatening and progressive disease. Once symptoms appear, a patient’s condition typically declines progressively. Typical symptoms of HF due to DCM include shortness of breath, fatigue, swelling in the extremities, or an irregular heartbeat. As the disease progresses, patients become increasingly debilitated and experience sustained shortness of breath, even at rest. Diastolic function, or the heart’s ability to relax and fill with blood, is also impaired because the heart is already expanded and fibrotic. The dilated LV is deprived of an adequate supply of oxygen that may contribute to further fibrosis and the risk of dangerous heart rhythm disturbances. At any stage of the disease, whether or not symptoms have appeared, DCM patients are at risk of sudden cardiac death.</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 subset of DCM is caused by genetic mutations in proteins involved in muscle contraction. Mutations in one such protein, phospholamban (PLN), can cause gDCM. These mutations are believed to result in abnormal regulation of calcium biology instrumental in muscle contraction, leading to ventricular dilation, fibrosis and HF over time. Some patients with PLN mutations have a high severity of disease, including patients with R9C and R14del mutations.</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Current therapy for gDCM generally uses therapies developed for HFrEF. While current pharmacologic therapies have improved prognosis and the quality of life of gDCM patients, the premature morbidity and mortality rate remains unacceptably high. End-stage gDCM is the leading indication for use of last line therapies, including LVADs and heart transplantation. Within five years of diagnosis, 43% of patients with advanced gDCM have either died or needed a heart transplant. Thus, there is a large unmet need for novel and more individualized therapeutic options.</w:t>
      </w:r>
    </w:p>
    <w:p>
      <w:pPr>
        <w:spacing w:after="0" w:line="15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It is estimated that DCM affects about one million people in the United States alone, with genetic abnormalities linked to gDCM estimated to be present in about 30% to 40% of DCM patients. PLN mutations are rare with an estimated 0.5% of DCM patients carrying PLN mutations.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HFrEF</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Among patients with HF, the amount of blood that is pumped out of the left ventricle of the heart (LV EF), can vary significantly, and is often characterized as reduced if below 40% (HFrEF), mid-range if between 40% to 50% (HFmrEF) or preserved if greater than or equal to 50% of normal LV EF (HFpEF).</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Approximately 50% of HF cases are HFrEF, representing a prevalence of nearly four million patients in the United States alone. In addition, the incidence and prevalence of HFrEF continues to rise. This increase is driven by an aging population, improved survival from MI and other forms of heart disease, and the increasing prevalence of predisposing risk factors such as diabetes and obesity.</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HFrEF patients continue to have substantial unmet need despite advances in pharmacological treatments, with up to 30% of treated patients experiencing a significant limitation in physical activity. Development of HF continues to be associated with significant morbidity and mortality, with a one-year mortality rate of 7% and one-year hospitalization rate of 32%. Over a five-year period, readmission for HF and mortality rates are as high as 48% and 75%, respectively, highlighting the significant and increasing burden of illness for patients and healthcare systems.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standard of care for HFrEF involves multiple different classes of therapies, including ACE inhibitors, beta blockers, vasodilator, aldosterone antagonists, and others. For end-stage HFrEF patients refractory to medical therapy, the treatment options are limited to LVADs and heart transplantation. LVADs have a finite duration of efficacy and are associated with the potential for fatal complications, frequent hospital readmissions, and high treatment cost. Heart transplant availability is restricted by the scarce supply of donor organs, risk of transplant rejection, and lifelong treatment with immunosuppression therapeutic regimes that are associated with organ damage.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DWORF Gene Therapy</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We are developing an AAV-based gene therapy to deliver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to CMs for the treatment of gDCM and HFrEF. DWORF is a recently discovered small peptide that localizes primarily to the sarcoplasmic reticulum of the cardiac muscle cell. During muscle cell activation, calcium is released from sarcoplasmic reticulum into the muscle cell’s cytosol and into the sarcomere, leading to muscle contraction. Sarcoplasmic/endoplasmic reticulum Ca2+ ATPase 2a (SERCA2a) is a major isoform of SERCA expressed in CMs and plays an essential role in the regulation of cardiac contractility. SERCA2a transports calcium from the cytosol back into the sarcoplasmic reticulum, preserving the calcium gradient required for contraction. DWORF binds to SERCA2a and displaces the inhibitory PLN peptide, resulting in increased SERCA2a activity, increased levels of calcium pumped into the sarcoplasmic reticulum, and increased muscle contraction, ultimately leading to an improvement in heart function.</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We believe DWORF is an ideal target for the treatment of HFrEF. DWORF is a small peptide that is readily expressed when delivered by AAV. The small size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leaves additional room in the AAV capsid to include optimized combinations or promoters and regulatory elements to tailor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levels. In addition, published studies have shown that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is lower in failing human hearts compared to non-diseased hearts.</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figure below shows expression analyses in human HF tissue. DWORF mRNA is reduced in failing hearts whereas atrial natriuretic peptide (NPPA) mRNA, a marker of congestive HF, is significantly increased in failing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133985</wp:posOffset>
            </wp:positionV>
            <wp:extent cx="1148715" cy="13798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4871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One therapeutic hypothesis is that restoring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to normal levels, through treatment with a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therapy, may normalize calcium flux in CMs and increase contractile strength in gDCM patients as well as the broader HFrEF patient population. In addition, gDCM patients carrying PLN mutations have mutant PLN peptides that inhibit SERCA2a and decrease contraction.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therapy produces DWORF peptides that directly compete with mutant PLN peptides by preferentially binding with SERCA2a, which can increase muscle contraction, potentially resulting in halting or even reversal of disease progression.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Our DWORF gene therapy program, illustrated below, is currently at the candidate selection stage with multiple constructs under consideration. </w:t>
      </w:r>
      <w:r>
        <w:rPr>
          <w:rFonts w:ascii="Arial" w:cs="Arial" w:eastAsia="Arial" w:hAnsi="Arial"/>
          <w:sz w:val="16"/>
          <w:szCs w:val="16"/>
          <w:i w:val="1"/>
          <w:iCs w:val="1"/>
          <w:color w:val="auto"/>
        </w:rPr>
        <w:t xml:space="preserve">DWORF </w:t>
      </w:r>
      <w:r>
        <w:rPr>
          <w:rFonts w:ascii="Arial" w:cs="Arial" w:eastAsia="Arial" w:hAnsi="Arial"/>
          <w:sz w:val="16"/>
          <w:szCs w:val="16"/>
          <w:color w:val="auto"/>
        </w:rPr>
        <w:t>gene expression is limited to the CM through use of a novel CM-specific promoter. Our intended product candidate will use an AAV capsid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high tropism for the heart, either AAV9 or a novel proprietary capsid developed through our capsid engineering capabilities, to deliver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We are exploring different ROAs including systemic (IV) or delivery directly to the heart through an infusion catheter.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125730</wp:posOffset>
            </wp:positionV>
            <wp:extent cx="5186045" cy="2348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860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DWORF Gene Therapy: Preclinical Studies</w:t>
      </w:r>
    </w:p>
    <w:p>
      <w:pPr>
        <w:spacing w:after="0" w:line="252" w:lineRule="exact"/>
        <w:rPr>
          <w:sz w:val="20"/>
          <w:szCs w:val="20"/>
          <w:color w:val="auto"/>
        </w:rPr>
      </w:pPr>
    </w:p>
    <w:p>
      <w:pPr>
        <w:ind w:left="1080" w:right="160" w:hanging="532"/>
        <w:spacing w:after="0" w:line="279"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Results in DCM (with MLP KO model)</w:t>
      </w:r>
      <w:r>
        <w:rPr>
          <w:rFonts w:ascii="Arial" w:cs="Arial" w:eastAsia="Arial" w:hAnsi="Arial"/>
          <w:sz w:val="17"/>
          <w:szCs w:val="17"/>
          <w:color w:val="auto"/>
        </w:rPr>
        <w:t>: Overexpression of</w:t>
      </w:r>
      <w:r>
        <w:rPr>
          <w:rFonts w:ascii="Arial" w:cs="Arial" w:eastAsia="Arial" w:hAnsi="Arial"/>
          <w:sz w:val="17"/>
          <w:szCs w:val="17"/>
          <w:i w:val="1"/>
          <w:iCs w:val="1"/>
          <w:color w:val="auto"/>
        </w:rPr>
        <w:t xml:space="preserve"> DWORF </w:t>
      </w:r>
      <w:r>
        <w:rPr>
          <w:rFonts w:ascii="Arial" w:cs="Arial" w:eastAsia="Arial" w:hAnsi="Arial"/>
          <w:sz w:val="17"/>
          <w:szCs w:val="17"/>
          <w:color w:val="auto"/>
        </w:rPr>
        <w:t>has led to improvements in multiple parameters in mouse models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DCM. Our co-founder Eric Olson, Ph.D. has demonstrated that overexpression of </w:t>
      </w:r>
      <w:r>
        <w:rPr>
          <w:rFonts w:ascii="Arial" w:cs="Arial" w:eastAsia="Arial" w:hAnsi="Arial"/>
          <w:sz w:val="17"/>
          <w:szCs w:val="17"/>
          <w:i w:val="1"/>
          <w:iCs w:val="1"/>
          <w:color w:val="auto"/>
        </w:rPr>
        <w:t>DWORF</w:t>
      </w:r>
      <w:r>
        <w:rPr>
          <w:rFonts w:ascii="Arial" w:cs="Arial" w:eastAsia="Arial" w:hAnsi="Arial"/>
          <w:sz w:val="17"/>
          <w:szCs w:val="17"/>
          <w:color w:val="auto"/>
        </w:rPr>
        <w:t xml:space="preserve"> in a transgenic (Tg) model leads to improvements in heart size, normalization of wall thickness and also improvements in EF, as demonstrated in the Muscle Lim Protein (MLP) KO mouse model of DCM, a model considered representative of the broader DCM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16033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8604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00" w:right="100"/>
        <w:spacing w:after="0" w:line="277" w:lineRule="auto"/>
        <w:rPr>
          <w:sz w:val="20"/>
          <w:szCs w:val="20"/>
          <w:color w:val="auto"/>
        </w:rPr>
      </w:pPr>
      <w:r>
        <w:rPr>
          <w:rFonts w:ascii="Arial" w:cs="Arial" w:eastAsia="Arial" w:hAnsi="Arial"/>
          <w:sz w:val="18"/>
          <w:szCs w:val="18"/>
          <w:color w:val="auto"/>
        </w:rPr>
        <w:t>In addition to improvement in heart function, as shown in the figure below, transgenic DWORF overexpression also prevents muscle cell disarray and fibrosis in the MLP KO model of DCM.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DWORF Overexpression Prevents Cellular Damage in a Mouse Model of gDCM (MLP KO)</w:t>
      </w:r>
    </w:p>
    <w:p>
      <w:pPr>
        <w:sectPr>
          <w:pgSz w:w="11900" w:h="16838" w:orient="portrait"/>
          <w:cols w:equalWidth="0" w:num="1">
            <w:col w:w="11100"/>
          </w:cols>
          <w:pgMar w:left="320" w:top="459" w:right="479" w:bottom="1440" w:gutter="0" w:footer="0" w:header="0"/>
        </w:sectPr>
      </w:pPr>
    </w:p>
    <w:p>
      <w:pPr>
        <w:spacing w:after="0" w:line="171"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Pronounced disarray of structures inside cardiomyocytes of MLP KO mice hearts (characteristic of gDCM) is visibly reduced when crossed with DWORF transgenic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74295</wp:posOffset>
            </wp:positionV>
            <wp:extent cx="2202815" cy="14401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02815" cy="144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Pronounced fibrosis in heart muscle of MLP KO mice (characteristic of gDCM) is visibly and measurably reduced when crossed with DWORF transgenic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74295</wp:posOffset>
            </wp:positionV>
            <wp:extent cx="2202815" cy="11747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202815" cy="11747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620"/>
            <w:col w:w="5080"/>
          </w:cols>
          <w:pgMar w:left="32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00"/>
        <w:spacing w:after="0" w:line="279" w:lineRule="auto"/>
        <w:rPr>
          <w:sz w:val="20"/>
          <w:szCs w:val="20"/>
          <w:color w:val="auto"/>
        </w:rPr>
      </w:pPr>
      <w:r>
        <w:rPr>
          <w:rFonts w:ascii="Arial" w:cs="Arial" w:eastAsia="Arial" w:hAnsi="Arial"/>
          <w:sz w:val="17"/>
          <w:szCs w:val="17"/>
          <w:color w:val="auto"/>
        </w:rPr>
        <w:t>We have also demonstrated improvement in the same MLP KO model using our proprietary AAV:DWORF constructs. We have developed multiple proprietary promoters that drive multiple different levels of expression. As shown below, AAV:DWORF constructs containing these promoters (TNP-CM2, TNP-CM4, and TNP-CM7) improved in EF relative to a saline control in the MLP KO mouse model of DCM, with improvements in EF as high as approximately 14% achieved with constructs containing the TNP-CM4 promoter:</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Effect of Three DWORF Constructs in Severe MLP KO gDCM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171450</wp:posOffset>
            </wp:positionV>
            <wp:extent cx="2665730" cy="2305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6573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80" w:right="80" w:hanging="532"/>
        <w:spacing w:after="0" w:line="25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PLN Mutant DCM</w:t>
      </w:r>
      <w:r>
        <w:rPr>
          <w:rFonts w:ascii="Arial" w:cs="Arial" w:eastAsia="Arial" w:hAnsi="Arial"/>
          <w:sz w:val="18"/>
          <w:szCs w:val="18"/>
          <w:color w:val="auto"/>
        </w:rPr>
        <w:t>: Overexpression of</w:t>
      </w:r>
      <w:r>
        <w:rPr>
          <w:rFonts w:ascii="Arial" w:cs="Arial" w:eastAsia="Arial" w:hAnsi="Arial"/>
          <w:sz w:val="18"/>
          <w:szCs w:val="18"/>
          <w:i w:val="1"/>
          <w:iCs w:val="1"/>
          <w:color w:val="auto"/>
        </w:rPr>
        <w:t xml:space="preserve"> DWORF </w:t>
      </w:r>
      <w:r>
        <w:rPr>
          <w:rFonts w:ascii="Arial" w:cs="Arial" w:eastAsia="Arial" w:hAnsi="Arial"/>
          <w:sz w:val="18"/>
          <w:szCs w:val="18"/>
          <w:color w:val="auto"/>
        </w:rPr>
        <w:t>has also demonstrated meaningful improvements in mouse models of PLN mutant DCM.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experiments conducted in the lab of Eric Olson, mice with PLN R9C mutations are characterized by strong PLN inhibition of the SERCA2a calcium pump, resulting in decreased calcium flux, reduced heart muscle contraction, and decreased heart function. Transgenic overexpression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has been shown, as illustrated below, to improve fibrosis and heart remodeling in animals six months of age and improve survival in this genetic model of HF.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DWORF Overexpression Reduces Fibrosis in PLN R9C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171450</wp:posOffset>
            </wp:positionV>
            <wp:extent cx="2940050" cy="14655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94005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DWORF Overexpression Reduces Adverse Remodeling in PLN R9C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171450</wp:posOffset>
            </wp:positionV>
            <wp:extent cx="2768600" cy="1499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6860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DWORF Overexpression Improves Survival in PLN R9C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171450</wp:posOffset>
            </wp:positionV>
            <wp:extent cx="3985895" cy="17056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8589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We have tested different AAV:DWORF constructs in both healthy and disease mouse models and have not observed any safety signals at clinically relevant levels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overexpression.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DWORF Gene Therapy: Planned Clinical Development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plan to explore the safety and efficacy of AAV:DWORF constructs in both broad indications, such as gDCM and HFrEF, and rare indications, such as PLN mutant gDCM.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Reprogramming Program for HF due to Prior MI</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 xml:space="preserve">We have made significant advances in our unique approach to cellular regeneration using viral vectors to deliver factors that drive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reprogramming of resident CFs to create new CMs. We have discovered a proprietary combination of three genes that can drive robust reprogramming when delivered together in a single AAV. As shown in the figures below, see “Reprogramming: Preclinical Studies”, significant (p&lt;0.01) and durable improvement in EF has been achieved across 29 weeks post-treatment in rats, as well as tolerability in multiple small and large animal models. Results of this approach in a pig model of HF due to prior MI were presented at the ASGCT conference in 2020 and represent what we believe is the first-ever successful demonstration of the therapeutic benefit of this approach in a large animal model with a human-sized heart. This program is currently at the candidate selection stage.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HF due to prior MI</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CAD is the single most common cause of HF. CAD is often associated with an MI, in which blood flow to a section of the heart, usually the LV, becomes limited, causing the cells in that section of the heart, including CMs and CFs, to die. The heart cannot replace the lost CMs while the CFs multiply significantly, resulting in scar tissue formation and stiffening of the LV walls, leading to progressive and irreversible cardiovascular remodeling. As a result, the heart continues to lose its ability to pump as strongly and may fail over time. In addition to HF, these patients also have a persistent risk of arrhythmias and increased likelihood of a second heart attack or sudden death.</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the United States, greater than 800,000 people have a heart attack every year; of these approximately 200,000 already had a prior heart attack. Approximately 20% of patients age 45 and older will have another heart attack within five years of their first one. Despite advances in treatment options, mortality due to heart attack is still high; data from the U.S. National Vital Statistics Reports shows the median life expectancy among individuals aged 65 to 69 who have had a heart attack is just 8.3 years as compared to 18.7 years among those who have not.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known therapies that address the loss of CMs associated with MI and the resulting morbidity and mortality.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Direct In Vivo Reprogramming of Resident CFs to Create CMs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Cellular reprogramming is the process of converting cells of one type into another cell type. Shinya Yamanaka and John Gurdon won the Nobel Prize for their discovery that cells in the body can be reprogrammed to become stem cells, called iPSCs, capable of developing into any other type of cell in the body using a combination of four transcriptional factors. Since then, researchers have also found other combinations of factors capable of directly converting cells from one type to another without first going through the iPSC state. Dr. Srivastava, one of our co-founders and a member of our board of directors, was the first to demonstrate direct reprogramming of CFs into CMs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creating the potential for a new approach to cardiac regeneration.</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Building on this pioneering work, we have developed a novel AAV-based therapy for direct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reprogramming of resident CFs into CMs to replace the CMs lost due to an MI. Our goal is to convert the CFs into new CMs to help repair the heart after an MI, and ultimately slow down, stabilize or even potentially reverse the progression to HF. Our approach leverages substantial in-house advances in our reprogramming factors, capsid engineering, regulatory elements, and drug delivery to translate cardiac reprogramming science towards clinically relevant solutions.</w:t>
      </w:r>
    </w:p>
    <w:p>
      <w:pPr>
        <w:spacing w:after="0" w:line="77" w:lineRule="exact"/>
        <w:rPr>
          <w:sz w:val="20"/>
          <w:szCs w:val="20"/>
          <w:color w:val="auto"/>
        </w:rPr>
      </w:pPr>
    </w:p>
    <w:p>
      <w:pPr>
        <w:ind w:left="1080" w:right="80" w:hanging="532"/>
        <w:spacing w:after="0" w:line="301"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Reprogramming factors</w:t>
      </w:r>
      <w:r>
        <w:rPr>
          <w:rFonts w:ascii="Arial" w:cs="Arial" w:eastAsia="Arial" w:hAnsi="Arial"/>
          <w:sz w:val="16"/>
          <w:szCs w:val="16"/>
          <w:color w:val="auto"/>
        </w:rPr>
        <w:t>. Through extensive</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screening efforts in actual human CFs, we identified a unique combination of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genes encoding Myocardin, ASCL1, and miR-133 that together can drive robust direct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reprogramming of CFs to CMs, and that we have designed to fit into a single AAV. We use the term reprogramming factors to refer to such combination of genes and any other combinations of genes that when delivered together in a single AAV into CFs, result in the direct reprogramming of the CFs into CMs.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86"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Capsid engineering</w:t>
      </w:r>
      <w:r>
        <w:rPr>
          <w:rFonts w:ascii="Arial" w:cs="Arial" w:eastAsia="Arial" w:hAnsi="Arial"/>
          <w:sz w:val="17"/>
          <w:szCs w:val="17"/>
          <w:color w:val="auto"/>
        </w:rPr>
        <w:t>. While AAV9 can be used to target CMs, it does not sufficiently transduce CFs. We have discovered a novel capsid,</w:t>
      </w:r>
      <w:r>
        <w:rPr>
          <w:rFonts w:ascii="Arial" w:cs="Arial" w:eastAsia="Arial" w:hAnsi="Arial"/>
          <w:sz w:val="17"/>
          <w:szCs w:val="17"/>
          <w:i w:val="1"/>
          <w:iCs w:val="1"/>
          <w:color w:val="auto"/>
        </w:rPr>
        <w:t xml:space="preserve"> </w:t>
      </w:r>
      <w:r>
        <w:rPr>
          <w:rFonts w:ascii="Arial" w:cs="Arial" w:eastAsia="Arial" w:hAnsi="Arial"/>
          <w:sz w:val="17"/>
          <w:szCs w:val="17"/>
          <w:color w:val="auto"/>
        </w:rPr>
        <w:t>TNC-CF1, which has a higher transduction efficiency for human CFs as compared to currently known AAV serotypes. Initial data suggest this novel capsid may also be less susceptible to neutralizing antibodies compared to known serotypes.</w:t>
      </w:r>
    </w:p>
    <w:p>
      <w:pPr>
        <w:spacing w:after="0" w:line="70" w:lineRule="exact"/>
        <w:rPr>
          <w:rFonts w:ascii="Arial" w:cs="Arial" w:eastAsia="Arial" w:hAnsi="Arial"/>
          <w:sz w:val="17"/>
          <w:szCs w:val="17"/>
          <w:color w:val="auto"/>
        </w:rPr>
      </w:pPr>
    </w:p>
    <w:p>
      <w:pPr>
        <w:ind w:left="1080" w:right="80" w:hanging="532"/>
        <w:spacing w:after="0" w:line="275"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Regulatory elements</w:t>
      </w:r>
      <w:r>
        <w:rPr>
          <w:rFonts w:ascii="Arial" w:cs="Arial" w:eastAsia="Arial" w:hAnsi="Arial"/>
          <w:sz w:val="17"/>
          <w:szCs w:val="17"/>
          <w:color w:val="auto"/>
        </w:rPr>
        <w:t>. We have pursued rigorous, iterative optimization efforts to create proprietary reprogramming products.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optimized Myocardin and cassette regulatory elements to both decrease cassette size and improve reprogramming efficiency. After extensive exploration of single and double promoter strategies, we have selected the CAG promoter to drive robust expression of our reprogramming factors. We limit expression of our reprogramming factors in mature CMs by including a miR-208 binding site that decreases reprogramming factor expression in mature CMs after differentiation from fibroblasts.</w:t>
      </w:r>
    </w:p>
    <w:p>
      <w:pPr>
        <w:spacing w:after="0" w:line="81" w:lineRule="exact"/>
        <w:rPr>
          <w:rFonts w:ascii="Arial" w:cs="Arial" w:eastAsia="Arial" w:hAnsi="Arial"/>
          <w:sz w:val="17"/>
          <w:szCs w:val="17"/>
          <w:color w:val="auto"/>
        </w:rPr>
      </w:pPr>
    </w:p>
    <w:p>
      <w:pPr>
        <w:ind w:left="1080" w:right="20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Drug delivery</w:t>
      </w:r>
      <w:r>
        <w:rPr>
          <w:rFonts w:ascii="Arial" w:cs="Arial" w:eastAsia="Arial" w:hAnsi="Arial"/>
          <w:sz w:val="18"/>
          <w:szCs w:val="18"/>
          <w:color w:val="auto"/>
        </w:rPr>
        <w:t>. We are developing, in conjunction with leaders in interventional cardiology, a proprietary percutaneous endomyocardial</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catheter (TND-INJ1) to inject and deliver our gene therapies around scars in the heart in a non-surgical, minimally-invasive procedure. Many potential sites for future clinical studies have experience with endomyocardial injection catheters through previous and ongoing cell therapy studies.</w:t>
      </w:r>
    </w:p>
    <w:p>
      <w:pPr>
        <w:spacing w:after="0" w:line="78" w:lineRule="exact"/>
        <w:rPr>
          <w:rFonts w:ascii="Arial" w:cs="Arial" w:eastAsia="Arial" w:hAnsi="Arial"/>
          <w:sz w:val="18"/>
          <w:szCs w:val="18"/>
          <w:color w:val="auto"/>
        </w:rPr>
      </w:pPr>
    </w:p>
    <w:p>
      <w:pPr>
        <w:ind w:left="1100" w:right="420"/>
        <w:spacing w:after="0" w:line="277" w:lineRule="auto"/>
        <w:rPr>
          <w:rFonts w:ascii="Arial" w:cs="Arial" w:eastAsia="Arial" w:hAnsi="Arial"/>
          <w:sz w:val="18"/>
          <w:szCs w:val="18"/>
          <w:color w:val="auto"/>
        </w:rPr>
      </w:pPr>
      <w:r>
        <w:rPr>
          <w:rFonts w:ascii="Arial" w:cs="Arial" w:eastAsia="Arial" w:hAnsi="Arial"/>
          <w:sz w:val="18"/>
          <w:szCs w:val="18"/>
          <w:color w:val="auto"/>
        </w:rPr>
        <w:t>The schematic below summarizes the components of our intended reprogramming gene therapy product candidate and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133985</wp:posOffset>
            </wp:positionV>
            <wp:extent cx="5186045" cy="2186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8604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Reprogramming: Preclinical Studies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 xml:space="preserve">We have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to optimize our direct reprogramming approach</w:t>
      </w:r>
      <w:r>
        <w:rPr>
          <w:rFonts w:ascii="Arial" w:cs="Arial" w:eastAsia="Arial" w:hAnsi="Arial"/>
          <w:sz w:val="18"/>
          <w:szCs w:val="18"/>
          <w:i w:val="1"/>
          <w:iCs w:val="1"/>
          <w:color w:val="auto"/>
        </w:rPr>
        <w:t>.</w:t>
      </w:r>
      <w:r>
        <w:rPr>
          <w:rFonts w:ascii="Arial" w:cs="Arial" w:eastAsia="Arial" w:hAnsi="Arial"/>
          <w:sz w:val="18"/>
          <w:szCs w:val="18"/>
          <w:color w:val="auto"/>
        </w:rPr>
        <w:t xml:space="preserve"> Our most advanced results have been achieved primarily with two different constructs, TN1-002 and TN1-006.</w:t>
      </w:r>
    </w:p>
    <w:p>
      <w:pPr>
        <w:spacing w:after="0" w:line="197" w:lineRule="exact"/>
        <w:rPr>
          <w:sz w:val="20"/>
          <w:szCs w:val="20"/>
          <w:color w:val="auto"/>
        </w:rPr>
      </w:pPr>
    </w:p>
    <w:p>
      <w:pPr>
        <w:ind w:left="1080" w:hanging="532"/>
        <w:spacing w:after="0" w:line="25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Results from in vitro conversion of human CFs</w:t>
      </w:r>
      <w:r>
        <w:rPr>
          <w:rFonts w:ascii="Arial" w:cs="Arial" w:eastAsia="Arial" w:hAnsi="Arial"/>
          <w:sz w:val="18"/>
          <w:szCs w:val="18"/>
          <w:color w:val="auto"/>
        </w:rPr>
        <w:t>. Our reprogramming approach has been optimized</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in adult human CFs.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extensive iterative experiments to compare the relative efficiency of various constructs to convert CFs to CMs. CM-specific markers like cTnT and a-Actinin are measured to determine the proportion of cells that have been converted from CFs to CMs. The figure below illustrates the results from such an experiment, demonstrating how our TN1-006 construct can convert approximately 40% of human CFs to CMs: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 xml:space="preserve">In vitro </w:t>
      </w:r>
      <w:r>
        <w:rPr>
          <w:rFonts w:ascii="Arial" w:cs="Arial" w:eastAsia="Arial" w:hAnsi="Arial"/>
          <w:sz w:val="18"/>
          <w:szCs w:val="18"/>
          <w:b w:val="1"/>
          <w:bCs w:val="1"/>
          <w:color w:val="auto"/>
        </w:rPr>
        <w:t>Comparison of Reprogramming Efficiency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Adult Human Cardiac Fibroblasts to Cardiomyocytes with Different Constructs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160020</wp:posOffset>
            </wp:positionV>
            <wp:extent cx="4740275" cy="2322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4027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80" w:right="80" w:hanging="532"/>
        <w:spacing w:after="0" w:line="279"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Results from rodent disease models</w:t>
      </w:r>
      <w:r>
        <w:rPr>
          <w:rFonts w:ascii="Arial" w:cs="Arial" w:eastAsia="Arial" w:hAnsi="Arial"/>
          <w:sz w:val="17"/>
          <w:szCs w:val="17"/>
          <w:color w:val="auto"/>
        </w:rPr>
        <w:t>. We have demonstrated durable and dose-dependent improvement in EF in both mouse and rat models</w:t>
      </w:r>
      <w:r>
        <w:rPr>
          <w:rFonts w:ascii="Arial" w:cs="Arial" w:eastAsia="Arial" w:hAnsi="Arial"/>
          <w:sz w:val="17"/>
          <w:szCs w:val="17"/>
          <w:i w:val="1"/>
          <w:iCs w:val="1"/>
          <w:color w:val="auto"/>
        </w:rPr>
        <w:t xml:space="preserve"> </w:t>
      </w:r>
      <w:r>
        <w:rPr>
          <w:rFonts w:ascii="Arial" w:cs="Arial" w:eastAsia="Arial" w:hAnsi="Arial"/>
          <w:sz w:val="17"/>
          <w:szCs w:val="17"/>
          <w:color w:val="auto"/>
        </w:rPr>
        <w:t>of HF following an induced MI. In our rat model, TN1-006 was injected directly around the scar area formed two weeks after an induced MI. The figure below demonstrates dose-dependent improvement in EF, with an approximately 10% improvement in EF achieved at the highest dose compared to controls that was sustained up to the end of the experiment at 29 weeks:</w:t>
      </w:r>
    </w:p>
    <w:p>
      <w:pPr>
        <w:spacing w:after="0" w:line="27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Improvement in Ejection Fraction with TN1-006 Reprogramming in Rat Model of Heart Failure Post-MI (after 29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171450</wp:posOffset>
            </wp:positionV>
            <wp:extent cx="2674620" cy="26657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7462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80" w:hanging="532"/>
        <w:spacing w:after="0" w:line="263"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Results from pig disease model</w:t>
      </w:r>
      <w:r>
        <w:rPr>
          <w:rFonts w:ascii="Arial" w:cs="Arial" w:eastAsia="Arial" w:hAnsi="Arial"/>
          <w:sz w:val="18"/>
          <w:szCs w:val="18"/>
          <w:color w:val="auto"/>
        </w:rPr>
        <w:t>. We have demonstrated durable improvement in EF in a pig model of HF following an induced MI. In a pig</w:t>
      </w:r>
      <w:r>
        <w:rPr>
          <w:rFonts w:ascii="Arial" w:cs="Arial" w:eastAsia="Arial" w:hAnsi="Arial"/>
          <w:sz w:val="18"/>
          <w:szCs w:val="18"/>
          <w:i w:val="1"/>
          <w:iCs w:val="1"/>
          <w:color w:val="auto"/>
        </w:rPr>
        <w:t xml:space="preserve"> </w:t>
      </w:r>
      <w:r>
        <w:rPr>
          <w:rFonts w:ascii="Arial" w:cs="Arial" w:eastAsia="Arial" w:hAnsi="Arial"/>
          <w:sz w:val="18"/>
          <w:szCs w:val="18"/>
          <w:color w:val="auto"/>
        </w:rPr>
        <w:t>model, TN1-002 was injected directly around the scar area formed 28 days after an induced MI. The figure below demonstrates approximately 10% improvement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0"/>
        <w:spacing w:after="0" w:line="277" w:lineRule="auto"/>
        <w:rPr>
          <w:sz w:val="20"/>
          <w:szCs w:val="20"/>
          <w:color w:val="auto"/>
        </w:rPr>
      </w:pPr>
      <w:r>
        <w:rPr>
          <w:rFonts w:ascii="Arial" w:cs="Arial" w:eastAsia="Arial" w:hAnsi="Arial"/>
          <w:sz w:val="18"/>
          <w:szCs w:val="18"/>
          <w:color w:val="auto"/>
        </w:rPr>
        <w:t>in EF compared to each animal’s own pre-dose baseline and more than 11% improvement compared to control-treated animals that remained sustained until the end of the experiment at nine weeks: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Improvement in Ejection Fraction (EF) following Treatment with TN1-002 from</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160020</wp:posOffset>
            </wp:positionV>
            <wp:extent cx="2648585" cy="21088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4858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These results were presented at the ASGCT conference in 2020. We believe these data compare favorably to published efficacy data for other cell and gene therapy interventions in large animal models. Very few previous therapeutic attempts have achieved meaningful improvement in EF compared to pre-dose baseline in large animal models, with typical improvements, when observed, of less than 5%. From an assessment of the published literature, we believe that a 5% to 10% improvement in EF in the pig model would be associated with a survival benefit in humans.</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pig model is known to have high variability in disease progression among individual animals. In order to confirm that the results obtained with TN1-002 reflected true improvements in heart function, we conducted extensive additional analysis of other parameters, including heart size (for example, LV diameter and volume during systole and diastole), measures of cardiac output (for example, stroke volume), measures of heart injury (for example, troponin levels), and final scar size at the level of individual animals. As shown in the figure below, our analysis revealed high heterogeneity in the change in absolute EF% among individual animal responses to TN1-002 from a decline of -2% to improvement of +24%, and that seven out of ten treated animals were considered “responders” (based on EF% increase of greater than 5% over pre-dose baseline) while three out of ten were considered “non-responders”.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Analysis of Individual Animal Changes in Ejection Fraction Following Treatment with TN1-002 from</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160020</wp:posOffset>
            </wp:positionV>
            <wp:extent cx="2640330" cy="25203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4033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Further analysis of responder animals as compared to non-responder animals demonstrated responders generally had improvement in most parameters that were internally consistent and suggestive of positive heart remodeling. By comparison, the pattern of these additional parameters was not internally consistent among non-responders.</w:t>
      </w:r>
    </w:p>
    <w:p>
      <w:pPr>
        <w:spacing w:after="0" w:line="76"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The figure below demonstrates the expected inverse correlation of the degree of EF improvement of responders to the change in heart size, as measured by LV end systolic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133985</wp:posOffset>
            </wp:positionV>
            <wp:extent cx="4123055" cy="24174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230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Further analysis of heart samples from responder as compared to non-responder animals from this study revealed that responder animals had significantly higher measurable levels of the TN1-002 vector and the reprogramming factors than the non-responder animals. This provides additional support that the improvements in EF results seen in this experiment were a direct result of the delivery and expression of reprogramming factors by our AAV capsid.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342" w:lineRule="auto"/>
        <w:rPr>
          <w:sz w:val="20"/>
          <w:szCs w:val="20"/>
          <w:color w:val="auto"/>
        </w:rPr>
      </w:pPr>
      <w:r>
        <w:rPr>
          <w:rFonts w:ascii="Arial" w:cs="Arial" w:eastAsia="Arial" w:hAnsi="Arial"/>
          <w:sz w:val="16"/>
          <w:szCs w:val="16"/>
          <w:color w:val="auto"/>
        </w:rPr>
        <w:t>The figures below illustrate that the level of AAV transduction and transgene expression was observed to be higher in samples obtained from responders compared to non-responders to TN1-002 in the study of reprogramming in the pig model of heart failure post-MI:</w:t>
      </w:r>
    </w:p>
    <w:p>
      <w:pPr>
        <w:spacing w:after="0" w:line="228" w:lineRule="exact"/>
        <w:rPr>
          <w:sz w:val="20"/>
          <w:szCs w:val="20"/>
          <w:color w:val="auto"/>
        </w:rPr>
      </w:pPr>
    </w:p>
    <w:p>
      <w:pPr>
        <w:jc w:val="center"/>
        <w:ind w:left="460" w:right="40"/>
        <w:spacing w:after="0" w:line="282" w:lineRule="auto"/>
        <w:rPr>
          <w:sz w:val="20"/>
          <w:szCs w:val="20"/>
          <w:color w:val="auto"/>
        </w:rPr>
      </w:pPr>
      <w:r>
        <w:rPr>
          <w:rFonts w:ascii="Arial" w:cs="Arial" w:eastAsia="Arial" w:hAnsi="Arial"/>
          <w:sz w:val="18"/>
          <w:szCs w:val="18"/>
          <w:b w:val="1"/>
          <w:bCs w:val="1"/>
          <w:color w:val="auto"/>
        </w:rPr>
        <w:t>Comparison of TN1-002 AAV Transduction in Heart Samples of Responders vs. Non-Responders from 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131445</wp:posOffset>
            </wp:positionV>
            <wp:extent cx="2554605" cy="925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5460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80"/>
        <w:spacing w:after="0" w:line="282" w:lineRule="auto"/>
        <w:rPr>
          <w:sz w:val="20"/>
          <w:szCs w:val="20"/>
          <w:color w:val="auto"/>
        </w:rPr>
      </w:pPr>
      <w:r>
        <w:rPr>
          <w:rFonts w:ascii="Arial" w:cs="Arial" w:eastAsia="Arial" w:hAnsi="Arial"/>
          <w:sz w:val="18"/>
          <w:szCs w:val="18"/>
          <w:b w:val="1"/>
          <w:bCs w:val="1"/>
          <w:color w:val="auto"/>
        </w:rPr>
        <w:t>Comparison of TN1-002 Transgene Expression in Heart Samples of Responders vs. Non-Responders from 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131445</wp:posOffset>
            </wp:positionV>
            <wp:extent cx="1482725" cy="9601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8272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0" w:right="140"/>
        <w:spacing w:after="0" w:line="308" w:lineRule="auto"/>
        <w:rPr>
          <w:sz w:val="20"/>
          <w:szCs w:val="20"/>
          <w:color w:val="auto"/>
        </w:rPr>
      </w:pPr>
      <w:r>
        <w:rPr>
          <w:rFonts w:ascii="Arial" w:cs="Arial" w:eastAsia="Arial" w:hAnsi="Arial"/>
          <w:sz w:val="17"/>
          <w:szCs w:val="17"/>
          <w:color w:val="auto"/>
        </w:rPr>
        <w:t>These data provide direction to our ongoing candidate selection efforts. We continue to seek ways to ensure more consistent delivery and expression of our reprogramming factors to CFs, including with the use of novel capsids and novel delivery methods.</w:t>
      </w:r>
    </w:p>
    <w:p>
      <w:pPr>
        <w:spacing w:after="0" w:line="173" w:lineRule="exact"/>
        <w:rPr>
          <w:sz w:val="20"/>
          <w:szCs w:val="20"/>
          <w:color w:val="auto"/>
        </w:rPr>
      </w:pPr>
    </w:p>
    <w:p>
      <w:pPr>
        <w:ind w:left="1080" w:right="30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To date, no negative safety findings have been associated with either TN1-002 or TN1-006 in</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experiments in rat and pig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including clinical findings, histopathology, assessment of arrhythmia, and other measures.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Reprogramming: Planned Clinical Development</w:t>
      </w:r>
    </w:p>
    <w:p>
      <w:pPr>
        <w:spacing w:after="0" w:line="117" w:lineRule="exact"/>
        <w:rPr>
          <w:sz w:val="20"/>
          <w:szCs w:val="20"/>
          <w:color w:val="auto"/>
        </w:rPr>
      </w:pPr>
    </w:p>
    <w:p>
      <w:pPr>
        <w:jc w:val="center"/>
        <w:ind w:right="220"/>
        <w:spacing w:after="0" w:line="342" w:lineRule="auto"/>
        <w:rPr>
          <w:sz w:val="20"/>
          <w:szCs w:val="20"/>
          <w:color w:val="auto"/>
        </w:rPr>
      </w:pPr>
      <w:r>
        <w:rPr>
          <w:rFonts w:ascii="Arial" w:cs="Arial" w:eastAsia="Arial" w:hAnsi="Arial"/>
          <w:sz w:val="16"/>
          <w:szCs w:val="16"/>
          <w:color w:val="auto"/>
        </w:rPr>
        <w:t>After selection of our product candidate, we plan to initiate IND-enabling studies. We have received feedback from the FDA through an INTERACT (INitial Targeted Engagement for Regulatory Advice on CBER producTs) review to inform the design of our future preclinical studies.</w:t>
      </w:r>
    </w:p>
    <w:p>
      <w:pPr>
        <w:spacing w:after="0" w:line="12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development plan is anticipated to include patients with advanced HF due to prior MI who meet qualifications for a heart transplant or LVAD as well as a broader patient population with severe ischemic cardiomyopathy. In the future, we also may explore potential for development in other forms of HF caused by a loss of cardiomyocytes, but not involving a myocardial infarction.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HDAC6i Program for HFpEF and gDCM</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 xml:space="preserve">Our HDAC6i program is intended for development in multiple patient populations with significant unmet need including HFpEF and gDCM. We have discovered a highly specific and potent HDAC6i for which medicinal chemistry has been completed and we have filed patent applications for two chemical series. We have also demonstrated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of these molecules in multiple animal models, including in two different models of HFpEF and a single model of gDCM. Our HDAC6i product candidate, TYA-11631, has not demonstrated evidence of toxicity at levels dosed to date in small</w:t>
      </w:r>
    </w:p>
    <w:p>
      <w:pPr>
        <w:spacing w:after="0" w:line="1" w:lineRule="exact"/>
        <w:rPr>
          <w:sz w:val="20"/>
          <w:szCs w:val="20"/>
          <w:color w:val="auto"/>
        </w:rPr>
      </w:pPr>
    </w:p>
    <w:p>
      <w:pPr>
        <w:ind w:left="120"/>
        <w:spacing w:after="0"/>
        <w:tabs>
          <w:tab w:leader="none" w:pos="7500" w:val="left"/>
        </w:tabs>
        <w:rPr>
          <w:sz w:val="20"/>
          <w:szCs w:val="20"/>
          <w:color w:val="auto"/>
        </w:rPr>
      </w:pPr>
      <w:r>
        <w:rPr>
          <w:rFonts w:ascii="Arial" w:cs="Arial" w:eastAsia="Arial" w:hAnsi="Arial"/>
          <w:sz w:val="18"/>
          <w:szCs w:val="18"/>
          <w:color w:val="auto"/>
        </w:rPr>
        <w:t>and large animal species. This program is poised to enter IND-enabling studies in</w:t>
      </w:r>
      <w:r>
        <w:rPr>
          <w:sz w:val="20"/>
          <w:szCs w:val="20"/>
          <w:color w:val="auto"/>
        </w:rPr>
        <w:tab/>
      </w:r>
      <w:r>
        <w:rPr>
          <w:rFonts w:ascii="Arial" w:cs="Arial" w:eastAsia="Arial" w:hAnsi="Arial"/>
          <w:sz w:val="13"/>
          <w:szCs w:val="13"/>
          <w:color w:val="auto"/>
        </w:rPr>
        <w: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HFpEF</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HFpEF is generally defined as HF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progressive in many patients. Symptoms initially include fatigue, shortness of breath, and tissue swelling, resulting in reduced physical activity. Over time, this results in a substantial limitation in activities and impact on quality of life, and patients are at risk of premature death.</w:t>
      </w:r>
    </w:p>
    <w:p>
      <w:pPr>
        <w:spacing w:after="0" w:line="18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At least half of all hospital admissions for HF are related to HFpEF and approximately 24% of the HFpEF population is considered to have New York Heart Association Class III or Class IV disease, representing a disease burden that markedly impacts quality of life and limits physical activity. Among patients hospitalized for HFpEF, readmission for HF and mortality rates over a five-year period are as high as 40% and 75%, respectively.</w:t>
      </w:r>
    </w:p>
    <w:p>
      <w:pPr>
        <w:spacing w:after="0" w:line="14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Patients with HFpEF represent approximately half of HF patients. There are estimated to be over three million patients diagnosed with HFpEF in the United States alone. HFpEF prevalence is rapidly increasing, with prevalence anticipated to increase by more than 45% by 2030.</w:t>
      </w:r>
    </w:p>
    <w:p>
      <w:pPr>
        <w:spacing w:after="0" w:line="14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Despite limited data demonstrating efficacy in the HFpEF setting, patients generally receive therapies prescribed for HFrEF, including diuretics, beta-blockers, and ACE inhibitors. Patients with HFpEF are generally not responsive to therapies that have been shown to improve outcomes of patients with HFrEF. Without the development of more effective therapies specifically for HFpEF patients, disease management is mostly directed toward treating associated conditions and symptoms. Despite agreement for the need for therapies that alter the trajectory of HFpEF, clinical trials that have enrolled patients with HFpEF have not led to new therapies that meaningfully improve morbidity or mortality for the HFpEF patient population. We believe that HFpEF remains one of the greatest unmet needs in cardiovascular medicine.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gDCM</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Genetic abnormalities linked to gDCM are estimated to be present in about 30% to 40% of DCM patients. Variants in more than 40 genes have been linked with gDCM with many patients having more than two mutations meeting criteria for causation of DCM. Despite a common disease phenotype, mutations linked to gDCM are present in proteins with diverse cellular locations within the cardiomyocyte, including localization to the nucleus, cellular membrane, sarcomere, and ion channels. Mutations, deletions, and truncations in one such protein, Bcl2-associated anthanogene 3 (BAG3), have been thought to be causative of DCM in a subset of gDCM patients. Patients with BAG3 DCM represents a particularly high unmet need with an average age of onset of 37 years and an increased rate of heart transplant and LVAD placement. For additional information regarding DCM and gDCM, see the “</w:t>
      </w:r>
      <w:r>
        <w:rPr>
          <w:rFonts w:ascii="Arial" w:cs="Arial" w:eastAsia="Arial" w:hAnsi="Arial"/>
          <w:sz w:val="16"/>
          <w:szCs w:val="16"/>
          <w:i w:val="1"/>
          <w:iCs w:val="1"/>
          <w:color w:val="auto"/>
        </w:rPr>
        <w:t>DWORF Gene Therapy Program for gDCM and HFrEF— Overview of DCM</w:t>
      </w:r>
      <w:r>
        <w:rPr>
          <w:rFonts w:ascii="Arial" w:cs="Arial" w:eastAsia="Arial" w:hAnsi="Arial"/>
          <w:sz w:val="16"/>
          <w:szCs w:val="16"/>
          <w:color w:val="auto"/>
        </w:rPr>
        <w:t>” above.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HDAC6 inhibitor (TYA-11631)</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Following identification of HDAC6 as a prospective target for gDCM through our Precision Medicine platform, we have developed a number of highly selective proprietary HDAC6 small molecule inhibitors (HDAC6i), including TYA-11018 and our product candidate, TYA-11631. HDAC inhibitors have long been considered promising targets for many indications in a range of therapeutic areas, including oncology and other indications. Several partially selective HDAC6i are already in clinical development, but none yet for heart disease. There are currently no other HDAC inhibitors in clinical development for heart disease indications and we intend to be the first to advance a selective HDAC6i into clinical development for the treatment of HF.</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Less selective HDAC inhibitors in development in other indications have been associated with dose-limiting toxicities and safety liabilities, such as thrombocytopenia. In contrast, we have identified a number of highly selective and potent HDAC6i with high levels of selectivity for HDAC6. As demonstrated in the figure below, some of our proprietary inhibitors are greater than 1,000 times more selective for HDAC6 than for other HDAC family members.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TYA-11018 demonstrates 1000x Biochemical Selectivity for HDAC6 vs. Other HDACs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171450</wp:posOffset>
            </wp:positionV>
            <wp:extent cx="2905760" cy="1602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0576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 xml:space="preserve">Internal data indicate that the higher selectivity of our compounds may translate to lower safety risks as compared to other selective compounds. As shown below,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we have observed reduced off-target effects relative to other pan-HDAC inhibitors or partially selective HDAC6 inhibitors in clinical development, as measured by the relative number of megakaryocyte colonies formed in the presence of the compounds tested at different concentrations. No thrombocytopenia has been observed in animal models.</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Significantly Reduced Risk of Thrombocytopenia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171450</wp:posOffset>
            </wp:positionV>
            <wp:extent cx="2811780" cy="2434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1178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product candidate, TYA-11631, has favorable drug-like properties, including pharmacokinetics (PK), oral bioavailability, panel selectivity, protein-binding activity, and cellular toxicity, supporting the potential for once-daily oral dosing in humans. To date, there have been no adverse findings in multiple pilot toxicology studies in rats and NHPs with TYA-11631 and TYA-11018. Tenaya has filed patent applications across multiple chemical series encompassing TYA-11631, TYA-11018, and other potential back-up molecules.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TYA-11631: Preclinical Studies in HFpEF</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Treatment with TYA-11631 has reversed measures of HFpEF, including heart filling defects known as diastolic dysfunction, in multiple animal models. In one HFpEF model developed in-house, we surgically applied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moderate aortic banding (mTAC) in wild type mice fed a high fat diet. These interventions induced a cardio-metabolic HF phenotype that simulated the systemic and cardiovascular features of HFpEF in human. Aspects of the HFpEF phenotype included increased LV wall thickness, LV hypertrophy, increased diastolic pressure, impaired LV relaxation and filling, and glucose intolerance, all with a preserved EF.</w:t>
      </w:r>
    </w:p>
    <w:p>
      <w:pPr>
        <w:spacing w:after="0" w:line="16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After the HFpEF phenotypes were established, animals were dosed orally with TYA-11631 or vehicle for six weeks. As illustrated below, TYA-11631 treatment reversed HFpEF disease phenotype across all studied parameters, including restoration of LV wall thickness, LV end diastolic pressure, LV relaxation and filling, and LV mass, compared to control. We also observed an improvement in glucose tolerance in multiple models of HFpEF, suggesting that treatment with a selective HDAC6i may have a positive impact on glucose metabolism.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9057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8604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the treated mice exhibited a clear trend of decreased lung weight, indicative of improvement in pulmonary congestion consistent with the reduction of filling pressure.</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40"/>
          </w:cols>
          <w:pgMar w:left="320" w:top="459" w:right="5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Consistent with the observed improvement in HFpEF phenotype, TYA-11631 treatment in this HFpEF model was also associated with reductions of key biomarkers of fibrosis, hypertrophy and cardiac damage, and inflammation in heart samples compared to levels observed in control animals,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8721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86045"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HDAC6 Inhibitors: Potential Mechanism of Action in HFpEF</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mechanisms underlying HFpEF is an active area of scientific research. Defects in glucose metabolism have also been proposed to play a role in HFpEF onset and progression due to overlap in the HFpEF population with diabetes and obesity. One model is focused on a systemic inflammatory state leading to endothelial dysfunction, causing the hallmark pathophysiology associated with HFpEF. Key aspects of HFpEF disease biology include oxidative stress and inflammation, increased fibrosis, CM stiffness and hypertrophy, all resulting in diastolic dysfunction and decreased ability of the heart to fill its chambers during contraction.</w:t>
      </w:r>
    </w:p>
    <w:p>
      <w:pPr>
        <w:spacing w:after="0" w:line="188"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the literature, HDAC6 has been associated with several of these potential HFpEF mechanisms, including glucose metabolism, inflammation / oxidative stress, fibrosis, muscle stiffness and hypertrophy, and diastolic dysfunction, suggesting a multi-modal mechanism of action that may address multiple aspects of disease.</w:t>
      </w:r>
    </w:p>
    <w:p>
      <w:pPr>
        <w:spacing w:after="0" w:line="89" w:lineRule="exact"/>
        <w:rPr>
          <w:sz w:val="20"/>
          <w:szCs w:val="20"/>
          <w:color w:val="auto"/>
        </w:rPr>
      </w:pPr>
    </w:p>
    <w:p>
      <w:pPr>
        <w:ind w:left="1080" w:right="180" w:hanging="532"/>
        <w:spacing w:after="0" w:line="275"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Glucose metabolism: </w:t>
      </w:r>
      <w:r>
        <w:rPr>
          <w:rFonts w:ascii="Arial" w:cs="Arial" w:eastAsia="Arial" w:hAnsi="Arial"/>
          <w:sz w:val="17"/>
          <w:szCs w:val="17"/>
          <w:color w:val="auto"/>
        </w:rPr>
        <w:t>In a published study, HDAC6 KO mice had a significant improvement in dexamethasone-induced whole-body</w:t>
      </w:r>
      <w:r>
        <w:rPr>
          <w:rFonts w:ascii="Arial" w:cs="Arial" w:eastAsia="Arial" w:hAnsi="Arial"/>
          <w:sz w:val="17"/>
          <w:szCs w:val="17"/>
          <w:i w:val="1"/>
          <w:iCs w:val="1"/>
          <w:color w:val="auto"/>
        </w:rPr>
        <w:t xml:space="preserve"> </w:t>
      </w:r>
      <w:r>
        <w:rPr>
          <w:rFonts w:ascii="Arial" w:cs="Arial" w:eastAsia="Arial" w:hAnsi="Arial"/>
          <w:sz w:val="17"/>
          <w:szCs w:val="17"/>
          <w:color w:val="auto"/>
        </w:rPr>
        <w:t>glucose intolerance and insulin resistance compared to wildtype mice, suggesting that HDAC6 may be an important regulator of gluconeogenesis and glucose metabolism. Treatment with our lead HDAC6 inhibitors is also associated with an improvement in glucose tolerance in HFpEF models. The study of glucose metabolism and other bioenergetic pathways has been an active area of research and clinical investigation in HFpEF due to frequent diabetes and obesity comorbidities.</w:t>
      </w:r>
    </w:p>
    <w:p>
      <w:pPr>
        <w:spacing w:after="0" w:line="81" w:lineRule="exact"/>
        <w:rPr>
          <w:rFonts w:ascii="Arial" w:cs="Arial" w:eastAsia="Arial" w:hAnsi="Arial"/>
          <w:sz w:val="17"/>
          <w:szCs w:val="17"/>
          <w:color w:val="auto"/>
        </w:rPr>
      </w:pPr>
    </w:p>
    <w:p>
      <w:pPr>
        <w:ind w:left="1080" w:right="40" w:hanging="532"/>
        <w:spacing w:after="0" w:line="263"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Inflammation / Oxidative stress: </w:t>
      </w:r>
      <w:r>
        <w:rPr>
          <w:rFonts w:ascii="Arial" w:cs="Arial" w:eastAsia="Arial" w:hAnsi="Arial"/>
          <w:sz w:val="18"/>
          <w:szCs w:val="18"/>
          <w:color w:val="auto"/>
        </w:rPr>
        <w:t>Scientific literature has linked inhibition of HDAC6 with inflammasome biology and enhancement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T cell activity. In our preclinical studies, our lead compounds have also demonstrated improvement in inflammatory markers in a model of DCM.</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In published studies, HDAC6 inhibition by siRNA or partially selective inhibitors attenuates myofibroblast markers and HDAC6</w:t>
      </w:r>
      <w:r>
        <w:rPr>
          <w:rFonts w:ascii="Arial" w:cs="Arial" w:eastAsia="Arial" w:hAnsi="Arial"/>
          <w:sz w:val="18"/>
          <w:szCs w:val="18"/>
          <w:i w:val="1"/>
          <w:iCs w:val="1"/>
          <w:color w:val="auto"/>
        </w:rPr>
        <w:t xml:space="preserve"> </w:t>
      </w:r>
      <w:r>
        <w:rPr>
          <w:rFonts w:ascii="Arial" w:cs="Arial" w:eastAsia="Arial" w:hAnsi="Arial"/>
          <w:sz w:val="18"/>
          <w:szCs w:val="18"/>
          <w:color w:val="auto"/>
        </w:rPr>
        <w:t>knockdown has been demonstrated to inhibit CF proliferation.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Muscle Stiffness: </w:t>
      </w:r>
      <w:r>
        <w:rPr>
          <w:rFonts w:ascii="Arial" w:cs="Arial" w:eastAsia="Arial" w:hAnsi="Arial"/>
          <w:sz w:val="18"/>
          <w:szCs w:val="18"/>
          <w:color w:val="auto"/>
        </w:rPr>
        <w:t>Pan-HDAC inhibitors improve diastolic dysfunction in mouse and feline models of HFpEF in a manner that correlates</w:t>
      </w:r>
      <w:r>
        <w:rPr>
          <w:rFonts w:ascii="Arial" w:cs="Arial" w:eastAsia="Arial" w:hAnsi="Arial"/>
          <w:sz w:val="18"/>
          <w:szCs w:val="18"/>
          <w:i w:val="1"/>
          <w:iCs w:val="1"/>
          <w:color w:val="auto"/>
        </w:rPr>
        <w:t xml:space="preserve"> </w:t>
      </w:r>
      <w:r>
        <w:rPr>
          <w:rFonts w:ascii="Arial" w:cs="Arial" w:eastAsia="Arial" w:hAnsi="Arial"/>
          <w:sz w:val="18"/>
          <w:szCs w:val="18"/>
          <w:color w:val="auto"/>
        </w:rPr>
        <w:t>with myofibril relaxation. In a published study, isolated cardiac myofibrils from HDAC6 KO mice exhibited an increase in calcium-activated force generation in response to angiotensin II, suggesting that the protein may function to regulate contractile strength by deacetylating sarcomeric proteins.</w:t>
      </w:r>
    </w:p>
    <w:p>
      <w:pPr>
        <w:spacing w:after="0" w:line="92" w:lineRule="exact"/>
        <w:rPr>
          <w:rFonts w:ascii="Arial" w:cs="Arial" w:eastAsia="Arial" w:hAnsi="Arial"/>
          <w:sz w:val="18"/>
          <w:szCs w:val="18"/>
          <w:color w:val="auto"/>
        </w:rPr>
      </w:pPr>
    </w:p>
    <w:p>
      <w:pPr>
        <w:ind w:left="1080" w:right="200" w:hanging="532"/>
        <w:spacing w:after="0" w:line="311"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Hypertrophy: </w:t>
      </w:r>
      <w:r>
        <w:rPr>
          <w:rFonts w:ascii="Arial" w:cs="Arial" w:eastAsia="Arial" w:hAnsi="Arial"/>
          <w:sz w:val="16"/>
          <w:szCs w:val="16"/>
          <w:color w:val="auto"/>
        </w:rPr>
        <w:t>HDAC inhibitors can prevent cardiac hypertrophy in animal models in response to various hypertrophic stimuli. In a</w:t>
      </w:r>
      <w:r>
        <w:rPr>
          <w:rFonts w:ascii="Arial" w:cs="Arial" w:eastAsia="Arial" w:hAnsi="Arial"/>
          <w:sz w:val="16"/>
          <w:szCs w:val="16"/>
          <w:i w:val="1"/>
          <w:iCs w:val="1"/>
          <w:color w:val="auto"/>
        </w:rPr>
        <w:t xml:space="preserve"> </w:t>
      </w:r>
      <w:r>
        <w:rPr>
          <w:rFonts w:ascii="Arial" w:cs="Arial" w:eastAsia="Arial" w:hAnsi="Arial"/>
          <w:sz w:val="16"/>
          <w:szCs w:val="16"/>
          <w:color w:val="auto"/>
        </w:rPr>
        <w:t>published study, HDAC inhibition suppressed cardiac hypertrophy and fibrosis in a model of hypertension through regulation of HDAC6/HDAC8 enzyme activity, suggesting that a novel HDAC6 inhibitor may help treat or prevent pathological cardiac hypertrophy.</w:t>
      </w:r>
    </w:p>
    <w:p>
      <w:pPr>
        <w:spacing w:after="0" w:line="54"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Diastolic dysfunction: </w:t>
      </w:r>
      <w:r>
        <w:rPr>
          <w:rFonts w:ascii="Arial" w:cs="Arial" w:eastAsia="Arial" w:hAnsi="Arial"/>
          <w:sz w:val="18"/>
          <w:szCs w:val="18"/>
          <w:color w:val="auto"/>
        </w:rPr>
        <w:t>In a published study, pan-HDAC inhibitors improved diastolic dysfunction in two distinct murine models of HFpEF</w:t>
      </w:r>
      <w:r>
        <w:rPr>
          <w:rFonts w:ascii="Arial" w:cs="Arial" w:eastAsia="Arial" w:hAnsi="Arial"/>
          <w:sz w:val="18"/>
          <w:szCs w:val="18"/>
          <w:i w:val="1"/>
          <w:iCs w:val="1"/>
          <w:color w:val="auto"/>
        </w:rPr>
        <w:t xml:space="preserve"> </w:t>
      </w:r>
      <w:r>
        <w:rPr>
          <w:rFonts w:ascii="Arial" w:cs="Arial" w:eastAsia="Arial" w:hAnsi="Arial"/>
          <w:sz w:val="18"/>
          <w:szCs w:val="18"/>
          <w:color w:val="auto"/>
        </w:rPr>
        <w:t>and HDAC inhibition and improved cardiopulmonary function in a feline model of diastolic dysfunction.</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schematic below shows a conceptual model of HFpEF disease biology highlighting key aspects (the yellow boxes in the figure below) for which there are external and internal data supporting the potential utility of HDAC6i.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133985</wp:posOffset>
            </wp:positionV>
            <wp:extent cx="5186045" cy="38919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86045"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HDAC6 Inhibitors: Preclinical Studies in gDCM</w:t>
      </w:r>
    </w:p>
    <w:p>
      <w:pPr>
        <w:spacing w:after="0" w:line="117"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 xml:space="preserve">Through our target identification Precision Medicine platform, HDAC6 was initially identified as a target for a genetically defined subset of DCM, BAG3 mutant DCM. We screened a large chemical library to identify compounds able to reverse sarcomere defects in BAG3-deficient iPSC-CMs. Sarcomere defects were rapidly and systemically assessed through our proprietary machine learning algorithms. Whereas a pan-HDAC inhibitor was identified in the initial compound screen as reversing sarcomere defects, we conducted follow-up screens using RNAi knockdowns of HDAC family members to identify HDAC6 as a potential therapeutic target </w:t>
      </w:r>
      <w:r>
        <w:rPr>
          <w:rFonts w:ascii="Arial" w:cs="Arial" w:eastAsia="Arial" w:hAnsi="Arial"/>
          <w:sz w:val="17"/>
          <w:szCs w:val="17"/>
          <w:i w:val="1"/>
          <w:iCs w:val="1"/>
          <w:color w:val="auto"/>
        </w:rPr>
        <w:t>in vitro</w:t>
      </w:r>
      <w:r>
        <w:rPr>
          <w:rFonts w:ascii="Arial" w:cs="Arial" w:eastAsia="Arial" w:hAnsi="Arial"/>
          <w:sz w:val="17"/>
          <w:szCs w:val="17"/>
          <w:color w:val="auto"/>
        </w:rPr>
        <w:t>.</w:t>
      </w:r>
    </w:p>
    <w:p>
      <w:pPr>
        <w:spacing w:after="0" w:line="17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We have validated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findings by testing our HDAC6i compounds in BAG3 mutant mice models. As shown in the figure below, treatment of a rapidly worsening mouse model of BAG3 mutant DCM with TYA-11018 resulted in a greater than 20% improvement in EF after eight weeks of treatment compared to a control group treated with vehicle.</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Significant and Durable Improvement in Ejection Fraction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Severe BAG3 Mutant DCM Mouse Model</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Treated with TYA-11018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160020</wp:posOffset>
            </wp:positionV>
            <wp:extent cx="3669030" cy="1817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6903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HDAC6 Inhibitors: Potential Mechanism of Action in DCM</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contrast to other HDAC proteins, HDAC6 is a tubulin deacetylase. When HDAC6 is inhibited, tubulin acetylation is promoted, leading to increased microtubule stability. Increased microtubule stability has been linked to an increase in assembly of vesicles called autophagosomes which are involved in the clearance of aggregated and misfolded proteins in diseased cells. In the diseased heart, one potential mechanism of action for HDAC6 inhibition is promoting autophagy, driving a clearance of aggregated proteins in the heart, and thus restoring normal cellular function and structure. Protein aggregation is characteristic of some forms of DCM and have been linked to cardiomyocyte and cardiac dysfunction. The BAG3 mutant DCM patient population may be particularly sensitive to this mechanism of action for HDAC6 inhibition. BAG3 facilitates autophagy as a co-chaperone protein with heat shock proteins and mutation in BAG3 may lead to potentially defective autophagy in the heart.</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20"/>
          </w:cols>
          <w:pgMar w:left="320" w:top="459" w:right="5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schematic below shows promotion of autophagy as a potential mechanism of action for HDAC6 inhibition in DCM.</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Mechanism for HDAC6i Inhibition to Promote Autophagy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171450</wp:posOffset>
            </wp:positionV>
            <wp:extent cx="1894205" cy="18002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9420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 xml:space="preserve">The role of HDAC6 inhibition in the promotion of autophagy is supported by biomarker analyses in TYA-11018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studies in the BAG3 DCM mouse model. As shown in the figure below, one autophagy marker, LC3, increases in correlation with functional measures such as EF in efficacy studies, suggestive of the potential role of autophagy as a mechanism of action for HDAC6 inhibition in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130810</wp:posOffset>
            </wp:positionV>
            <wp:extent cx="3265805" cy="19291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6580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TYA-11631: Planned Clinical Development</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We plan to submit an IND to the FDA in and, if approved, initiate first-in-human safety studies in healthy volunteers before initiating proof-of-concept studies in HFpEF and patient populations with gDCM.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Pipeline Expansion Opportunities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the versatility of our three product platforms and our related differentiated capabilities enables us to rapidly expand our portfolio beyond the initial areas of focus. In addition to the named programs in our current pipeline, there are several programs emerging from each of our platforms that are intended to address rare genetic cardiomyopathies as well as more prevalent forms of heart disease. We continue to research, discover and evaluate new programs arising from our three product platforms. We also continue to explore opportunities to collaborate with leading academic and biopharmaceutical organizations with complementary science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capabilities that share our bold vision for the development of next-generation therapies to benefit individuals and families fighting heart disease.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 Party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License Agreement with The Board of Regents of the University of Texas System on behalf of UTSW</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licensed intellectual property from UTSW in a license agreement effective January 10, 2020. We entered into the license agreement with The Board of Regents of the University of Texas System on behalf of UTSW for a worldwide license to develop and commercialize products covered by the UTSW-licensed intellectual property relating to therapeutics overexpressing the peptide named DWORF for all uses. Our license under the license agreement is exclusive with respect to the UTSW patent rights licensed thereunder and non-exclusive with respect to the UTSW tangible materials provided thereunder.</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Under the license agreement, we are obligated to make milestone payments to UTSW aggregating up to $2.75 million upon the achievement of specified development and regulatory approval milestones and up to $12 million upon the achievement of specified sales milestones, in each case, for products covered by the UTSW licensed patent rights. We are also obligated to pay single-digit royalties to UTSW based on net sales by us or our affiliates and sublicensees of products covered by the UTSW licensed patent rights. In addition, in the event we grant a sublicense or an option to obtain a sublicense under the UTSW licensed patent rights, we are obligated to pay UTSW a specified portion of the income we receive therefrom. Further, in the event we undergo a change of control, we may be obligated to make a payment to UTSW of up to $3 million.</w:t>
      </w:r>
    </w:p>
    <w:p>
      <w:pPr>
        <w:spacing w:after="0" w:line="16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Our royalty obligations with respect to each product covered by UTSW licensed patent rights in a country extend until the latest of expiration of the last-to-expire patent claim licensed from UTSW covering the product in the country, the exclusivity term covering the product in the country and a specified number of years after the first commercial sale of the product in the country.</w:t>
      </w:r>
    </w:p>
    <w:p>
      <w:pPr>
        <w:spacing w:after="0" w:line="184" w:lineRule="exact"/>
        <w:rPr>
          <w:sz w:val="20"/>
          <w:szCs w:val="20"/>
          <w:color w:val="auto"/>
        </w:rPr>
      </w:pPr>
    </w:p>
    <w:p>
      <w:pPr>
        <w:jc w:val="both"/>
        <w:ind w:left="120" w:right="180" w:firstLine="440"/>
        <w:spacing w:after="0" w:line="342" w:lineRule="auto"/>
        <w:rPr>
          <w:sz w:val="20"/>
          <w:szCs w:val="20"/>
          <w:color w:val="auto"/>
        </w:rPr>
      </w:pPr>
      <w:r>
        <w:rPr>
          <w:rFonts w:ascii="Arial" w:cs="Arial" w:eastAsia="Arial" w:hAnsi="Arial"/>
          <w:sz w:val="16"/>
          <w:szCs w:val="16"/>
          <w:color w:val="auto"/>
        </w:rPr>
        <w:t>Under the license agreement, we are obligated to use a certain level of effort to develop and commercialize one or more products covered by the UTSW licensed patent rights and to achieve certain development or regulatory approval milestones within set times, subject to certain extensions.</w:t>
      </w:r>
    </w:p>
    <w:p>
      <w:pPr>
        <w:spacing w:after="0" w:line="12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UTSW has the right to terminate the license agreement for our uncured material breach of the license agreement, including if we fail to use a certain level of effort to achieve specified development or regulatory approval milestones within specified timeframes, or if we unsuccessfully challenge the validity of the UTSW licensed patent rights or for certain events related to our bankruptcy. We have the right to terminate the agreement at any time.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intellectual property. We believe our three product platforms, scientific know-how, five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and that may be developed in the future.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Due to the depth and diversity of our pipeline, we may face competition from a variety of companies, including:</w:t>
      </w:r>
    </w:p>
    <w:p>
      <w:pPr>
        <w:spacing w:after="0" w:line="127" w:lineRule="exact"/>
        <w:rPr>
          <w:sz w:val="20"/>
          <w:szCs w:val="20"/>
          <w:color w:val="auto"/>
        </w:rPr>
      </w:pPr>
    </w:p>
    <w:p>
      <w:pPr>
        <w:ind w:left="1080" w:right="500" w:hanging="532"/>
        <w:spacing w:after="0" w:line="282"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General cardiovascular drug development: </w:t>
      </w:r>
      <w:r>
        <w:rPr>
          <w:rFonts w:ascii="Arial" w:cs="Arial" w:eastAsia="Arial" w:hAnsi="Arial"/>
          <w:sz w:val="18"/>
          <w:szCs w:val="18"/>
          <w:color w:val="auto"/>
        </w:rPr>
        <w:t>Companies known to have approved products and active drug development efforts for</w:t>
      </w:r>
      <w:r>
        <w:rPr>
          <w:rFonts w:ascii="Arial" w:cs="Arial" w:eastAsia="Arial" w:hAnsi="Arial"/>
          <w:sz w:val="18"/>
          <w:szCs w:val="18"/>
          <w:b w:val="1"/>
          <w:bCs w:val="1"/>
          <w:color w:val="auto"/>
        </w:rPr>
        <w:t xml:space="preserve"> </w:t>
      </w:r>
      <w:r>
        <w:rPr>
          <w:rFonts w:ascii="Arial" w:cs="Arial" w:eastAsia="Arial" w:hAnsi="Arial"/>
          <w:sz w:val="18"/>
          <w:szCs w:val="18"/>
          <w:color w:val="auto"/>
        </w:rPr>
        <w:t>cardiovascular disease include but are not limited to AstraZeneca, Bayer,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Bristol Myers Squibb, Cytokinetics, Eli Lilly, Johnson &amp; Johnson/Janssen, Maze Therapeutics, Merck, Novartis, and Novo Nordisk;</w:t>
      </w:r>
    </w:p>
    <w:p>
      <w:pPr>
        <w:spacing w:after="0" w:line="138" w:lineRule="exact"/>
        <w:rPr>
          <w:sz w:val="20"/>
          <w:szCs w:val="20"/>
          <w:color w:val="auto"/>
        </w:rPr>
      </w:pPr>
    </w:p>
    <w:p>
      <w:pPr>
        <w:ind w:left="1080" w:right="80" w:hanging="532"/>
        <w:spacing w:after="0" w:line="266"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Gene Therapy platform: </w:t>
      </w:r>
      <w:r>
        <w:rPr>
          <w:rFonts w:ascii="Arial" w:cs="Arial" w:eastAsia="Arial" w:hAnsi="Arial"/>
          <w:sz w:val="18"/>
          <w:szCs w:val="18"/>
          <w:color w:val="auto"/>
        </w:rPr>
        <w:t>Companies known to be pursuing gene therapy approaches for the heart include but are not limited to 4D</w:t>
      </w:r>
      <w:r>
        <w:rPr>
          <w:rFonts w:ascii="Arial" w:cs="Arial" w:eastAsia="Arial" w:hAnsi="Arial"/>
          <w:sz w:val="18"/>
          <w:szCs w:val="18"/>
          <w:b w:val="1"/>
          <w:bCs w:val="1"/>
          <w:color w:val="auto"/>
        </w:rPr>
        <w:t xml:space="preserve"> </w:t>
      </w:r>
      <w:r>
        <w:rPr>
          <w:rFonts w:ascii="Arial" w:cs="Arial" w:eastAsia="Arial" w:hAnsi="Arial"/>
          <w:sz w:val="18"/>
          <w:szCs w:val="18"/>
          <w:color w:val="auto"/>
        </w:rPr>
        <w:t>Molecular Therapeutics, Bayer, Bristol Myers Squibb, BioMarin Pharmaceutical, DiNAQOR, Precigen, Renova Therapeutics, Renovacor, Rocket Pharmaceuticals, Sardicor, Stride Bio, and uniQure;</w:t>
      </w:r>
    </w:p>
    <w:p>
      <w:pPr>
        <w:spacing w:after="0" w:line="81" w:lineRule="exact"/>
        <w:rPr>
          <w:rFonts w:ascii="Arial" w:cs="Arial" w:eastAsia="Arial" w:hAnsi="Arial"/>
          <w:sz w:val="18"/>
          <w:szCs w:val="18"/>
          <w:color w:val="auto"/>
        </w:rPr>
      </w:pPr>
    </w:p>
    <w:p>
      <w:pPr>
        <w:ind w:left="1080" w:right="120" w:hanging="532"/>
        <w:spacing w:after="0" w:line="266"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Cellular Regeneration platform: </w:t>
      </w:r>
      <w:r>
        <w:rPr>
          <w:rFonts w:ascii="Arial" w:cs="Arial" w:eastAsia="Arial" w:hAnsi="Arial"/>
          <w:sz w:val="18"/>
          <w:szCs w:val="18"/>
          <w:color w:val="auto"/>
        </w:rPr>
        <w:t>Companies known to be pursuing approaches to cellular regeneration for the heart include but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AstraZeneca, Bayer, BioCardia, Cardior Pharmaceuticals, Jaan Biotherapeutics, Khloris Biosciences, Mesoblast, Mogrify, Sana Biotechnologies and Xylocor Therapeutics; and</w:t>
      </w:r>
    </w:p>
    <w:p>
      <w:pPr>
        <w:spacing w:after="0" w:line="81" w:lineRule="exact"/>
        <w:rPr>
          <w:rFonts w:ascii="Arial" w:cs="Arial" w:eastAsia="Arial" w:hAnsi="Arial"/>
          <w:sz w:val="18"/>
          <w:szCs w:val="18"/>
          <w:color w:val="auto"/>
        </w:rPr>
      </w:pPr>
    </w:p>
    <w:p>
      <w:pPr>
        <w:ind w:left="1080" w:hanging="532"/>
        <w:spacing w:after="0" w:line="282"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Precision Medicine platform: </w:t>
      </w:r>
      <w:r>
        <w:rPr>
          <w:rFonts w:ascii="Arial" w:cs="Arial" w:eastAsia="Arial" w:hAnsi="Arial"/>
          <w:sz w:val="18"/>
          <w:szCs w:val="18"/>
          <w:color w:val="auto"/>
        </w:rPr>
        <w:t>Companies known to be pursuing approaches to drug discovery for the heart using disease models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iPSC-CMs include but are not limited to DiNAQOR and Tara Biosystems.</w:t>
      </w:r>
    </w:p>
    <w:p>
      <w:pPr>
        <w:spacing w:after="0" w:line="166"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cannot predict whether other therapies may be developed that demonstrate greater efficacy, and we may have direct and substantial competition from such therapies in the future. We expect to face increasing competition as new, more effective treatments enter the market and further advancements in technologies are made. We expect market adoption of any treatments that we develop and commercialize to be dependent on, among other things, efficacy, safety, delivery, price and the availability of reimbursement from government and other third-party payors.</w:t>
      </w:r>
    </w:p>
    <w:p>
      <w:pPr>
        <w:spacing w:after="0" w:line="15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product candidates.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 candidates, technology and know-how, to operate without infringing, misappropriating or otherwise violating the intellectual property or other the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employee disclosure and invention assignment agreements. Our policy is to seek to protect our proprietary position by, among other methods, pursuing patent applications in the United States and in certain jurisdictions outside of the United States related to our proprietary technology, inventions, improvements and product candidates that are important to the development and implementation of our business. Our patent portfolio is intended to cover our product candidates and components thereof, their methods of use and processes for their manufacture, our proprietary reagents and assays and any other inventions that are commercially important to our business. The development of our product candidates and technology is at an early stage and consequently, our patent portfolio is also at an early stage. For example, although we exclusively in-license one issued patent from UTSW related to our DWORF program, we do not currently own or license any other issued patents relating to any of our product candidates and technology and many of our and our licensors’ patent applications are either at the provisional stage or at an early stage in prosecution. We cannot be sure that any patents will be granted with respect to any of our pending patent applications or with respect to any patent applications filed by us in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future, nor can we be sure that any patents that may be granted to us in the future will be commercially useful in protecting our technology and product candidates.</w:t>
      </w:r>
    </w:p>
    <w:p>
      <w:pPr>
        <w:spacing w:after="0" w:line="170"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 advanced programs as well as vector technologies widely applicable to potential AAV therapies.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64"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Our owned and exclusively licensed patent portfolio covers various aspects of our programs and technology, including our small-molecule compounds, gene delivery vectors, and gene therapy programs. Further details on certain segments of our patent portfolio are included below.</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i w:val="1"/>
          <w:iCs w:val="1"/>
          <w:color w:val="auto"/>
        </w:rPr>
        <w:t>MYBPC3</w:t>
      </w:r>
      <w:r>
        <w:rPr>
          <w:rFonts w:ascii="Arial" w:cs="Arial" w:eastAsia="Arial" w:hAnsi="Arial"/>
          <w:sz w:val="16"/>
          <w:szCs w:val="16"/>
          <w:color w:val="auto"/>
        </w:rPr>
        <w:t>: With regard to our MYBPC3 program, as of April 15, 2021, we solely own two pending Patent Cooperation Treaty (PCT) patent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applications and one pending U.S. patent application. Any U.S. or foreign patents issued from national stage filings of the PCT patent applications are expected to expire in 2041, assuming payment of all appropriate maintenance, renewal, annuity or other governmental fees and that national phase entries are timely made based upon the pending PCT applications, and without taking potential patent term extensions or adjustments into account. The pending U.S. provisional patent applications cover various aspects of our MYBPC3 lead products, including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expression vectors, recombinant AAV (rAAV) virions, rAAV viral genomes, expression cassettes, and methods of using such compositions for therapeutic indications.</w:t>
      </w:r>
    </w:p>
    <w:p>
      <w:pPr>
        <w:spacing w:after="0" w:line="16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DWORF</w:t>
      </w:r>
      <w:r>
        <w:rPr>
          <w:rFonts w:ascii="Arial" w:cs="Arial" w:eastAsia="Arial" w:hAnsi="Arial"/>
          <w:sz w:val="16"/>
          <w:szCs w:val="16"/>
          <w:color w:val="auto"/>
        </w:rPr>
        <w:t>: With regard to our DWORF program, as of April 15, 2021, we exclusively license one U.S. patent and one pending U.S. patent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from UTSW (the UT Patents). The U.S. patent is expected to expire, and the pending U.S. patent application, if issued, is expected to expire, in 2037, assuming payment of all appropriate maintenance, renewal, annuity or other governmental fees and without taking potential patent term extensions or adjustments into account. The UT Patents covers methods of enhancing activity of the SERCA pump using the DWORF peptide and using such methods to treat heart disease. Furthermore, we solely own a pending U.S. provisional patent application related to proprietary vectors and methods of use. Patents claiming priority to this U.S. provisional patent application, if issued, are expected to expire in 2041, assuming payment of all appropriate maintenance, renewal, annuity or other governmental fees, and without taking potential patent term extensions or adjustments into account.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Cellular Regeneration Platform</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With respect to our Cellular Regeneration platform, as of April 15, 2021, we solely own three patent families directed to product candidates in our Reprogramming program, including two pending PCT patent applications, two pending U.S. patent applications, and nine foreign counterparts of these patent applications. Any U.S. or foreign patents issued from national stage filings of the PCT patent applications are expected to expire between 2039 and 2041, assuming payment of all appropriate maintenance, renewal, annuity or other governmental fees and that national phase entries are timely made based upon the pending PCT applications, and without taking potential patent term extensions or adjustments into account. The three patent families cover various aspects of our Reprogramming program, including gene delivery vectors, methods of treating a heart condition, engineered myocardin proteins, vectors encoding engineered myocardins, and methods of use. Additionally, we solely own a fourth patent family that is directed to AAV-based gene vectors for cardiac cell transduction, with one pending international PCT patent application. Any U.S. or foreign patents issued from</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national stage filings of this PCT patent application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Precision Medicine Platform</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With regard to our HDA6i program, as of April 15, 2021, we solely own two pending PCT patent applications. Any U.S. or foreign patents issued from national stage filings of these PCT patent applications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 Our patent applications cover our lead HDAC6i compounds and various analogs.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lead products as well as vector technologies widely applicable to potential AAV products.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However, we cannot guarantee that we have entered into such agreements with each party that has or may have had access to our trade secrets or proprietary information or has been involved in the development of intellectual property. Additionally, these agreements may be breached and we may not have adequate remedies for any breach. Furthermore, third parties may independently develop substantially equivalent proprietary information and techniques or otherwise gain access to our trade secrets or disclose our technology. As a result, we may not be able to meaningfully protect our trade secrets. We also seek to preserve the integrity and confidentiality of our data and trade secrets by maintaining physical security of our premises and physical and electronic security of our information technology systems. However, such security measures may be breached and we may not have adequate remedies for such breaches.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more information regarding the risks related to our intellectual property, see “Risk Factors—Risks Related to Our Intellectual Property.”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rely on both our internal manufacturing capabilities and external CDMOs for our programs.</w:t>
      </w:r>
    </w:p>
    <w:p>
      <w:pPr>
        <w:spacing w:after="0" w:line="22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efficacy, pharmacology and toxicology studies. This facility is compliant with Good Laboratory Practice (GLP) regulations and can produce materials sufficient for large animal studies including pigs and NHPs. Our initial production at this scale has been at yields and with full to empty capsid ratios that compare favorably to industry standards.</w:t>
      </w:r>
    </w:p>
    <w:p>
      <w:pPr>
        <w:spacing w:after="0" w:line="18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have initiated construction of a dedicated approximately 94,000 square-foot cGMP facility for drug product manufacturing in the San Francisco Bay Area that we expect will be operational by the end of 2021. The facility will initially produce drug product at the 1000L scale to support first-in-human studies for our MYBPC3 Gene Therapy program. The facility will use a modular pod design that will support scale-out and scale-up of manufacturing capacity in response to evolving needs.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our internal cGMP manufacturing capabilities, we have also negotiated and entered into master service agreements with two CDMOs for additional capacity and risk mitigation. Additionally, we will rely on third parties for certain manufacturing related release assays, for which we intend to secure dual-sourced capacity for risk mitigation.</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To optimize our use of resources and utilize extensive experience in small molecule manufacturing, we intend to work with CDMOs for our small molecule programs.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Biologic and Small Molecule Drug Product Development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United States,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8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Biologics must be licensed by the FDA through a biologics license application (BLA), and small molecule products must be approved by the FDA through a new drug application (NDA), before they may be legally marketed in the United States. The process generally involves the following:</w:t>
      </w:r>
    </w:p>
    <w:p>
      <w:pPr>
        <w:spacing w:after="0" w:line="29" w:lineRule="exact"/>
        <w:rPr>
          <w:sz w:val="20"/>
          <w:szCs w:val="20"/>
          <w:color w:val="auto"/>
        </w:rPr>
      </w:pPr>
    </w:p>
    <w:p>
      <w:pPr>
        <w:ind w:left="1080" w:right="380" w:hanging="532"/>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(GLP)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trial site before each trial may be initiated;</w:t>
      </w:r>
    </w:p>
    <w:p>
      <w:pPr>
        <w:spacing w:after="0" w:line="75"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(GCP) requirements and other clinical trial-related regulations to establish the safety and potency or efficacy of the investigational product for each proposed indication;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Submission to the FDA of a BLA or NDA;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or NDA to accept the filing for review;</w:t>
      </w:r>
    </w:p>
    <w:p>
      <w:pPr>
        <w:spacing w:after="0" w:line="130"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quality controls, or the small molecule product’s identity, chemistry, and quality controls;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BLA or NDA;</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Satisfactory completion of other studies required by the FDA, including immunogenicity, carcinogenicity, genotoxicity, and stability studies;</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FDA review and approval of the BLA or NDA, including consideration of the views of any FDA advisory committee, prior to any commercial marketing or sale of the biologic or small molecular therapeutic in the United States;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Preclinical studies include laboratory evaluation of product biochemistry, formulation and stability,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potential for toxicity and to establish a rationale for therapeutic use for 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54" w:lineRule="exact"/>
        <w:rPr>
          <w:sz w:val="20"/>
          <w:szCs w:val="20"/>
          <w:color w:val="auto"/>
        </w:rPr>
      </w:pPr>
    </w:p>
    <w:p>
      <w:pPr>
        <w:ind w:left="1080" w:right="300" w:hanging="532"/>
        <w:spacing w:after="0" w:line="263"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9"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9" w:lineRule="exact"/>
        <w:rPr>
          <w:rFonts w:ascii="Arial" w:cs="Arial" w:eastAsia="Arial" w:hAnsi="Arial"/>
          <w:sz w:val="18"/>
          <w:szCs w:val="18"/>
          <w:color w:val="auto"/>
        </w:rPr>
      </w:pPr>
    </w:p>
    <w:p>
      <w:pPr>
        <w:ind w:left="1080" w:right="20" w:hanging="532"/>
        <w:spacing w:after="0" w:line="279"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7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investigational product,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Further, as a result of the COVID-19 pandemic, the extent and length of which are uncertain, we will be required to develop and implement additional clinical trial policies and procedures designed to help protect trial participants from the COVID-19 virus, which may include using telemedicine visits and remote monitoring of patients and clinical sites. We will also need to ensure data from our clinical studies that may be disrupted as a result of the pandemic is collected pursuant to the trial protocol and is consistent with GCPs, with any material protocol deviation reviewed and approved by the site IRB. Patients who may miss scheduled appoints, any interruption in trial drug supply, or other consequence that may result in incomplete data being generated during a trial as a result of the pandemic must be adequately documented and justified. For example, on March 18, 2020, the FDA issued a guidance, as updated subsequently by the FDA, on conducting clinical trials during the pandemic. The guidance describes a number of considerations for sponsors of clinical trials impacted by the pandemic, including the requirement to include in the clinical trial report (or as a separate document) contingency measures implemented to manage the trial and any disruption of the trial as a result of COVID-19, among others. Other industry guidance issued by the FDA during the COVID-19 pandemic includes manufacturing, supply chain, and drug and biological product inspections during the COVID-19 public health emergency; GMP considerations for responding to COVID-19 infection in employees in biopharmaceutical manufacturing; and remote interactive evaluations of drug manufacturing and bioresearch monitoring facilities, among others. If new guidance and policies are promulgated by the FDA that require changes in our clinical protocol or clinical development plans, our anticipated timelines and regulatory approval may be delayed or materially impacted.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NDA and BLA Review Process</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19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Under the Prescription Drug User Fee Act (PDUFA), as amended, each BLA or NDA must be accompanied by a user fee. FDA adjusts the PDUFA user fees on an annual basis. According to the FDA’s FY 2021 fee schedule, effective through September 30, 2021, the user fee for an application requiring clinical data, such as a BLA or NDA, is approximately $2.9 million. PDUFA also imposes an annual program fee for each marketed human prescription drug product ($336,432 in 2021)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16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4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 restrictions as it deems necessary to assure safe use of the product. In some cases, FDA may limit the scope of the indication. Such restrictions could have a materially adverse effect on our business and our ability to obtain profitability.</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Biosimilars or Interchangeable Biosimilars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89" w:lineRule="exact"/>
        <w:rPr>
          <w:sz w:val="20"/>
          <w:szCs w:val="20"/>
          <w:color w:val="auto"/>
        </w:rPr>
      </w:pPr>
    </w:p>
    <w:p>
      <w:pPr>
        <w:ind w:left="1080" w:right="38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30" w:lineRule="exact"/>
        <w:rPr>
          <w:rFonts w:ascii="Arial" w:cs="Arial" w:eastAsia="Arial" w:hAnsi="Arial"/>
          <w:sz w:val="18"/>
          <w:szCs w:val="18"/>
          <w:color w:val="auto"/>
        </w:rPr>
      </w:pPr>
    </w:p>
    <w:p>
      <w:pPr>
        <w:ind w:left="1080" w:right="100" w:hanging="532"/>
        <w:spacing w:after="0" w:line="342"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an application must include information demonstrating that:</w:t>
      </w:r>
    </w:p>
    <w:p>
      <w:pPr>
        <w:spacing w:after="0" w:line="131" w:lineRule="exact"/>
        <w:rPr>
          <w:sz w:val="20"/>
          <w:szCs w:val="20"/>
          <w:color w:val="auto"/>
        </w:rPr>
      </w:pPr>
    </w:p>
    <w:p>
      <w:pPr>
        <w:ind w:left="1080" w:hanging="532"/>
        <w:spacing w:after="0" w:line="34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29" w:lineRule="exact"/>
        <w:rPr>
          <w:rFonts w:ascii="Arial" w:cs="Arial" w:eastAsia="Arial" w:hAnsi="Arial"/>
          <w:sz w:val="16"/>
          <w:szCs w:val="16"/>
          <w:color w:val="auto"/>
        </w:rPr>
      </w:pPr>
    </w:p>
    <w:p>
      <w:pPr>
        <w:ind w:left="1080" w:right="28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82"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30"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171" w:lineRule="exact"/>
        <w:rPr>
          <w:sz w:val="20"/>
          <w:szCs w:val="20"/>
          <w:color w:val="auto"/>
        </w:rPr>
      </w:pPr>
    </w:p>
    <w:p>
      <w:pPr>
        <w:jc w:val="both"/>
        <w:ind w:left="120" w:right="100" w:firstLine="440"/>
        <w:spacing w:after="0" w:line="257" w:lineRule="auto"/>
        <w:rPr>
          <w:sz w:val="20"/>
          <w:szCs w:val="20"/>
          <w:color w:val="auto"/>
        </w:rPr>
      </w:pPr>
      <w:r>
        <w:rPr>
          <w:rFonts w:ascii="Arial" w:cs="Arial" w:eastAsia="Arial" w:hAnsi="Arial"/>
          <w:sz w:val="18"/>
          <w:szCs w:val="18"/>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1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78"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Abbreviated NDA Pathway for Generic Drug Products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API, drug product formulation, specifications, stability, analytical methods, manufacturing process validation data, quality control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2"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Warning letters, or holds on post-approval 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Applications, or suspension or revocation of product license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FDA Regulation of Combination Biologic-Medical Device Products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frequently by different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5"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(QS), regulations applicable to medical devices.</w:t>
      </w:r>
    </w:p>
    <w:p>
      <w:pPr>
        <w:spacing w:after="0" w:line="192"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We may develop one or more of our biologic product candidates in combination with a novel delivery medical device, such as an injection catheter device for more precise delivery of a biologic product candidate.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64"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If a new medical device does not qualify for the 510(k) premarket notification process because no predicate device to which it is substantially equivalent can be identified, the device is automatically classified into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PMA approval process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(QSR), which imposes extensive testing, control, documentation, and other quality assurance and GMP requirements.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120" w:right="280" w:firstLine="440"/>
        <w:spacing w:after="0" w:line="273"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78"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changes to our manufacturing arrangements; additions or modifications to product labeling; the recall or discontinuation of our products; or additional record-keeping requirements. If any such changes were to be imposed, they could adversely affect the operation of our business.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Data Privacy and Security Laws</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In the United States, there are a broad variety of laws, rules, regulations and standards relating to privacy, data protection and information security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“Risk Factors— 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17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6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166"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European Union will be identical. In the meantime, Clinical Trials Directive 2001/20/EC continues to govern all clinical trials performed in the European Union.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 Drug Review and Approval</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89" w:lineRule="exact"/>
        <w:rPr>
          <w:sz w:val="20"/>
          <w:szCs w:val="20"/>
          <w:color w:val="auto"/>
        </w:rPr>
      </w:pPr>
    </w:p>
    <w:p>
      <w:pPr>
        <w:ind w:left="1080" w:right="20" w:hanging="532"/>
        <w:spacing w:after="0" w:line="271"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Community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83" w:lineRule="exact"/>
        <w:rPr>
          <w:rFonts w:ascii="Arial" w:cs="Arial" w:eastAsia="Arial" w:hAnsi="Arial"/>
          <w:sz w:val="17"/>
          <w:szCs w:val="17"/>
          <w:color w:val="auto"/>
        </w:rPr>
      </w:pPr>
    </w:p>
    <w:p>
      <w:pPr>
        <w:ind w:left="1080" w:hanging="532"/>
        <w:spacing w:after="0" w:line="269"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Data Privacy and Security Laws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Outside of the United States, legal requirements relating to the collection, storage, processing, and transfer of personal data continue to evolve. For example, in the EU, the GDPR requires data controllers to implement more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and regulations in the EU, including those of EU member states, relating to privacy and data protection. We are also subject to the UK GDPR, a version of the GDPR as implemented into UK law. If our efforts to comply with GDPR or other applicable foreign laws, rules and regulations are not successful, or are perceived to be unsuccessful, it could adversely affect our business. For more information, see “Risk Factors—Risks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9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19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CMS has proposed to expand Medicaid rebate liability to the territories of the United States as well.</w:t>
      </w:r>
    </w:p>
    <w:p>
      <w:pPr>
        <w:spacing w:after="0" w:line="15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9"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65" w:lineRule="exact"/>
        <w:rPr>
          <w:sz w:val="20"/>
          <w:szCs w:val="20"/>
          <w:color w:val="auto"/>
        </w:rPr>
      </w:pPr>
    </w:p>
    <w:p>
      <w:pPr>
        <w:jc w:val="both"/>
        <w:ind w:left="120" w:right="40" w:firstLine="440"/>
        <w:spacing w:after="0" w:line="275" w:lineRule="auto"/>
        <w:rPr>
          <w:sz w:val="20"/>
          <w:szCs w:val="20"/>
          <w:color w:val="auto"/>
        </w:rPr>
      </w:pPr>
      <w:r>
        <w:rPr>
          <w:rFonts w:ascii="Arial" w:cs="Arial" w:eastAsia="Arial" w:hAnsi="Arial"/>
          <w:sz w:val="17"/>
          <w:szCs w:val="17"/>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it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9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It is also possible that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additional governmental action will be taken to address the COVID-19 pandemic.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March 31, 2021, we had more than 75 full-time employees, with approximately 45 engaged in research and development activities and approximately 20 engaged in manufacturing activities. None of our employees are represented by a labor union or covered under a collective bargaining agreement. We consider our relationship with our employees to be good, in part as measured by relatively high scores from employees surveys and our relatively low turnover.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120" w:right="520" w:firstLine="440"/>
        <w:spacing w:after="0" w:line="286" w:lineRule="auto"/>
        <w:rPr>
          <w:sz w:val="20"/>
          <w:szCs w:val="20"/>
          <w:color w:val="auto"/>
        </w:rPr>
      </w:pPr>
      <w:r>
        <w:rPr>
          <w:rFonts w:ascii="Arial" w:cs="Arial" w:eastAsia="Arial" w:hAnsi="Arial"/>
          <w:sz w:val="17"/>
          <w:szCs w:val="17"/>
          <w:color w:val="auto"/>
        </w:rPr>
        <w:t>Our corporate headquarters are in South San Francisco, where we lease a facility containing approximately 32,370 square feet of office and laboratory space located at 171 Oyster Point Blvd., 5</w:t>
      </w:r>
      <w:r>
        <w:rPr>
          <w:rFonts w:ascii="Arial" w:cs="Arial" w:eastAsia="Arial" w:hAnsi="Arial"/>
          <w:sz w:val="14"/>
          <w:szCs w:val="14"/>
          <w:color w:val="auto"/>
        </w:rPr>
        <w:t>th</w:t>
      </w:r>
      <w:r>
        <w:rPr>
          <w:rFonts w:ascii="Arial" w:cs="Arial" w:eastAsia="Arial" w:hAnsi="Arial"/>
          <w:sz w:val="17"/>
          <w:szCs w:val="17"/>
          <w:color w:val="auto"/>
        </w:rPr>
        <w:t xml:space="preserve"> Floor, South San Francisco, CA 94080. The lease expires on May 31, 2025, unless earlier terminated in accordance with the lease, and we may renew the lease term for two additional five-year periods.</w:t>
      </w:r>
    </w:p>
    <w:p>
      <w:pPr>
        <w:spacing w:after="0" w:line="165"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We also have subleased space at another facility in South San Francisco containing approximately 24,000 square feet of additional office and laboratory space located at 131 Oyster Point Blvd, 4</w:t>
      </w:r>
      <w:r>
        <w:rPr>
          <w:rFonts w:ascii="Arial" w:cs="Arial" w:eastAsia="Arial" w:hAnsi="Arial"/>
          <w:sz w:val="15"/>
          <w:szCs w:val="15"/>
          <w:color w:val="auto"/>
        </w:rPr>
        <w:t>th</w:t>
      </w:r>
      <w:r>
        <w:rPr>
          <w:rFonts w:ascii="Arial" w:cs="Arial" w:eastAsia="Arial" w:hAnsi="Arial"/>
          <w:sz w:val="18"/>
          <w:szCs w:val="18"/>
          <w:color w:val="auto"/>
        </w:rPr>
        <w:t xml:space="preserve"> Floor, South San Francisco, CA 94080. The sublease expires on November 30, 2021, unless earlier terminated in accordance with the sublease.</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also have a leased space at a facility in Union City containing approximately 94,000 square feet of manufacturing and office space located at 33498 Central Avenue, Union City, CA 94587. The lease expires ten years and three months following the date the premises is delivered by the landlord in the required condition, unless earlier terminated in accordance with the lease. We may renew the lease term for one additional five-year period.</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believe that these existing facilities are adequate for our current needs and that suitable additional or alternative space will be available in the future on commercially reasonable terms, if required.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names and positions of our executive officers and directors and their ages as of March 31,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12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520" w:type="dxa"/>
            <w:vAlign w:val="bottom"/>
          </w:tcPr>
          <w:p>
            <w:pPr>
              <w:spacing w:after="0"/>
              <w:rPr>
                <w:sz w:val="14"/>
                <w:szCs w:val="14"/>
                <w:color w:val="auto"/>
              </w:rPr>
            </w:pPr>
          </w:p>
        </w:tc>
      </w:tr>
      <w:tr>
        <w:trPr>
          <w:trHeight w:val="209"/>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color w:val="auto"/>
              </w:rPr>
              <w:t>Faraz Ali</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r>
      <w:tr>
        <w:trPr>
          <w:trHeight w:val="67"/>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Charles Hoey,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Whittemore (Whit) Tingley, M.D., Ph.D.</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Chief Medical Officer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Eli Casdin</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Jin-Long Chen,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color w:val="auto"/>
              </w:rPr>
              <w:t>David Goeddel, Ph.D.</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JeenJoo (JJ) Kang,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Deepak Srivastava, M.D.</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Stehman-Breen, M.D.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Jeffrey T. Walsh</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Sanders (Sandy) Williams, M.D.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Member of the corporate governance and nominating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b w:val="1"/>
          <w:bCs w:val="1"/>
          <w:i w:val="1"/>
          <w:iCs w:val="1"/>
          <w:color w:val="auto"/>
        </w:rPr>
        <w:t xml:space="preserve">Faraz Ali </w:t>
      </w:r>
      <w:r>
        <w:rPr>
          <w:rFonts w:ascii="Arial" w:cs="Arial" w:eastAsia="Arial" w:hAnsi="Arial"/>
          <w:sz w:val="16"/>
          <w:szCs w:val="16"/>
          <w:color w:val="auto"/>
        </w:rPr>
        <w:t>has served as our Chief Executive Officer and Secretary since June 2018 and as a member of our board of directors since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Prior to joining us, Mr. Ali was Chief Business Officer at REGENXBIO, a public biotechnology company, from February 2016 to January 2018. From May 2011 to February 2016, Mr. Ali was Vice President, Global Commercial Development and External Affairs at bluebird bio, a public biotechnology company. From August 2001 to November 2010, Mr. Ali held various roles at Genzyme, including Head of U.S. Marketing and Strategic Planning for the rare disease business unit. Prior to Genzyme, Mr. Ali served in leadership roles at GE Corporate and GE Healthcare. Mr. Ali holds a B.S. in Electrical Engineering from Stanford University and an M.B.A. with distinction from Harvard Business School.</w:t>
      </w:r>
    </w:p>
    <w:p>
      <w:pPr>
        <w:spacing w:after="0" w:line="16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his educational background.</w:t>
      </w:r>
    </w:p>
    <w:p>
      <w:pPr>
        <w:spacing w:after="0" w:line="184"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b w:val="1"/>
          <w:bCs w:val="1"/>
          <w:i w:val="1"/>
          <w:iCs w:val="1"/>
          <w:color w:val="auto"/>
        </w:rPr>
        <w:t xml:space="preserve">Timothy Charles Hoey, Ph.D. </w:t>
      </w:r>
      <w:r>
        <w:rPr>
          <w:rFonts w:ascii="Arial" w:cs="Arial" w:eastAsia="Arial" w:hAnsi="Arial"/>
          <w:sz w:val="18"/>
          <w:szCs w:val="18"/>
          <w:color w:val="auto"/>
        </w:rPr>
        <w:t>has served as our Chief Scientific Officer since August 2017. From 2005 to June 2017, he held various roles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OncoMed Pharmaceuticals, a public biotechnology company, including as the Senior Vice-President, Cancer Biology and co-Chief Scientific Officer from January 2016 to June 2017. From 1993 to 2005, Dr. Hoey served in various roles at Tularik, a public biopharmaceutical company acquired by Amgen in 2004, including as Director, Biology Department at both Tularik and Amgen. Dr. Hoey received a B.S. in Biology from the University of Michigan and a Ph.D. in Biological Sciences from Columbia University.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Whittemore (Whit) Tingley, M.D., Ph.D. </w:t>
      </w:r>
      <w:r>
        <w:rPr>
          <w:rFonts w:ascii="Arial" w:cs="Arial" w:eastAsia="Arial" w:hAnsi="Arial"/>
          <w:sz w:val="17"/>
          <w:szCs w:val="17"/>
          <w:color w:val="auto"/>
        </w:rPr>
        <w:t>has served as our Chief Medical Officer since December 2018. Before joining us, he served as the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Clinical Research, Cardiology, at Cytokinetics, a public biotechnology company, from September 2017 to December 2018. From 2009 to September 2017, Dr. Tingley held various medical director and group medical director roles at Genentech. Before that, Dr. Tingley was adjunct associate professor of medicine in the cardiology division at the University of California, San Francisco,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University of California, San Francisco and post-doctoral research at the Gladstone Institutes.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b w:val="1"/>
          <w:bCs w:val="1"/>
          <w:i w:val="1"/>
          <w:iCs w:val="1"/>
          <w:color w:val="auto"/>
        </w:rPr>
        <w:t xml:space="preserve">Eli Casdin </w:t>
      </w:r>
      <w:r>
        <w:rPr>
          <w:rFonts w:ascii="Arial" w:cs="Arial" w:eastAsia="Arial" w:hAnsi="Arial"/>
          <w:sz w:val="16"/>
          <w:szCs w:val="16"/>
          <w:color w:val="auto"/>
        </w:rPr>
        <w:t>has served as a member of our board of directors since August 2019 and as a member of our audit committee since September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founding Casdin Capital LLC in 2011, Mr. Casdin has served as its Chief Investment Officer. Mr. Casdin has served as Chief Executive Officer and a director of CM Life Sciences, Inc., CM Life Sciences II Inc., and CM Life Sciences III Inc., respectively, since July 2020, December 2020, and January 2021, all blank check companies. Mr. Casdin also served as a director of Exact Science, a public biotechnology company, from October 2017 to September 2020. From 2007 to July 2011, Mr. Casdin served as a Vice President and Analyst at Alliance Bernstein, with a focus on the life science and healthcare industries. Mr. Casdin was an Associate at Bear Stearns in 2007, and an Analyst at Cooper Hill Partners, one of the earliest biotechnology-focused investment firms, from 2003 to 2006. Mr. Casdin earned a B.S. from Columbia University and an M.B.A. from Columbia Business School and he currently serves on the Columbia University School of General Studies Board of Directors.</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believe Mr. Casdin is qualified to serve on our board because his extensive expertise and experience analyzing and investing in the life sciences industry.</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Jin-Long Chen, Ph.D. </w:t>
      </w:r>
      <w:r>
        <w:rPr>
          <w:rFonts w:ascii="Arial" w:cs="Arial" w:eastAsia="Arial" w:hAnsi="Arial"/>
          <w:sz w:val="18"/>
          <w:szCs w:val="18"/>
          <w:color w:val="auto"/>
        </w:rPr>
        <w:t>has served as member of our board of directors since October 2016. Dr. Chen is the founder of NGM Biopharmaceuticals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has served as a member of the NGM board of directors and as Chief Scientific Officer since January 2008. He was also NGM’s President until November 2014. Previously, Dr. Chen held various positions at Amgen, most recently as Vice President, Metabolic Disorders. Prior to joining Amgen when Amgen acquired Tularik in 2004, Dr. Chen served as Vice President of Biology at Tularik. Dr. Chen received a B.S. in nutrition and food science from Fu-Jen Catholic University, an M.S. in biochemistry from National Taiwan University, and a Ph.D. in molecular and cell biology from the University of California, Berkeley.</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Dr. Chen is qualified to serve on our board because of his extensive medical research experience, and his experience as a founder, executive, and director of a public biopharmaceutical company.</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David Goeddel, Ph.D. </w:t>
      </w:r>
      <w:r>
        <w:rPr>
          <w:rFonts w:ascii="Arial" w:cs="Arial" w:eastAsia="Arial" w:hAnsi="Arial"/>
          <w:sz w:val="17"/>
          <w:szCs w:val="17"/>
          <w:color w:val="auto"/>
        </w:rPr>
        <w:t>has served as a member of our board of directors since August 2016 and as a member of our compensation committee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2018. Dr. Goeddel has served as a Managing Partner of The Column Group, a venture capital firm, since 2007. Dr. Goeddel is a member of the board of directors at NGM Biopharmaceuticals, a public biopharmaceutical company. Additionally, Dr. Goeddel serves on the board of directors for A2 Biotherapeutics (Chairman), Surrozen and Hexagon Bio (Chairman), all privately held biopharmaceutical companies. Dr. Goeddel co-founded Tularik in November 1991, was Vice President of Research until 1996, and served as Chief Executive Officer from 1996 until 2004. He then served as Amgen’s first Senior Vice President until May 2006. Prior to Tularik, he was the first scientist hired by Genentech, and from 1978 to 1993 served in various positions, including Fellow, Staff Scientist and Director of Molecular Biology. His pioneering work in the fields of gene cloning and expression of human proteins was the basis for five marketed therapeutics developed by Genentech, including human insulin, human growth hormone, interferon-alpha, interferon-gamma and tissue plasminogen activator. Dr. Goeddel has received numerous scientific awards including the Scheele Medal, the Eli Lilly Award in Biological Chemistry, the Inventor of the Year Award, the Jacob Heskel Gabbay Award, the Howley Prize for Arthritis Research and the Warren Alpert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Foundation Prize. He is a member of the National Academy of Sciences and the American Academy of Arts and Sciences. He holds a B.A. in chemistry from the University of California, San Diego and a Ph.D. in biochemistry from the University of Colorado.</w:t>
      </w:r>
    </w:p>
    <w:p>
      <w:pPr>
        <w:spacing w:after="0" w:line="170"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and his extensive experience in investing in diverse biotechnology companies.</w:t>
      </w:r>
    </w:p>
    <w:p>
      <w:pPr>
        <w:spacing w:after="0" w:line="16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JeenJoo (JJ) Kang, Ph.D. </w:t>
      </w:r>
      <w:r>
        <w:rPr>
          <w:rFonts w:ascii="Arial" w:cs="Arial" w:eastAsia="Arial" w:hAnsi="Arial"/>
          <w:sz w:val="16"/>
          <w:szCs w:val="16"/>
          <w:color w:val="auto"/>
        </w:rPr>
        <w:t>has served as a member of our board of directors since August 2016. Dr. Kang has also served as a member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since December 2018, as a member of our audit committee since September 2019, and as our President, Treasurer and Secretary from August 2016 to June 2018. Dr. Kang has served as a Venture Partner at The Column Group since 2020, and prior to that served as an Associate beginning in 2015, then as a Partner from 2019 to 2020. She has served as the Chief Executive Officer of Appia Bio, a private biotechnology company, since July 2020. Previously, she worked at FibroGen in project management and corporate strategy from 2005 to 2009. Dr. Kang earned a B.A. in Chemistry from Harvard University and a Ph.D. in chemical biology at the California Institute of Technology.</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believe Dr. Kang is qualified to serve on our board of directors due to her educational background and her experience in investing in the life sciences industry.</w:t>
      </w:r>
    </w:p>
    <w:p>
      <w:pPr>
        <w:spacing w:after="0" w:line="17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b w:val="1"/>
          <w:bCs w:val="1"/>
          <w:i w:val="1"/>
          <w:iCs w:val="1"/>
          <w:color w:val="auto"/>
        </w:rPr>
        <w:t xml:space="preserve">Deepak Srivastava, M.D. </w:t>
      </w:r>
      <w:r>
        <w:rPr>
          <w:rFonts w:ascii="Arial" w:cs="Arial" w:eastAsia="Arial" w:hAnsi="Arial"/>
          <w:sz w:val="16"/>
          <w:szCs w:val="16"/>
          <w:color w:val="auto"/>
        </w:rPr>
        <w:t>has served as a member of our board of directors since October 2016. Dr. Srivastava has been a consultant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since September 2016 and Chairman of our Scientific Advisory Board since October 2016. Dr. Srivastava has been President of the Gladstone Institutes since January 2018. He is currently the Younger Family Professor and a senior investigator at the Gladstone Institute of Cardiovascular Disease and director of the Roddenberry Stem Cell Center. Since 2005, Dr. Srivastava has been a professor in the Departments of Pediatrics and Biochemistry and Biophysics at UC San Francisco, and he is the Wilma and Adeline Pirag Distinguished Professor in pediatric developmental cardiology. He is the immediate past-president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Dr. Srivastava is qualified to serve on our board because of his scientific and educational background and his extensive expertise in the cardiovascular field.</w:t>
      </w:r>
    </w:p>
    <w:p>
      <w:pPr>
        <w:spacing w:after="0" w:line="170"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Catherine Stehman-Breen, M.D. </w:t>
      </w:r>
      <w:r>
        <w:rPr>
          <w:rFonts w:ascii="Arial" w:cs="Arial" w:eastAsia="Arial" w:hAnsi="Arial"/>
          <w:sz w:val="16"/>
          <w:szCs w:val="16"/>
          <w:color w:val="auto"/>
        </w:rPr>
        <w:t>has served as a member of our board of directors since June 2020. Beginning in December 2020, Dr. Stehman-Breen has served as the Chief Executive Officer and a member of the board of directors of Chroma Medicine, a private biotechnology company. From July 2019 to December 2020, Dr. Stehman-Breen served as Chief Development Officer of Obsidian Therapeutics, a private biotechnology company.</w:t>
      </w:r>
    </w:p>
    <w:p>
      <w:pPr>
        <w:spacing w:after="0" w:line="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Since March 2018, she has served as an entrepreneur-in-residence at Atlas Ventures, a venture capital firm. Dr. Stehman-Brown serves as a director of Generation Bio, a public biotechnology company. Dr. Stehman-Breen also serves a member of the board of directors of Dyne Therapeutics, a public biotechnology company. She also previously served as Dyne’s Chief Medical Officer from March 2018 to July 2019. From April 2018 to July 2019, Dr. Stehman-Breen served as Chief Medical Officer Disarm Therapeutics, a private biotechnology company. From March 2017 to December 2017, she served as Chief Medical Officer of Sarepta Therapeutics, a public biopharmaceutical company. Before that, she served as Vice President, Clinical Development and Regulatory Affairs at Regeneron Pharmaceuticals, a public biotechnology company, from January 2015 to March 2017. From 2003 to 2015, she held senior leadership roles at Amgen including Vice President, Global Development, leading the neuroscience, nephrology and bone therapeutic areas. Dr. Stehman-Breen earned a B.A. in biology and psychology from Colby College, an M.S. in epidemiology from the University of Washington, where she also completed her residency and fellowship training, and an M.D. from the University of Chicago in 1990. Dr. Stehman-Breen spent six years as a faculty member in the Division of Nephrology at the University of Washington.</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0" w:firstLine="440"/>
        <w:spacing w:after="0" w:line="342" w:lineRule="auto"/>
        <w:rPr>
          <w:sz w:val="20"/>
          <w:szCs w:val="20"/>
          <w:color w:val="auto"/>
        </w:rPr>
      </w:pPr>
      <w:r>
        <w:rPr>
          <w:rFonts w:ascii="Arial" w:cs="Arial" w:eastAsia="Arial" w:hAnsi="Arial"/>
          <w:sz w:val="16"/>
          <w:szCs w:val="16"/>
          <w:color w:val="auto"/>
        </w:rPr>
        <w:t>We believe Dr. Stehman-Breen is qualified to serve on our board based on her medical expertise, her expertise as an executive in the biotechnology industry and her experience as a public company board member, including within the biotechnology industry.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Jeffrey T. Walsh </w:t>
      </w:r>
      <w:r>
        <w:rPr>
          <w:rFonts w:ascii="Arial" w:cs="Arial" w:eastAsia="Arial" w:hAnsi="Arial"/>
          <w:sz w:val="16"/>
          <w:szCs w:val="16"/>
          <w:color w:val="auto"/>
        </w:rPr>
        <w:t>has served as a member of our board of directors since March 2020 and as a member of our audit committee since September</w:t>
      </w:r>
    </w:p>
    <w:p>
      <w:pPr>
        <w:spacing w:after="0" w:line="4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2020. Since 2011, Mr. Walsh has served in various roles at bluebird bio, including most recently as Strategic Advisor from January 2020 to April 2021,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He received a B.A. in sociology and economics from Yale University and an M.B.A. from the Kellogg Graduate School of Management at Northwestern University.</w:t>
      </w:r>
    </w:p>
    <w:p>
      <w:pPr>
        <w:spacing w:after="0" w:line="180"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We believe that Mr. Walsh’s qualifications to serve on our board of directors include his leadership and management experience in the biotechnology industry and his experience in business development and strategic planning as an executive officer at multiple healthcare companies.</w:t>
      </w:r>
    </w:p>
    <w:p>
      <w:pPr>
        <w:spacing w:after="0" w:line="1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R. Sanders (Sandy) Williams, M.D. </w:t>
      </w:r>
      <w:r>
        <w:rPr>
          <w:rFonts w:ascii="Arial" w:cs="Arial" w:eastAsia="Arial" w:hAnsi="Arial"/>
          <w:sz w:val="16"/>
          <w:szCs w:val="16"/>
          <w:color w:val="auto"/>
        </w:rPr>
        <w:t>has served as a member of our board of directors since October 2016 and as a member of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December 2018. Dr. Williams has served as the President 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the Gladstone Institutes from January 2016 to December 2018. Since January 2018, Dr. Williams has served as Professor of Medicine and Senior Advisor for International Strategy at Duke University and, beginning in February 2021, is acting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is a member of the board of directors of the Laboratory Corporation of America Holdings, a public diagnostic technologies company, serving on the audit committee and chairing the quality and compliance committee. Dr. Williams also serves as a member of the board of directors of Amgen, Inc., a biotechnology company, serving as a member of the governance and nominating and corporate responsibility and compliance committees. Dr. Williams was elected to the National Academy of Medicine in 2002. Dr. Williams received an A.B. from Princeton University and an M.D. from Duke University.</w:t>
      </w:r>
    </w:p>
    <w:p>
      <w:pPr>
        <w:spacing w:after="0" w:line="16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believe Dr. Williams is qualified to serve on our board because of his scientific and educational background and his extensive expertise in the cardiovascular field.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 and Bankruptcy</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There are no material legal proceedings to which any of our directors is a party adverse to us or in which any such person has a material interest adverse to 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board of directors currently consists of nine members. After the completion of this offering, the number of directors will be fixed from time to time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7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6720" w:type="dxa"/>
            <w:vAlign w:val="bottom"/>
          </w:tcPr>
          <w:p>
            <w:pPr>
              <w:ind w:left="220"/>
              <w:spacing w:after="0"/>
              <w:rPr>
                <w:sz w:val="20"/>
                <w:szCs w:val="20"/>
                <w:color w:val="auto"/>
              </w:rPr>
            </w:pPr>
            <w:r>
              <w:rPr>
                <w:rFonts w:ascii="Arial" w:cs="Arial" w:eastAsia="Arial" w:hAnsi="Arial"/>
                <w:sz w:val="18"/>
                <w:szCs w:val="18"/>
                <w:color w:val="auto"/>
                <w:w w:val="96"/>
              </w:rPr>
              <w:t>, and their terms will expire at the annual meeting of stockholders to be held in 2022;</w:t>
            </w:r>
          </w:p>
        </w:tc>
      </w:tr>
      <w:tr>
        <w:trPr>
          <w:trHeight w:val="338"/>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 directors will be</w:t>
            </w:r>
          </w:p>
        </w:tc>
        <w:tc>
          <w:tcPr>
            <w:tcW w:w="6720" w:type="dxa"/>
            <w:vAlign w:val="bottom"/>
          </w:tcPr>
          <w:p>
            <w:pPr>
              <w:ind w:left="280"/>
              <w:spacing w:after="0"/>
              <w:rPr>
                <w:sz w:val="20"/>
                <w:szCs w:val="20"/>
                <w:color w:val="auto"/>
              </w:rPr>
            </w:pPr>
            <w:r>
              <w:rPr>
                <w:rFonts w:ascii="Arial" w:cs="Arial" w:eastAsia="Arial" w:hAnsi="Arial"/>
                <w:sz w:val="18"/>
                <w:szCs w:val="18"/>
                <w:color w:val="auto"/>
                <w:w w:val="90"/>
              </w:rPr>
              <w:t>, and their terms will expire at the annual meeting of stockholders to be held in 2023; and</w:t>
            </w:r>
          </w:p>
        </w:tc>
      </w:tr>
      <w:tr>
        <w:trPr>
          <w:trHeight w:val="338"/>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6720" w:type="dxa"/>
            <w:vAlign w:val="bottom"/>
          </w:tcPr>
          <w:p>
            <w:pPr>
              <w:ind w:left="340"/>
              <w:spacing w:after="0"/>
              <w:rPr>
                <w:sz w:val="20"/>
                <w:szCs w:val="20"/>
                <w:color w:val="auto"/>
              </w:rPr>
            </w:pPr>
            <w:r>
              <w:rPr>
                <w:rFonts w:ascii="Arial" w:cs="Arial" w:eastAsia="Arial" w:hAnsi="Arial"/>
                <w:sz w:val="18"/>
                <w:szCs w:val="18"/>
                <w:color w:val="auto"/>
                <w:w w:val="94"/>
              </w:rPr>
              <w:t>, and their terms will expire at the annual meeting of stockholders to be held in 2024.</w:t>
            </w:r>
          </w:p>
        </w:tc>
      </w:tr>
    </w:tbl>
    <w:p>
      <w:pPr>
        <w:spacing w:after="0" w:line="20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 third of our directors.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560"/>
        <w:spacing w:after="0"/>
        <w:tabs>
          <w:tab w:leader="none" w:pos="8060" w:val="left"/>
          <w:tab w:leader="none" w:pos="10040" w:val="left"/>
        </w:tabs>
        <w:rPr>
          <w:sz w:val="20"/>
          <w:szCs w:val="20"/>
          <w:color w:val="auto"/>
        </w:rPr>
      </w:pPr>
      <w:r>
        <w:rPr>
          <w:rFonts w:ascii="Arial" w:cs="Arial" w:eastAsia="Arial" w:hAnsi="Arial"/>
          <w:sz w:val="18"/>
          <w:szCs w:val="18"/>
          <w:color w:val="auto"/>
        </w:rPr>
        <w:t>Upon the completion of this offering, we anticipate that our common stock will be listed on</w:t>
      </w:r>
      <w:r>
        <w:rPr>
          <w:sz w:val="20"/>
          <w:szCs w:val="20"/>
          <w:color w:val="auto"/>
        </w:rPr>
        <w:tab/>
      </w:r>
      <w:r>
        <w:rPr>
          <w:rFonts w:ascii="Arial" w:cs="Arial" w:eastAsia="Arial" w:hAnsi="Arial"/>
          <w:sz w:val="18"/>
          <w:szCs w:val="18"/>
          <w:color w:val="auto"/>
        </w:rPr>
        <w:t>. Under the rules of</w:t>
      </w:r>
      <w:r>
        <w:rPr>
          <w:sz w:val="20"/>
          <w:szCs w:val="20"/>
          <w:color w:val="auto"/>
        </w:rPr>
        <w:tab/>
      </w:r>
      <w:r>
        <w:rPr>
          <w:rFonts w:ascii="Arial" w:cs="Arial" w:eastAsia="Arial" w:hAnsi="Arial"/>
          <w:sz w:val="16"/>
          <w:szCs w:val="16"/>
          <w:color w:val="auto"/>
        </w:rPr>
        <w:t>, independent</w:t>
      </w:r>
    </w:p>
    <w:p>
      <w:pPr>
        <w:spacing w:after="0" w:line="23" w:lineRule="exact"/>
        <w:rPr>
          <w:sz w:val="20"/>
          <w:szCs w:val="20"/>
          <w:color w:val="auto"/>
        </w:rPr>
      </w:pPr>
    </w:p>
    <w:p>
      <w:pPr>
        <w:ind w:left="700" w:right="80" w:hanging="584"/>
        <w:spacing w:after="0" w:line="281" w:lineRule="auto"/>
        <w:rPr>
          <w:sz w:val="20"/>
          <w:szCs w:val="20"/>
          <w:color w:val="auto"/>
        </w:rPr>
      </w:pPr>
      <w:r>
        <w:rPr>
          <w:rFonts w:ascii="Arial" w:cs="Arial" w:eastAsia="Arial" w:hAnsi="Arial"/>
          <w:sz w:val="16"/>
          <w:szCs w:val="16"/>
          <w:color w:val="auto"/>
        </w:rPr>
        <w:t>directors must comprise a majority of a listed company’s board of directors within one year of the completion of this offering. In addition, the rules of require that, subject to specified exceptions, each member of a listed company’s audit, compensation and corporate governance and nominating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committees be independent. Audit committee members and compensation committee members must also satisfy the independence criteria set forth in</w:t>
      </w:r>
    </w:p>
    <w:p>
      <w:pPr>
        <w:spacing w:after="0" w:line="32" w:lineRule="exact"/>
        <w:rPr>
          <w:sz w:val="20"/>
          <w:szCs w:val="20"/>
          <w:color w:val="auto"/>
        </w:rPr>
      </w:pPr>
    </w:p>
    <w:p>
      <w:pPr>
        <w:jc w:val="both"/>
        <w:ind w:left="120" w:right="240"/>
        <w:spacing w:after="0" w:line="255" w:lineRule="auto"/>
        <w:rPr>
          <w:sz w:val="20"/>
          <w:szCs w:val="20"/>
          <w:color w:val="auto"/>
        </w:rPr>
      </w:pPr>
      <w:r>
        <w:rPr>
          <w:rFonts w:ascii="Arial" w:cs="Arial" w:eastAsia="Arial" w:hAnsi="Arial"/>
          <w:sz w:val="18"/>
          <w:szCs w:val="18"/>
          <w:color w:val="auto"/>
        </w:rPr>
        <w:t>Rule 10A-3 and Rule 10C-1, respectively, under the Securities Exchange Act of 1934, as amended (the Exchange Act). Under the rules of ,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To be considered independent for purposes of Rule 10C-1 and under the rules of , the board of directors must affirmatively determine that each member of the compensation committee is independent, including a consideration of all factors specifically relevant to determining whether the director has a relationship</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to the company which is material to that director’s ability to be independent from management in connection with the duties of a compensation committee member, including: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87" w:lineRule="exact"/>
        <w:rPr>
          <w:sz w:val="20"/>
          <w:szCs w:val="20"/>
          <w:color w:val="auto"/>
        </w:rPr>
      </w:pPr>
    </w:p>
    <w:p>
      <w:pPr>
        <w:jc w:val="both"/>
        <w:ind w:left="120" w:right="540" w:firstLine="440"/>
        <w:spacing w:after="0" w:line="287"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w:t>
      </w:r>
    </w:p>
    <w:p>
      <w:pPr>
        <w:spacing w:after="0" w:line="2"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employment and affiliations, including family relationships, our board of directors has determined that representing of our nine directors, do not have a relationship that would interfere with the exercise of independent judgment in carrying out the responsibilities of a director and</w:t>
      </w:r>
    </w:p>
    <w:p>
      <w:pPr>
        <w:ind w:left="120"/>
        <w:spacing w:after="0"/>
        <w:tabs>
          <w:tab w:leader="none" w:pos="6800" w:val="left"/>
        </w:tabs>
        <w:rPr>
          <w:sz w:val="20"/>
          <w:szCs w:val="20"/>
          <w:color w:val="auto"/>
        </w:rPr>
      </w:pPr>
      <w:r>
        <w:rPr>
          <w:rFonts w:ascii="Arial" w:cs="Arial" w:eastAsia="Arial" w:hAnsi="Arial"/>
          <w:sz w:val="17"/>
          <w:szCs w:val="17"/>
          <w:color w:val="auto"/>
        </w:rPr>
        <w:t>that each of these directors is “independent” as that term is defined under the rules of</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560"/>
        <w:spacing w:after="0"/>
        <w:tabs>
          <w:tab w:leader="none" w:pos="4380" w:val="left"/>
        </w:tabs>
        <w:rPr>
          <w:sz w:val="20"/>
          <w:szCs w:val="20"/>
          <w:color w:val="auto"/>
        </w:rPr>
      </w:pPr>
      <w:r>
        <w:rPr>
          <w:rFonts w:ascii="Arial" w:cs="Arial" w:eastAsia="Arial" w:hAnsi="Arial"/>
          <w:sz w:val="18"/>
          <w:szCs w:val="18"/>
          <w:color w:val="auto"/>
        </w:rPr>
        <w:t>Our board of directors is currently chaired by</w:t>
      </w:r>
      <w:r>
        <w:rPr>
          <w:sz w:val="20"/>
          <w:szCs w:val="20"/>
          <w:color w:val="auto"/>
        </w:rPr>
        <w:tab/>
      </w:r>
      <w:r>
        <w:rPr>
          <w:rFonts w:ascii="Arial" w:cs="Arial" w:eastAsia="Arial" w:hAnsi="Arial"/>
          <w:sz w:val="16"/>
          <w:szCs w:val="16"/>
          <w:color w:val="auto"/>
        </w:rPr>
        <w:t>. As a general policy, our board of directors believes that separation of the positions of Chair</w:t>
      </w:r>
    </w:p>
    <w:p>
      <w:pPr>
        <w:spacing w:after="0" w:line="23"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color w:val="auto"/>
        </w:rPr>
        <w:t>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serves as our Chief Executive Officer while serves as the Chair of our board of directors but is not an officer. We currently expect and intend the positions of Chair of our board of directors and Chief Executive Officer to continue to be held by two individuals in the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780" w:firstLine="440"/>
        <w:spacing w:after="0" w:line="308" w:lineRule="auto"/>
        <w:rPr>
          <w:sz w:val="20"/>
          <w:szCs w:val="20"/>
          <w:color w:val="auto"/>
        </w:rPr>
      </w:pPr>
      <w:r>
        <w:rPr>
          <w:rFonts w:ascii="Arial" w:cs="Arial" w:eastAsia="Arial" w:hAnsi="Arial"/>
          <w:sz w:val="17"/>
          <w:szCs w:val="17"/>
          <w:color w:val="auto"/>
        </w:rPr>
        <w:t>Prior to the completion of this offering, our board of directors will have an audit committee, a compensation committee and a corporate governance and nominating committee, each of which will have the composition and the responsibilities described below.</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080"/>
          </w:cols>
          <w:pgMar w:left="320" w:top="459" w:right="499" w:bottom="1440" w:gutter="0" w:footer="0" w:header="0"/>
        </w:sectPr>
      </w:pP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the effectiveness of the registration statement of which this prospectus forms a part, the members of our audit committee will be</w:t>
      </w:r>
    </w:p>
    <w:p>
      <w:pPr>
        <w:spacing w:after="0" w:line="46" w:lineRule="exact"/>
        <w:rPr>
          <w:sz w:val="20"/>
          <w:szCs w:val="20"/>
          <w:color w:val="auto"/>
        </w:rPr>
      </w:pPr>
    </w:p>
    <w:p>
      <w:pPr>
        <w:ind w:left="700"/>
        <w:spacing w:after="0"/>
        <w:tabs>
          <w:tab w:leader="none" w:pos="4460" w:val="left"/>
        </w:tabs>
        <w:rPr>
          <w:sz w:val="20"/>
          <w:szCs w:val="20"/>
          <w:color w:val="auto"/>
        </w:rPr>
      </w:pPr>
      <w:r>
        <w:rPr>
          <w:rFonts w:ascii="Arial" w:cs="Arial" w:eastAsia="Arial" w:hAnsi="Arial"/>
          <w:sz w:val="18"/>
          <w:szCs w:val="18"/>
          <w:color w:val="auto"/>
        </w:rPr>
        <w:t>will be the chair of our audit committee and</w:t>
      </w:r>
      <w:r>
        <w:rPr>
          <w:sz w:val="20"/>
          <w:szCs w:val="20"/>
          <w:color w:val="auto"/>
        </w:rPr>
        <w:tab/>
      </w:r>
      <w:r>
        <w:rPr>
          <w:rFonts w:ascii="Arial" w:cs="Arial" w:eastAsia="Arial" w:hAnsi="Arial"/>
          <w:sz w:val="16"/>
          <w:szCs w:val="16"/>
          <w:color w:val="auto"/>
        </w:rPr>
        <w:t>is an audit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30" w:lineRule="exact"/>
        <w:rPr>
          <w:sz w:val="20"/>
          <w:szCs w:val="20"/>
          <w:color w:val="auto"/>
        </w:rPr>
      </w:pPr>
    </w:p>
    <w:p>
      <w:pPr>
        <w:sectPr>
          <w:pgSz w:w="11900" w:h="16838" w:orient="portrait"/>
          <w:cols w:equalWidth="0" w:num="2">
            <w:col w:w="10220" w:space="580"/>
            <w:col w:w="28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1080"/>
          </w:cols>
          <w:pgMar w:left="320" w:top="459" w:right="49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 financial expert, as that term is defined under the SEC rules implementing Section 407 of the Sarbanes-Oxley Act of 2002, and possesses</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financial sophistication, as defined under the rules of . Our audit committee will oversee our corporate accounting and financial reporting process and assist our board of directors in monitoring our financial systems. Our audit committee will also:</w:t>
      </w:r>
    </w:p>
    <w:p>
      <w:pPr>
        <w:spacing w:after="0" w:line="91"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30" w:lineRule="exact"/>
        <w:rPr>
          <w:rFonts w:ascii="Arial" w:cs="Arial" w:eastAsia="Arial" w:hAnsi="Arial"/>
          <w:sz w:val="18"/>
          <w:szCs w:val="18"/>
          <w:color w:val="auto"/>
        </w:rPr>
      </w:pPr>
    </w:p>
    <w:p>
      <w:pPr>
        <w:jc w:val="both"/>
        <w:ind w:left="1080" w:right="240" w:hanging="532"/>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audit committee will operate under a written charter, to be effective upon the effectiveness of the registration statement of which this</w:t>
      </w:r>
    </w:p>
    <w:p>
      <w:pPr>
        <w:spacing w:after="0" w:line="35" w:lineRule="exact"/>
        <w:rPr>
          <w:sz w:val="20"/>
          <w:szCs w:val="20"/>
          <w:color w:val="auto"/>
        </w:rPr>
      </w:pPr>
    </w:p>
    <w:p>
      <w:pPr>
        <w:ind w:left="120"/>
        <w:spacing w:after="0"/>
        <w:tabs>
          <w:tab w:leader="none" w:pos="8000" w:val="left"/>
        </w:tabs>
        <w:rPr>
          <w:sz w:val="20"/>
          <w:szCs w:val="20"/>
          <w:color w:val="auto"/>
        </w:rPr>
      </w:pPr>
      <w:r>
        <w:rPr>
          <w:rFonts w:ascii="Arial" w:cs="Arial" w:eastAsia="Arial" w:hAnsi="Arial"/>
          <w:sz w:val="17"/>
          <w:szCs w:val="17"/>
          <w:color w:val="auto"/>
        </w:rPr>
        <w:t>prospectus forms a part, which will satisfy the applicable rules of the SEC and the listing standards of</w:t>
      </w:r>
      <w:r>
        <w:rPr>
          <w:sz w:val="20"/>
          <w:szCs w:val="20"/>
          <w:color w:val="auto"/>
        </w:rPr>
        <w:tab/>
      </w:r>
      <w:r>
        <w:rPr>
          <w:rFonts w:ascii="Arial" w:cs="Arial" w:eastAsia="Arial" w:hAnsi="Arial"/>
          <w:sz w:val="13"/>
          <w:szCs w:val="13"/>
          <w:color w:val="auto"/>
        </w:rPr>
        <w:t>.</w:t>
      </w:r>
    </w:p>
    <w:p>
      <w:pPr>
        <w:spacing w:after="0" w:line="33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the effectiveness of the registration statement of which this prospectus forms a part, the members of our compensation committee will be</w:t>
      </w:r>
    </w:p>
    <w:p>
      <w:pPr>
        <w:spacing w:after="0" w:line="46" w:lineRule="exact"/>
        <w:rPr>
          <w:sz w:val="20"/>
          <w:szCs w:val="20"/>
          <w:color w:val="auto"/>
        </w:rPr>
      </w:pPr>
    </w:p>
    <w:p>
      <w:pPr>
        <w:ind w:left="120" w:right="460" w:firstLine="536"/>
        <w:spacing w:after="0" w:line="260" w:lineRule="auto"/>
        <w:tabs>
          <w:tab w:leader="none" w:pos="133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will be the chair of our compensation committee. Our compensation committee will oversee our compensation policies, plans and benefits programs. The compensation committee will also:</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review and approve compensation for our executive officers and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compensation committee will operate under a written charter, to be effective upon the effectiveness of the registration statement of which this</w:t>
      </w:r>
    </w:p>
    <w:p>
      <w:pPr>
        <w:spacing w:after="0" w:line="46" w:lineRule="exact"/>
        <w:rPr>
          <w:sz w:val="20"/>
          <w:szCs w:val="20"/>
          <w:color w:val="auto"/>
        </w:rPr>
      </w:pPr>
    </w:p>
    <w:p>
      <w:pPr>
        <w:ind w:left="120"/>
        <w:spacing w:after="0"/>
        <w:tabs>
          <w:tab w:leader="none" w:pos="8000" w:val="left"/>
        </w:tabs>
        <w:rPr>
          <w:sz w:val="20"/>
          <w:szCs w:val="20"/>
          <w:color w:val="auto"/>
        </w:rPr>
      </w:pPr>
      <w:r>
        <w:rPr>
          <w:rFonts w:ascii="Arial" w:cs="Arial" w:eastAsia="Arial" w:hAnsi="Arial"/>
          <w:sz w:val="17"/>
          <w:szCs w:val="17"/>
          <w:color w:val="auto"/>
        </w:rPr>
        <w:t>prospectus forms a part, which will satisfy the applicable rules of the SEC and the listing standards of</w:t>
      </w:r>
      <w:r>
        <w:rPr>
          <w:sz w:val="20"/>
          <w:szCs w:val="20"/>
          <w:color w:val="auto"/>
        </w:rPr>
        <w:tab/>
      </w:r>
      <w:r>
        <w:rPr>
          <w:rFonts w:ascii="Arial" w:cs="Arial" w:eastAsia="Arial" w:hAnsi="Arial"/>
          <w:sz w:val="13"/>
          <w:szCs w:val="13"/>
          <w:color w:val="auto"/>
        </w:rPr>
        <w:t>.</w:t>
      </w:r>
    </w:p>
    <w:p>
      <w:pPr>
        <w:spacing w:after="0" w:line="33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the effectiveness of the registration statement of which this prospectus forms a part, the members of our corporate governance and</w:t>
      </w:r>
    </w:p>
    <w:p>
      <w:pPr>
        <w:spacing w:after="0" w:line="35" w:lineRule="exact"/>
        <w:rPr>
          <w:sz w:val="20"/>
          <w:szCs w:val="20"/>
          <w:color w:val="auto"/>
        </w:rPr>
      </w:pPr>
    </w:p>
    <w:p>
      <w:pPr>
        <w:ind w:left="120"/>
        <w:spacing w:after="0"/>
        <w:tabs>
          <w:tab w:leader="none" w:pos="2840" w:val="left"/>
          <w:tab w:leader="none" w:pos="3520" w:val="left"/>
        </w:tabs>
        <w:rPr>
          <w:sz w:val="20"/>
          <w:szCs w:val="20"/>
          <w:color w:val="auto"/>
        </w:rPr>
      </w:pPr>
      <w:r>
        <w:rPr>
          <w:rFonts w:ascii="Arial" w:cs="Arial" w:eastAsia="Arial" w:hAnsi="Arial"/>
          <w:sz w:val="18"/>
          <w:szCs w:val="18"/>
          <w:color w:val="auto"/>
        </w:rPr>
        <w:t>nominating committee will be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will be the chair of our corporate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governance and nominating committee. Our corporate governance and nominating committee will oversee and assist our board of directors in reviewing and recommending nominees for election as directors. Specifically, the corporate governance and nominating committee will:</w:t>
      </w:r>
    </w:p>
    <w:p>
      <w:pPr>
        <w:spacing w:after="0" w:line="52" w:lineRule="exact"/>
        <w:rPr>
          <w:sz w:val="20"/>
          <w:szCs w:val="20"/>
          <w:color w:val="auto"/>
        </w:rPr>
      </w:pPr>
    </w:p>
    <w:p>
      <w:pPr>
        <w:ind w:left="1080" w:right="30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corporate governance and nominating committee will operate under a written charter, to be effective upon the effectiveness of the registration</w:t>
      </w:r>
    </w:p>
    <w:p>
      <w:pPr>
        <w:spacing w:after="0" w:line="46" w:lineRule="exact"/>
        <w:rPr>
          <w:sz w:val="20"/>
          <w:szCs w:val="20"/>
          <w:color w:val="auto"/>
        </w:rPr>
      </w:pPr>
    </w:p>
    <w:p>
      <w:pPr>
        <w:ind w:left="120"/>
        <w:spacing w:after="0"/>
        <w:tabs>
          <w:tab w:leader="none" w:pos="9720" w:val="left"/>
        </w:tabs>
        <w:rPr>
          <w:sz w:val="20"/>
          <w:szCs w:val="20"/>
          <w:color w:val="auto"/>
        </w:rPr>
      </w:pPr>
      <w:r>
        <w:rPr>
          <w:rFonts w:ascii="Arial" w:cs="Arial" w:eastAsia="Arial" w:hAnsi="Arial"/>
          <w:sz w:val="17"/>
          <w:szCs w:val="17"/>
          <w:color w:val="auto"/>
        </w:rPr>
        <w:t>statement of which this prospectus forms a part, which will satisfy the applicable rules of the SEC and the listing standards of</w:t>
      </w:r>
      <w:r>
        <w:rPr>
          <w:sz w:val="20"/>
          <w:szCs w:val="20"/>
          <w:color w:val="auto"/>
        </w:rPr>
        <w:tab/>
      </w:r>
      <w:r>
        <w:rPr>
          <w:rFonts w:ascii="Arial" w:cs="Arial" w:eastAsia="Arial" w:hAnsi="Arial"/>
          <w:sz w:val="13"/>
          <w:szCs w:val="13"/>
          <w:color w:val="auto"/>
        </w:rPr>
        <w:t>.</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Prior to this offering, we have not implemented a formal policy with respect to compensation payable to our non-employee directors. We reimburse our directors for expenses associated with attending meetings of our board of directors and its committees. Following the completion of this offering, we expect to implement an annual cash and equity compensation program for our non-employee directors.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the total compensation each of our non-employee directors received during the year ended December 31,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760" w:type="dxa"/>
            <w:vAlign w:val="bottom"/>
            <w:vMerge w:val="restart"/>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w:t>
            </w:r>
          </w:p>
        </w:tc>
        <w:tc>
          <w:tcPr>
            <w:tcW w:w="18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760" w:type="dxa"/>
            <w:vAlign w:val="bottom"/>
            <w:vMerge w:val="continue"/>
          </w:tcPr>
          <w:p>
            <w:pPr>
              <w:spacing w:after="0"/>
              <w:rPr>
                <w:sz w:val="15"/>
                <w:szCs w:val="15"/>
                <w:color w:val="auto"/>
              </w:rPr>
            </w:pPr>
          </w:p>
        </w:tc>
        <w:tc>
          <w:tcPr>
            <w:tcW w:w="136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u w:val="single" w:color="auto"/>
                <w:color w:val="auto"/>
                <w:w w:val="91"/>
              </w:rPr>
              <w:t>Awards($</w:t>
            </w:r>
            <w:r>
              <w:rPr>
                <w:rFonts w:ascii="Arial" w:cs="Arial" w:eastAsia="Arial" w:hAnsi="Arial"/>
                <w:sz w:val="14"/>
                <w:szCs w:val="14"/>
                <w:b w:val="1"/>
                <w:bCs w:val="1"/>
                <w:color w:val="auto"/>
                <w:w w:val="91"/>
              </w:rPr>
              <w:t>)(1)</w:t>
            </w:r>
          </w:p>
        </w:tc>
        <w:tc>
          <w:tcPr>
            <w:tcW w:w="182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Eli Casdin</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Jin-Long Chen, Ph.D.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Goeddel, Ph.D.</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JeenJoo (JJ) Kang, Ph.D.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Deepak Srivastava, M.D.</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75,000(2)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Catherine Stehman-Breen, M.D.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151,983</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151,983</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T. Walsh</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142,713</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142,713</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R. Sanders (Sandy) Williams, M.D.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0" w:hanging="424"/>
        <w:spacing w:after="0" w:line="254"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 These amounts do not correspond to the actual value that may be recognized by the named executive officers upon vesting of the applicable awards.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amount disclosed relates to compensation paid under the Company’s consulting agreement with Dr. Srivastava.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None of the members of our board of directors who will serve on our compensation committee upon the effectiveness of the registration statement of which this prospectus forms a part is or has been an officer or employee of our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 our board of directors adopted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 tenayatherapeutics.com.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prospectus and should not be considered to be part of this prospectus. The inclusion of our website address in this prospectus is an inactive textual reference only.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60"/>
          </w:cols>
          <w:pgMar w:left="320" w:top="459"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named executive officers for 2020, which consist of our principal executive officer and the next two most highly compensated executive officers during 2020, are:</w:t>
      </w:r>
    </w:p>
    <w:p>
      <w:pPr>
        <w:spacing w:after="0" w:line="76"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Faraz Ali,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Timothy Charles Hoey, Ph.D., Chief Scientific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Whittemore (Whit) Tingley, M.D., Ph.D., Chief Medical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Bonus</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7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5"/>
                <w:szCs w:val="15"/>
                <w:color w:val="auto"/>
              </w:rPr>
            </w:pPr>
          </w:p>
        </w:tc>
        <w:tc>
          <w:tcPr>
            <w:tcW w:w="900" w:type="dxa"/>
            <w:vAlign w:val="bottom"/>
          </w:tcPr>
          <w:p>
            <w:pPr>
              <w:jc w:val="right"/>
              <w:ind w:right="279"/>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Faraz Ali</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425,000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126,500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197,500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750,300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500" w:type="dxa"/>
            <w:vAlign w:val="bottom"/>
            <w:gridSpan w:val="2"/>
          </w:tcPr>
          <w:p>
            <w:pPr>
              <w:spacing w:after="0"/>
              <w:rPr>
                <w:sz w:val="20"/>
                <w:szCs w:val="20"/>
                <w:color w:val="auto"/>
              </w:rPr>
            </w:pPr>
            <w:r>
              <w:rPr>
                <w:rFonts w:ascii="Arial" w:cs="Arial" w:eastAsia="Arial" w:hAnsi="Arial"/>
                <w:sz w:val="18"/>
                <w:szCs w:val="18"/>
                <w:color w:val="auto"/>
              </w:rPr>
              <w:t>Timothy Charles Hoey, Ph.D.</w:t>
            </w: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375,000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95,000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46,800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3,557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520,357</w:t>
            </w:r>
          </w:p>
        </w:tc>
        <w:tc>
          <w:tcPr>
            <w:tcW w:w="0" w:type="dxa"/>
            <w:vAlign w:val="bottom"/>
          </w:tcPr>
          <w:p>
            <w:pPr>
              <w:spacing w:after="0"/>
              <w:rPr>
                <w:sz w:val="1"/>
                <w:szCs w:val="1"/>
                <w:color w:val="auto"/>
              </w:rPr>
            </w:pPr>
          </w:p>
        </w:tc>
      </w:tr>
      <w:tr>
        <w:trPr>
          <w:trHeight w:val="230"/>
        </w:trPr>
        <w:tc>
          <w:tcPr>
            <w:tcW w:w="55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Scientific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w:t>
            </w: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371,000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467,520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59"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 These amounts do not correspond to the actual value that may be recognized by the named executive officers upon vesting of the applicable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13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Shares of</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Options</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Vested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Date(1)</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260" w:type="dxa"/>
            <w:vAlign w:val="bottom"/>
          </w:tcPr>
          <w:p>
            <w:pPr>
              <w:spacing w:after="0"/>
              <w:rPr>
                <w:sz w:val="15"/>
                <w:szCs w:val="15"/>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Faraz Ali</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9/6/2018</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2,550,000(4)</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0.11</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9/5/2028</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3/10/2020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46,875</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203,125(5)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3/9/2030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Timothy Charles Hoey, Ph.D.</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9/13/2017</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166,667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2/6/2019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200,000(6)</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2/5/2029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2/7/2020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13,750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46,250(5)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0.45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2/6/2030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12/10/2018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450,000(7)</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12/9/2028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of the outstanding equity awards was granted pursuant to our Amended and Restated 2016 Equity Incentive Plan (the 2016 Plan).</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This column represents the fair market value of a share of our common stock on the date of grant, as determined by our board of directors.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8"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column represents the fair market value of a share of our common stock as of December 31, 2020, the market value has been calculated based on an estimated per-share common stock value of $0.08 per share as of December 31, 2020.</w:t>
      </w:r>
    </w:p>
    <w:p>
      <w:pPr>
        <w:spacing w:after="0" w:line="1"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1/5th of the shares subject to this option vested on the first anniversary of the vesting commencement date and 1/60th of the shares vest monthly thereafter, subject to the optionee’s continued status as a service provider through each vest date. All of the shares underlying this option are subject to an early exercise provision.</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1/48th of the shares subject to this option vest monthly after the grant date, subject to the optionee’s continued status as a service provider through each vest date.</w:t>
      </w:r>
    </w:p>
    <w:p>
      <w:pPr>
        <w:ind w:left="540" w:right="60" w:hanging="424"/>
        <w:spacing w:after="0" w:line="250"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1/48th of the shares subject to this option vest monthly after the grant date, subject to the optionee’s continued status as a service provider through each vest date. All of the shares underlying this option are subject to an early exercise provision.</w:t>
      </w:r>
    </w:p>
    <w:p>
      <w:pPr>
        <w:ind w:left="540" w:right="180" w:hanging="424"/>
        <w:spacing w:after="0" w:line="255"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1/4th of the shares subject to this option vested on the first anniversary of the vesting commencement date and 1/48th of the shares vest monthly thereafter, subject to the optionee’s continued status as a service provider through each vest date. All of the shares underlying this option are subject to an early exercise provision.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of our current executive officers has executed our standard form of confidential information, invention assignment and arbitration agreement.</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Prior to the completion of this offering, we intend to enter into a confirmatory employment letter with each of our executive officers. Each confirmatory employment letter will provide for continued employment with us on an at-will basis and include terms for base salary, benefits and target cash incentive payments.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Prior to the completion of this offering, we expect to adopt arrangements for our executive officers that provide for certain severance and change in control benefits.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Prior to the effectiveness of this offering, we expect that our board of directors will adopt, and our stockholders will approve, our 2021 Equity Incentive Plan (2021 Plan). The 2021 Plan will be effective on the business day immediately prior to the effective date of the registration statement of which this prospectus forms a part. Our 2021 Plan will provide for the grant of incentive stock options, within the meaning of Section 422 of the Internal Revenue Code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our subsidiary corporations’ employees and consultants.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 total of shares of our common stock are reserved for issuance pursuant to our 2021 Plan. In addition,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reserved for issuance under our 2021 Plan will also include (1) those shares reserved but unissued under our 2016 Plan as of the date of stockholder approval of the 2021 Plan and (2) shares of our common stock subject to or issued pursuant to awards granted under our 2016 Plan that, after the date of stockholder approval of the 2021 Plan, expire or otherwise terminate without having been exercised in full or are forfeited to or repurchased by us due to</w:t>
      </w:r>
    </w:p>
    <w:p>
      <w:pPr>
        <w:spacing w:after="0" w:line="1" w:lineRule="exact"/>
        <w:rPr>
          <w:sz w:val="20"/>
          <w:szCs w:val="20"/>
          <w:color w:val="auto"/>
        </w:rPr>
      </w:pPr>
    </w:p>
    <w:p>
      <w:pPr>
        <w:ind w:left="120" w:right="120"/>
        <w:spacing w:after="0" w:line="290" w:lineRule="auto"/>
        <w:rPr>
          <w:sz w:val="20"/>
          <w:szCs w:val="20"/>
          <w:color w:val="auto"/>
        </w:rPr>
      </w:pPr>
      <w:r>
        <w:rPr>
          <w:rFonts w:ascii="Arial" w:cs="Arial" w:eastAsia="Arial" w:hAnsi="Arial"/>
          <w:sz w:val="17"/>
          <w:szCs w:val="17"/>
          <w:color w:val="auto"/>
        </w:rPr>
        <w:t>failure to vest (provided that the maximum number of shares that may be added to the 2021 Plan pursuant to (1) and (2) is shares). The number of shares available for issuance under our 2021 Plan will also include an annual increase on the first day of each fiscal year beginning with our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3420" w:val="left"/>
          <w:tab w:leader="none" w:pos="4540" w:val="left"/>
          <w:tab w:leader="none" w:pos="5360" w:val="left"/>
        </w:tabs>
        <w:rPr>
          <w:sz w:val="20"/>
          <w:szCs w:val="20"/>
          <w:color w:val="auto"/>
        </w:rPr>
      </w:pPr>
      <w:r>
        <w:rPr>
          <w:rFonts w:ascii="Arial" w:cs="Arial" w:eastAsia="Arial" w:hAnsi="Arial"/>
          <w:sz w:val="18"/>
          <w:szCs w:val="18"/>
          <w:color w:val="auto"/>
        </w:rPr>
        <w:t>2022 fiscal year, equal to the least of:</w:t>
      </w:r>
      <w:r>
        <w:rPr>
          <w:sz w:val="20"/>
          <w:szCs w:val="20"/>
          <w:color w:val="auto"/>
        </w:rPr>
        <w:tab/>
      </w: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percent (</w:t>
      </w:r>
      <w:r>
        <w:rPr>
          <w:sz w:val="20"/>
          <w:szCs w:val="20"/>
          <w:color w:val="auto"/>
        </w:rPr>
        <w:tab/>
      </w:r>
      <w:r>
        <w:rPr>
          <w:rFonts w:ascii="Arial" w:cs="Arial" w:eastAsia="Arial" w:hAnsi="Arial"/>
          <w:sz w:val="16"/>
          <w:szCs w:val="16"/>
          <w:color w:val="auto"/>
        </w:rPr>
        <w:t>%) of the outstanding shares of our common stock as of the last day of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immediately preceding fiscal year; or such other amount as our board of directors may determine.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annual increase will operate only until the ten year anniversary of our board’s approval of the 2021 Plan.</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2021 Plan (unless the 2021 Plan has terminated). With respect to stock appreciation rights, only the net shares actually issued will cease to be available under the 2021 Plan and all remaining shares under stock appreciation rights will remain available for future grant or sale under the 2021 Plan (unless the 2021 Plan has terminated). Shares that have actually been issued under the 2021 Plan will not be returned to the 2021 Plan except if shares issued pursuant to awards of restricted stock, restricted stock units, performance shares, or performance units are repurchased by or forfeited to us due to failure to vest, such shares will become available for future grant under the 2021 Plan. Shares used to pay the exercise price of an award or satisfy the tax withholding obligations related to an award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8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one or more committees appointed by our board of directors will administer our 2021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of our board of directors will initially administer our 2021 Plan. In addition, if we determine it is desirable to qualify transactions under our 2021 Plan as exempt under Rule 16b-3 of the Exchange Act, such transactions will be structured to satisfy the requirements for exemption under Rule 16b-3. Subject to the provisions of our 2021 Plan, the administrator has the power to administer our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2021 Plan and awards granted under it, prescribe, amend and rescind rules relating to our 2021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3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2021 Plan. The exercise price of options granted under our 2021 Plan must at least be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2021 Plan, the administrator determines the other terms of options.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2021 Plan. Stock appreciation rights allow the recipient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2021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2021 Plan. Restricted stock awards are grants of shares of our common stock that 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terms and conditions established by the administrator. The administrator will determine the number of shares of restricted stock granted to any employee, director, or consultant and, subject to the provisions of our 2021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Restricted stock units may be granted under our 2021 Plan. Restricted stock units are bookkeeping entries representing an</w:t>
      </w:r>
      <w:r>
        <w:rPr>
          <w:rFonts w:ascii="Arial" w:cs="Arial" w:eastAsia="Arial" w:hAnsi="Arial"/>
          <w:sz w:val="17"/>
          <w:szCs w:val="17"/>
          <w:i w:val="1"/>
          <w:iCs w:val="1"/>
          <w:color w:val="auto"/>
        </w:rPr>
        <w:t xml:space="preserve"> </w:t>
      </w:r>
      <w:r>
        <w:rPr>
          <w:rFonts w:ascii="Arial" w:cs="Arial" w:eastAsia="Arial" w:hAnsi="Arial"/>
          <w:sz w:val="17"/>
          <w:szCs w:val="17"/>
          <w:color w:val="auto"/>
        </w:rPr>
        <w:t>amount equal to the fair market value of one share of our common stock. Subject to the provisions of our 2021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Performance units and performance shares</w:t>
      </w:r>
      <w:r>
        <w:rPr>
          <w:rFonts w:ascii="Arial" w:cs="Arial" w:eastAsia="Arial" w:hAnsi="Arial"/>
          <w:sz w:val="16"/>
          <w:szCs w:val="16"/>
          <w:color w:val="auto"/>
        </w:rPr>
        <w:t>. Performance units and performance shares may be granted under our 2021 Plan. Performance units</w:t>
      </w:r>
      <w:r>
        <w:rPr>
          <w:rFonts w:ascii="Arial" w:cs="Arial" w:eastAsia="Arial" w:hAnsi="Arial"/>
          <w:sz w:val="16"/>
          <w:szCs w:val="16"/>
          <w:i w:val="1"/>
          <w:iCs w:val="1"/>
          <w:color w:val="auto"/>
        </w:rPr>
        <w:t xml:space="preserve"> </w:t>
      </w:r>
      <w:r>
        <w:rPr>
          <w:rFonts w:ascii="Arial" w:cs="Arial" w:eastAsia="Arial" w:hAnsi="Arial"/>
          <w:sz w:val="16"/>
          <w:szCs w:val="16"/>
          <w:color w:val="auto"/>
        </w:rPr>
        <w:t>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2021 Plan generally does not allow for the transfer of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the recipient of an award may exercise an award during his or her lifetime. If the administrator makes an award transferrable, such award will contain such additional terms and conditions as the administrator deems appropriate.</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our 2021 Plan, the administrator will adjust the number and class of shares that may be delivered under our 2021 Plan and/or the number, class, and price of shares covered by each outstanding award and the numerical share limits set forth in our 2021 Plan.</w:t>
      </w:r>
    </w:p>
    <w:p>
      <w:pPr>
        <w:spacing w:after="0" w:line="165"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the extent not exercised, all awards will terminate immediately prior to the consummation of such proposed transaction.</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2021 Plan provides that in the event of a merger or change in control, as defined under our 2021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participant’s consent. The administrator is not required to treat all awards, all awards held by a participant or all awards of the same type similarly.</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6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will be subject to any clawback policy of ours, and the administrator also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2021 Plan, provided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rights of any participant.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Prior to the effectiveness of this offering, we expect that our board of directors will adopt, and our stockholders will approve, our 2021 Employee Stock Purchase Plan (ESPP). We expect that our ESPP will be effective on the business day immediately prior to the effective date of the registration statement of which this prospectus forms a part. However, no offering period or purchase period under the ESPP will begin unless and until otherwise determined by our board of directors.</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 total of shares of our common stock will be available for sale under our ESPP. The number of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that will be available for sale under our ESPP also includes an annual increase on the first day of each fiscal year following the fiscal year in which</w:t>
      </w:r>
    </w:p>
    <w:p>
      <w:pPr>
        <w:ind w:left="120" w:right="600"/>
        <w:spacing w:after="0" w:line="290" w:lineRule="auto"/>
        <w:rPr>
          <w:sz w:val="20"/>
          <w:szCs w:val="20"/>
          <w:color w:val="auto"/>
        </w:rPr>
      </w:pPr>
      <w:r>
        <w:rPr>
          <w:rFonts w:ascii="Arial" w:cs="Arial" w:eastAsia="Arial" w:hAnsi="Arial"/>
          <w:sz w:val="17"/>
          <w:szCs w:val="17"/>
          <w:color w:val="auto"/>
        </w:rPr>
        <w:t>the first offering period under the ESPP commences, equal to the least of: shares; percent ( %) of the outstanding shares of our common stock as of the last day of the immediately preceding fiscal year; or such other amount as the administrator may determine.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annual increase will operate only until the ten year anniversary of our board’s approval of our ESPP.</w:t>
      </w:r>
    </w:p>
    <w:p>
      <w:pPr>
        <w:spacing w:after="0" w:line="22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ESPP administration</w:t>
      </w:r>
      <w:r>
        <w:rPr>
          <w:rFonts w:ascii="Arial" w:cs="Arial" w:eastAsia="Arial" w:hAnsi="Arial"/>
          <w:sz w:val="18"/>
          <w:szCs w:val="18"/>
          <w:color w:val="auto"/>
        </w:rPr>
        <w:t>. We expect that the compensation committee of our board of directors will administer our ESPP and will have full and</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discretionary 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19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Generally, all of our employees will be eligible to participate if they are customarily employed by us, or any participating subsidiary or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or her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However, an employee may not be granted rights to purchase shares of our common stock under our ESPP if such employee: immediately after</w:t>
      </w:r>
    </w:p>
    <w:p>
      <w:pPr>
        <w:spacing w:after="0" w:line="46"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the grant would own capital stock and/or hold outstanding options to purchase such stock possessing or more of the total combined voting power or value of all classes of capital stock of ours or of any parent or subsidiary of ours; or holds rights to purchase shares of our common stock under</w:t>
      </w:r>
    </w:p>
    <w:p>
      <w:pPr>
        <w:ind w:left="120" w:right="120"/>
        <w:spacing w:after="0" w:line="260" w:lineRule="auto"/>
        <w:rPr>
          <w:sz w:val="20"/>
          <w:szCs w:val="20"/>
          <w:color w:val="auto"/>
        </w:rPr>
      </w:pPr>
      <w:r>
        <w:rPr>
          <w:rFonts w:ascii="Arial" w:cs="Arial" w:eastAsia="Arial" w:hAnsi="Arial"/>
          <w:sz w:val="18"/>
          <w:szCs w:val="18"/>
          <w:color w:val="auto"/>
        </w:rPr>
        <w:t>all employee stock purchase plans of ours or any parent or subsidiary of ours that accrue at a rate that exceeds $ worth of shares of our common stock for each calendar year in which such rights are outstanding at any time.</w:t>
      </w:r>
    </w:p>
    <w:p>
      <w:pPr>
        <w:spacing w:after="0" w:line="18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Our ESPP will include a component that allows us to make offerings intended to qualify under Section 423 of the Code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that allows us to make offerings not intended to qualify under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519"/>
        </w:trPr>
        <w:tc>
          <w:tcPr>
            <w:tcW w:w="7600" w:type="dxa"/>
            <w:vAlign w:val="bottom"/>
            <w:gridSpan w:val="4"/>
          </w:tcPr>
          <w:p>
            <w:pPr>
              <w:ind w:left="120"/>
              <w:spacing w:after="0"/>
              <w:rPr>
                <w:sz w:val="20"/>
                <w:szCs w:val="20"/>
                <w:color w:val="auto"/>
              </w:rPr>
            </w:pPr>
            <w:r>
              <w:rPr>
                <w:rFonts w:ascii="Arial" w:cs="Arial" w:eastAsia="Arial" w:hAnsi="Arial"/>
                <w:sz w:val="18"/>
                <w:szCs w:val="18"/>
                <w:color w:val="auto"/>
                <w:w w:val="92"/>
              </w:rPr>
              <w:t>Section 423 of the Code to designated companies, as described in our ESPP. Our ESPP provides for</w:t>
            </w:r>
          </w:p>
        </w:tc>
        <w:tc>
          <w:tcPr>
            <w:tcW w:w="3500" w:type="dxa"/>
            <w:vAlign w:val="bottom"/>
            <w:gridSpan w:val="3"/>
          </w:tcPr>
          <w:p>
            <w:pPr>
              <w:jc w:val="right"/>
              <w:ind w:right="110"/>
              <w:spacing w:after="0"/>
              <w:rPr>
                <w:sz w:val="20"/>
                <w:szCs w:val="20"/>
                <w:color w:val="auto"/>
              </w:rPr>
            </w:pPr>
            <w:r>
              <w:rPr>
                <w:rFonts w:ascii="Arial" w:cs="Arial" w:eastAsia="Arial" w:hAnsi="Arial"/>
                <w:sz w:val="18"/>
                <w:szCs w:val="18"/>
                <w:color w:val="auto"/>
              </w:rPr>
              <w:t>offering periods. The offering periods are</w:t>
            </w:r>
          </w:p>
        </w:tc>
      </w:tr>
      <w:tr>
        <w:trPr>
          <w:trHeight w:val="216"/>
        </w:trPr>
        <w:tc>
          <w:tcPr>
            <w:tcW w:w="4160" w:type="dxa"/>
            <w:vAlign w:val="bottom"/>
            <w:gridSpan w:val="2"/>
          </w:tcPr>
          <w:p>
            <w:pPr>
              <w:ind w:left="120"/>
              <w:spacing w:after="0"/>
              <w:rPr>
                <w:sz w:val="20"/>
                <w:szCs w:val="20"/>
                <w:color w:val="auto"/>
              </w:rPr>
            </w:pPr>
            <w:r>
              <w:rPr>
                <w:rFonts w:ascii="Arial" w:cs="Arial" w:eastAsia="Arial" w:hAnsi="Arial"/>
                <w:sz w:val="18"/>
                <w:szCs w:val="18"/>
                <w:color w:val="auto"/>
                <w:w w:val="97"/>
              </w:rPr>
              <w:t>scheduled to start on the first trading day on or after</w:t>
            </w:r>
          </w:p>
        </w:tc>
        <w:tc>
          <w:tcPr>
            <w:tcW w:w="1200" w:type="dxa"/>
            <w:vAlign w:val="bottom"/>
          </w:tcPr>
          <w:p>
            <w:pPr>
              <w:ind w:left="320"/>
              <w:spacing w:after="0"/>
              <w:rPr>
                <w:sz w:val="20"/>
                <w:szCs w:val="20"/>
                <w:color w:val="auto"/>
              </w:rPr>
            </w:pPr>
            <w:r>
              <w:rPr>
                <w:rFonts w:ascii="Arial" w:cs="Arial" w:eastAsia="Arial" w:hAnsi="Arial"/>
                <w:sz w:val="18"/>
                <w:szCs w:val="18"/>
                <w:color w:val="auto"/>
              </w:rPr>
              <w:t>and</w:t>
            </w:r>
          </w:p>
        </w:tc>
        <w:tc>
          <w:tcPr>
            <w:tcW w:w="5740" w:type="dxa"/>
            <w:vAlign w:val="bottom"/>
            <w:gridSpan w:val="4"/>
          </w:tcPr>
          <w:p>
            <w:pPr>
              <w:jc w:val="right"/>
              <w:ind w:right="50"/>
              <w:spacing w:after="0"/>
              <w:rPr>
                <w:sz w:val="20"/>
                <w:szCs w:val="20"/>
                <w:color w:val="auto"/>
              </w:rPr>
            </w:pPr>
            <w:r>
              <w:rPr>
                <w:rFonts w:ascii="Arial" w:cs="Arial" w:eastAsia="Arial" w:hAnsi="Arial"/>
                <w:sz w:val="18"/>
                <w:szCs w:val="18"/>
                <w:color w:val="auto"/>
                <w:w w:val="92"/>
              </w:rPr>
              <w:t>of each year, except for the first offering period, which will commence on the</w:t>
            </w:r>
          </w:p>
        </w:tc>
      </w:tr>
      <w:tr>
        <w:trPr>
          <w:trHeight w:val="216"/>
        </w:trPr>
        <w:tc>
          <w:tcPr>
            <w:tcW w:w="9540" w:type="dxa"/>
            <w:vAlign w:val="bottom"/>
            <w:gridSpan w:val="6"/>
          </w:tcPr>
          <w:p>
            <w:pPr>
              <w:ind w:left="120"/>
              <w:spacing w:after="0"/>
              <w:rPr>
                <w:sz w:val="20"/>
                <w:szCs w:val="20"/>
                <w:color w:val="auto"/>
              </w:rPr>
            </w:pPr>
            <w:r>
              <w:rPr>
                <w:rFonts w:ascii="Arial" w:cs="Arial" w:eastAsia="Arial" w:hAnsi="Arial"/>
                <w:sz w:val="18"/>
                <w:szCs w:val="18"/>
                <w:color w:val="auto"/>
                <w:w w:val="92"/>
              </w:rPr>
              <w:t>effective date of the registration statement of which this prospectus forms a part and will end on the first trading day on or before</w:t>
            </w:r>
          </w:p>
        </w:tc>
        <w:tc>
          <w:tcPr>
            <w:tcW w:w="1560" w:type="dxa"/>
            <w:vAlign w:val="bottom"/>
          </w:tcPr>
          <w:p>
            <w:pPr>
              <w:jc w:val="right"/>
              <w:spacing w:after="0"/>
              <w:rPr>
                <w:sz w:val="20"/>
                <w:szCs w:val="20"/>
                <w:color w:val="auto"/>
              </w:rPr>
            </w:pPr>
            <w:r>
              <w:rPr>
                <w:rFonts w:ascii="Arial" w:cs="Arial" w:eastAsia="Arial" w:hAnsi="Arial"/>
                <w:sz w:val="18"/>
                <w:szCs w:val="18"/>
                <w:color w:val="auto"/>
              </w:rPr>
              <w:t>and the second</w:t>
            </w:r>
          </w:p>
        </w:tc>
      </w:tr>
      <w:tr>
        <w:trPr>
          <w:trHeight w:val="216"/>
        </w:trPr>
        <w:tc>
          <w:tcPr>
            <w:tcW w:w="5360" w:type="dxa"/>
            <w:vAlign w:val="bottom"/>
            <w:gridSpan w:val="3"/>
          </w:tcPr>
          <w:p>
            <w:pPr>
              <w:ind w:left="120"/>
              <w:spacing w:after="0"/>
              <w:rPr>
                <w:sz w:val="20"/>
                <w:szCs w:val="20"/>
                <w:color w:val="auto"/>
              </w:rPr>
            </w:pPr>
            <w:r>
              <w:rPr>
                <w:rFonts w:ascii="Arial" w:cs="Arial" w:eastAsia="Arial" w:hAnsi="Arial"/>
                <w:sz w:val="18"/>
                <w:szCs w:val="18"/>
                <w:color w:val="auto"/>
                <w:w w:val="92"/>
              </w:rPr>
              <w:t>offering period, which will commence on the first trading day on or after</w:t>
            </w:r>
          </w:p>
        </w:tc>
        <w:tc>
          <w:tcPr>
            <w:tcW w:w="5740" w:type="dxa"/>
            <w:vAlign w:val="bottom"/>
            <w:gridSpan w:val="4"/>
          </w:tcPr>
          <w:p>
            <w:pPr>
              <w:jc w:val="right"/>
              <w:ind w:right="290"/>
              <w:spacing w:after="0"/>
              <w:rPr>
                <w:sz w:val="20"/>
                <w:szCs w:val="20"/>
                <w:color w:val="auto"/>
              </w:rPr>
            </w:pPr>
            <w:r>
              <w:rPr>
                <w:rFonts w:ascii="Arial" w:cs="Arial" w:eastAsia="Arial" w:hAnsi="Arial"/>
                <w:sz w:val="18"/>
                <w:szCs w:val="18"/>
                <w:color w:val="auto"/>
              </w:rPr>
              <w:t>. Unless the administrator of our ESPP determines otherwise, each</w:t>
            </w:r>
          </w:p>
        </w:tc>
      </w:tr>
      <w:tr>
        <w:trPr>
          <w:trHeight w:val="230"/>
        </w:trPr>
        <w:tc>
          <w:tcPr>
            <w:tcW w:w="8500" w:type="dxa"/>
            <w:vAlign w:val="bottom"/>
            <w:gridSpan w:val="5"/>
          </w:tcPr>
          <w:p>
            <w:pPr>
              <w:ind w:left="120"/>
              <w:spacing w:after="0"/>
              <w:rPr>
                <w:sz w:val="20"/>
                <w:szCs w:val="20"/>
                <w:color w:val="auto"/>
              </w:rPr>
            </w:pPr>
            <w:r>
              <w:rPr>
                <w:rFonts w:ascii="Arial" w:cs="Arial" w:eastAsia="Arial" w:hAnsi="Arial"/>
                <w:sz w:val="18"/>
                <w:szCs w:val="18"/>
                <w:color w:val="auto"/>
                <w:w w:val="96"/>
              </w:rPr>
              <w:t>offering period will include   -month purchase periods, which will commence on or after, and end on or before,</w:t>
            </w:r>
          </w:p>
        </w:tc>
        <w:tc>
          <w:tcPr>
            <w:tcW w:w="1040" w:type="dxa"/>
            <w:vAlign w:val="bottom"/>
          </w:tcPr>
          <w:p>
            <w:pPr>
              <w:ind w:left="320"/>
              <w:spacing w:after="0"/>
              <w:rPr>
                <w:sz w:val="20"/>
                <w:szCs w:val="20"/>
                <w:color w:val="auto"/>
              </w:rPr>
            </w:pPr>
            <w:r>
              <w:rPr>
                <w:rFonts w:ascii="Arial" w:cs="Arial" w:eastAsia="Arial" w:hAnsi="Arial"/>
                <w:sz w:val="18"/>
                <w:szCs w:val="18"/>
                <w:color w:val="auto"/>
              </w:rPr>
              <w:t>and</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w w:val="97"/>
              </w:rPr>
              <w:t>, respectively The</w:t>
            </w:r>
          </w:p>
        </w:tc>
      </w:tr>
    </w:tbl>
    <w:p>
      <w:pPr>
        <w:ind w:left="120" w:right="8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administrator is authorized to establish the duration of offering periods and purchase periods, including the starting and ending dates of offering periods and purchase periods, provided that no offering period may have a duration exceeding 27 months.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Contributions. </w:t>
      </w:r>
      <w:r>
        <w:rPr>
          <w:rFonts w:ascii="Arial" w:cs="Arial" w:eastAsia="Arial" w:hAnsi="Arial"/>
          <w:sz w:val="16"/>
          <w:szCs w:val="16"/>
          <w:color w:val="auto"/>
        </w:rPr>
        <w:t>Our ESPP will permit participants to purchase shares of our common stock through contributions (in the form of payroll deductions</w:t>
      </w:r>
    </w:p>
    <w:p>
      <w:pPr>
        <w:spacing w:after="0" w:line="46" w:lineRule="exact"/>
        <w:rPr>
          <w:sz w:val="20"/>
          <w:szCs w:val="20"/>
          <w:color w:val="auto"/>
        </w:rPr>
      </w:pPr>
    </w:p>
    <w:p>
      <w:pPr>
        <w:ind w:left="700" w:right="340" w:hanging="584"/>
        <w:spacing w:after="0" w:line="260" w:lineRule="auto"/>
        <w:rPr>
          <w:sz w:val="20"/>
          <w:szCs w:val="20"/>
          <w:color w:val="auto"/>
        </w:rPr>
      </w:pPr>
      <w:r>
        <w:rPr>
          <w:rFonts w:ascii="Arial" w:cs="Arial" w:eastAsia="Arial" w:hAnsi="Arial"/>
          <w:sz w:val="18"/>
          <w:szCs w:val="18"/>
          <w:color w:val="auto"/>
        </w:rPr>
        <w:t>or otherwise to the extent permitted by the administrator) of up to</w:t>
      </w:r>
      <w:r>
        <w:rPr>
          <w:sz w:val="20"/>
          <w:szCs w:val="20"/>
          <w:color w:val="auto"/>
        </w:rPr>
        <w:t xml:space="preserve"> </w:t>
      </w:r>
      <w:r>
        <w:rPr>
          <w:rFonts w:ascii="Arial" w:cs="Arial" w:eastAsia="Arial" w:hAnsi="Arial"/>
          <w:sz w:val="18"/>
          <w:szCs w:val="18"/>
          <w:color w:val="auto"/>
        </w:rPr>
        <w:t>of their eligible compensation. A participant may purchase a maximum of shares of our common stock during a purchase period.</w:t>
      </w:r>
    </w:p>
    <w:p>
      <w:pPr>
        <w:spacing w:after="0" w:line="18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Exercise of purchase right</w:t>
      </w:r>
      <w:r>
        <w:rPr>
          <w:rFonts w:ascii="Arial" w:cs="Arial" w:eastAsia="Arial" w:hAnsi="Arial"/>
          <w:sz w:val="16"/>
          <w:szCs w:val="16"/>
          <w:color w:val="auto"/>
        </w:rPr>
        <w:t>. If our board of directors authorizes an offering and purchase period under the ESPP, amounts contributed and</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by the participant during any offering period will be used to purchase shares of our common stock at the end of each purchase period. The purchase price of the shares will be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6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 participant may not transfer rights granted under our ESPP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ESPP).</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i w:val="1"/>
          <w:iCs w:val="1"/>
          <w:color w:val="auto"/>
        </w:rPr>
        <w:t xml:space="preserve">Merger or change in control. </w:t>
      </w:r>
      <w:r>
        <w:rPr>
          <w:rFonts w:ascii="Arial" w:cs="Arial" w:eastAsia="Arial" w:hAnsi="Arial"/>
          <w:sz w:val="16"/>
          <w:szCs w:val="16"/>
          <w:color w:val="auto"/>
        </w:rPr>
        <w:t>Our ESPP will provide that in the event of a merger or change in control, as defined under our ESPP, a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6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The board will have the authority suspend or terminate our ESPP and the administrator will have the authority to amend</w:t>
      </w:r>
      <w:r>
        <w:rPr>
          <w:rFonts w:ascii="Arial" w:cs="Arial" w:eastAsia="Arial" w:hAnsi="Arial"/>
          <w:sz w:val="16"/>
          <w:szCs w:val="16"/>
          <w:i w:val="1"/>
          <w:iCs w:val="1"/>
          <w:color w:val="auto"/>
        </w:rPr>
        <w:t xml:space="preserve"> </w:t>
      </w:r>
      <w:r>
        <w:rPr>
          <w:rFonts w:ascii="Arial" w:cs="Arial" w:eastAsia="Arial" w:hAnsi="Arial"/>
          <w:sz w:val="16"/>
          <w:szCs w:val="16"/>
          <w:color w:val="auto"/>
        </w:rPr>
        <w:t>the ESPP, except that, subject to certain exceptions described in our ESPP, no such action may adversely affect any outstanding rights to purchase shares</w:t>
      </w:r>
    </w:p>
    <w:p>
      <w:pPr>
        <w:ind w:left="120"/>
        <w:spacing w:after="0"/>
        <w:tabs>
          <w:tab w:leader="none" w:pos="6520" w:val="left"/>
        </w:tabs>
        <w:rPr>
          <w:sz w:val="20"/>
          <w:szCs w:val="20"/>
          <w:color w:val="auto"/>
        </w:rPr>
      </w:pPr>
      <w:r>
        <w:rPr>
          <w:rFonts w:ascii="Arial" w:cs="Arial" w:eastAsia="Arial" w:hAnsi="Arial"/>
          <w:sz w:val="18"/>
          <w:szCs w:val="18"/>
          <w:color w:val="auto"/>
        </w:rPr>
        <w:t>of our common stock under our ESPP. Our ESPP automatically will terminate in</w:t>
      </w:r>
      <w:r>
        <w:rPr>
          <w:sz w:val="20"/>
          <w:szCs w:val="20"/>
          <w:color w:val="auto"/>
        </w:rPr>
        <w:tab/>
      </w:r>
      <w:r>
        <w:rPr>
          <w:rFonts w:ascii="Arial" w:cs="Arial" w:eastAsia="Arial" w:hAnsi="Arial"/>
          <w:sz w:val="16"/>
          <w:szCs w:val="16"/>
          <w:color w:val="auto"/>
        </w:rPr>
        <w:t>, unless we terminate it sooner.</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2016 Equity Incentive Plan</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Our Amended and Restated 2016 Equity Incentive Plan (2016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including employees and consultants of any of our parent or subsidiary companies. It is expected that as of one business day prior to the effectiveness of the registration statement of which this prospectus forms a part, our 2016 Plan will terminate and we will not grant any additional awards under our 2016 Plan thereafter. However, our 2016 Plan will continue to govern the terms and conditions of the outstanding awards previously granted under our 2016 Plan.</w:t>
      </w: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46"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4460" w:val="left"/>
        </w:tabs>
        <w:rPr>
          <w:sz w:val="20"/>
          <w:szCs w:val="20"/>
          <w:color w:val="auto"/>
        </w:rPr>
      </w:pPr>
      <w:r>
        <w:rPr>
          <w:rFonts w:ascii="Arial" w:cs="Arial" w:eastAsia="Arial" w:hAnsi="Arial"/>
          <w:sz w:val="18"/>
          <w:szCs w:val="18"/>
          <w:color w:val="auto"/>
        </w:rPr>
        <w:t>As of March 31, 2021, stock options covering</w:t>
      </w:r>
      <w:r>
        <w:rPr>
          <w:sz w:val="20"/>
          <w:szCs w:val="20"/>
          <w:color w:val="auto"/>
        </w:rPr>
        <w:tab/>
      </w:r>
      <w:r>
        <w:rPr>
          <w:rFonts w:ascii="Arial" w:cs="Arial" w:eastAsia="Arial" w:hAnsi="Arial"/>
          <w:sz w:val="16"/>
          <w:szCs w:val="16"/>
          <w:color w:val="auto"/>
        </w:rPr>
        <w:t>shares of our common stock were outstanding under our 2016 Plan and there were no stock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appreciation rights, restricted stock awards or restricted stock units outstanding under our 2016 Plan.</w:t>
      </w:r>
    </w:p>
    <w:p>
      <w:pPr>
        <w:spacing w:after="0" w:line="21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compensation committee has the authority, concurrent with our board of directors to administer our 2016 Plan.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may administer our 2016 Plan with respect to different service providers. The administrator has all authority and discretion necessary or appropriate to administer our 2016 Plan and to control its operation, including the authority to construe and interpret the terms of our 2016 Plan and the awards granted under our 2016 Plan. The administrator’s decisions are final and binding on all participants and any other persons holding awards.</w:t>
      </w:r>
    </w:p>
    <w:p>
      <w:pPr>
        <w:spacing w:after="0" w:line="15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administrator’s powers include the power to institute an exchange program (without stockholder approval) under which (1) outstanding awards are surrendered or cancelled in exchange for awards of the same type (which may have higher or lower exercise prices and different terms), awards of a different type and/or cash, (2) participants would have the opportunity to transfer any outstanding awards to a financial institution or other person or entity selected by the administrator and/or (3) the exercise price of an outstanding award is increased or reduced. The administrator’s powers also include the power to prescribe, amend and rescind rules and regulations relating to our 2016 Plan, to modify or amend each award and to make all other determinations deemed necessary or advisable for administering our 2016 Plan.</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including employees and consultants of any of our parent or subsidiary companies, are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awards, provided such consultants render bona fide services not in connection with the offer or sale of securities in a capital-raising transaction and do not directly promote or maintain a market for our securities. Only our employees or employees of our parent or subsidiary companies are eligible to receive incentive stock options.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2016 Plan. Subject to the provisions of our 2016 Plan, the administrator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an option, the number of shares subject to an option, and the time period in which an option may be exercised.</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except as provided for in the 2016 Plan. However, an incentive stock option granted to an individual who directly or by attribution owns more than 10% of the total combined voting power of all of our classes of stock or of any our parent or subsidiary companies will have a term of no longer than five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plans of ours and any of our parent or subsidiary companies) exceeds $100,000, such options will be treated as nonstatutory stock options.</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administrator determines how a participant may pay the exercise price of an option, and the permissible methods are generally set forth in the applicable award agreement. If a participant’s status as a “service provider” (as defined in our 2016 Plan) terminates, that participant may exercise the vested portion of his or her option for the period of time stated in the applicable award agreement. Vested options generally will remain exercisable for 30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80"/>
          </w:cols>
          <w:pgMar w:left="320" w:top="459"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57"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transferred, pledged, assigned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alienated or hypothecated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or (3) as permitted by Rule 701 of the Securities Act of 1933, as amended (the Securities Act).</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If there is a dividend or other distribution (whether in the form of cash, shares, other securities or other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class of shares that may be delivered under our 2016 Plan or the number, class and price of shares covered by each outstanding award. The administrator’s determination regarding such adjustments will be final, binding and conclusive.</w:t>
      </w:r>
    </w:p>
    <w:p>
      <w:pPr>
        <w:spacing w:after="0" w:line="176" w:lineRule="exact"/>
        <w:rPr>
          <w:sz w:val="20"/>
          <w:szCs w:val="20"/>
          <w:color w:val="auto"/>
        </w:rPr>
      </w:pPr>
    </w:p>
    <w:p>
      <w:pPr>
        <w:ind w:left="120" w:right="640" w:firstLine="440"/>
        <w:spacing w:after="0" w:line="263"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prior to the effective date of such proposed transaction. To the extent it has not been previously exercised, an award will terminate immediately prior to the consummation of such proposed action.</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Merger and change in control</w:t>
      </w:r>
      <w:r>
        <w:rPr>
          <w:rFonts w:ascii="Arial" w:cs="Arial" w:eastAsia="Arial" w:hAnsi="Arial"/>
          <w:sz w:val="17"/>
          <w:szCs w:val="17"/>
          <w:color w:val="auto"/>
        </w:rPr>
        <w:t>. In the event of our merger with or into another corporation or entity or a “change in control” (as defined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2016 Plan), each outstanding award will be treated as the administrator determines, including, without limitation, that (1) awards will be assumed, or substantially equivalent awards will be substituted, by the acquiring or succeeding corporation (or an affiliate thereof) with appropriate adjustments as to the number and kind of shares and prices; (2) upon written notice to a participant, the participant’s awards will terminate upon or immediately prior to the consummation of such merger or change in control; (3)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(4)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(5) any combination of the foregoing. The administrator will not be obligated to treat all awards, all awards a participant holds or all awards of the same type, similarly.</w:t>
      </w:r>
    </w:p>
    <w:p>
      <w:pPr>
        <w:spacing w:after="0" w:line="18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6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amend, alter, suspend or terminate our 2016 Plan in any respect,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amendment of any form of award agreement or instrument to be executed pursuant to our 2016 Plan. To the extent necessary and desirable to comply with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applicable laws, we will obtain stockholder approval of any amendment to our 2016 Plan. No amendment, alteration, suspension or termination of our 2016 Plan will impair the rights of a participant, unless mutually agreed otherwise between the participant and the administrator in writing. As noted above, it is expected that as of one business day prior to the effectiveness of the registration statement of which this prospectus forms a part, our 2016 Plan will be terminated, and we will not grant any additional awards under our 2016 Plan thereafter.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Prior to the effectiveness of this offering, we expect that our board of directors will adopt the Executive Incentive Compensation Plan (Incentive Compensation Plan). We expect that our Incentive Compensation Plan will be effective on the business day immediately prior to the effective date of the registration statement of which this prospectus forms a part. Our Incentive Compensation Plan will allow our compensation committee to grant incentive awards, generally payable in cash, to employees selected by our compensation committee, including our executive officers, based upon performance goals established by our compensation committee.</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Under our Incentive Compensation Plan, our compensation committee will determine the performance goals applicable to any award, which goals may include, without limitation, goals related to research and development,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178"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We expect that the compensation committee of our board of directors will administer our Incentive Compensation Plan and will,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will not be required to establish any allocation or weighting with respect to the factors it considers.</w:t>
      </w:r>
    </w:p>
    <w:p>
      <w:pPr>
        <w:spacing w:after="0" w:line="17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board of directors and our compensation committee will have the authority to amend, suspend or terminate our Incentive Compensation Plan, provided such action does not impair the existing rights of any participant with respect to any earned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to the indemnification required in our amended and restated certificate of incorporation and amended and restated bylaws, we intend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85"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2"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1080" w:right="200" w:hanging="532"/>
        <w:spacing w:after="0" w:line="342"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 Issuances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August 2019, March 2020 and August 2020, we issued and sold an aggregate of 55,555,527 shares of our Series B convertible preferred stock at a purchase price of $1.656 per share for an aggregate purchase price of approximately $92.0 million.</w:t>
      </w:r>
    </w:p>
    <w:p>
      <w:pPr>
        <w:spacing w:after="0" w:line="170"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Purchasers of our Series B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Shares of Series B</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Total Purchase</w:t>
            </w:r>
          </w:p>
        </w:tc>
        <w:tc>
          <w:tcPr>
            <w:tcW w:w="0" w:type="dxa"/>
            <w:vAlign w:val="bottom"/>
          </w:tcPr>
          <w:p>
            <w:pPr>
              <w:spacing w:after="0"/>
              <w:rPr>
                <w:sz w:val="1"/>
                <w:szCs w:val="1"/>
                <w:color w:val="auto"/>
              </w:rPr>
            </w:pPr>
          </w:p>
        </w:tc>
      </w:tr>
      <w:tr>
        <w:trPr>
          <w:trHeight w:val="148"/>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140" w:type="dxa"/>
            <w:vAlign w:val="bottom"/>
            <w:gridSpan w:val="2"/>
            <w:vMerge w:val="continue"/>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Casdin Partners Master Fund, L.P.(1)</w:t>
            </w: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12,077,292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19,999,995.55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SymBiosis II, LLC</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9,057,969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14,999,996.66</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The Column Group(2)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6,038,646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9,999,997.78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60" w:hanging="424"/>
        <w:spacing w:after="0" w:line="258"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Eli Casdin, a member of our board of directors is the Chief Investment Officer of Casdin Capital LLC and the managing member of Casdin Partners GP, LLC.</w:t>
      </w:r>
    </w:p>
    <w:p>
      <w:pPr>
        <w:spacing w:after="0" w:line="1" w:lineRule="exact"/>
        <w:rPr>
          <w:rFonts w:ascii="Arial" w:cs="Arial" w:eastAsia="Arial" w:hAnsi="Arial"/>
          <w:sz w:val="18"/>
          <w:szCs w:val="18"/>
          <w:color w:val="auto"/>
        </w:rPr>
      </w:pPr>
    </w:p>
    <w:p>
      <w:pPr>
        <w:jc w:val="both"/>
        <w:ind w:left="540" w:right="160" w:hanging="424"/>
        <w:spacing w:after="0" w:line="255"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Entities affiliated with The Column Group holding our securities are aggregated for reporting ownership information include The Column Group III, LP and The Column Group III-A, LP. David V. Goeddel, a member of our board of directors, is the Managing Partner of The Column Group, and JeenJoo Kang, a member of our board of directors, is a Venture Partner of The Column Group.</w:t>
      </w:r>
    </w:p>
    <w:p>
      <w:pPr>
        <w:spacing w:after="0" w:line="19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December 2020 and January 2021, we issued and sold an aggregate of 51,158,291 shares of our Series C convertible preferred stock at a purchase price of $2.072 per share for an aggregate purchase price of approximately $106.0 million.</w:t>
      </w:r>
    </w:p>
    <w:p>
      <w:pPr>
        <w:spacing w:after="0" w:line="170"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Purchasers of our Series C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Shares of Series C</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378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60" w:type="dxa"/>
            <w:vAlign w:val="bottom"/>
            <w:gridSpan w:val="2"/>
            <w:vMerge w:val="continue"/>
          </w:tcPr>
          <w:p>
            <w:pPr>
              <w:spacing w:after="0"/>
              <w:rPr>
                <w:sz w:val="13"/>
                <w:szCs w:val="13"/>
                <w:color w:val="auto"/>
              </w:rPr>
            </w:pPr>
          </w:p>
        </w:tc>
        <w:tc>
          <w:tcPr>
            <w:tcW w:w="3780" w:type="dxa"/>
            <w:vAlign w:val="bottom"/>
          </w:tcPr>
          <w:p>
            <w:pPr>
              <w:spacing w:after="0"/>
              <w:rPr>
                <w:sz w:val="13"/>
                <w:szCs w:val="13"/>
                <w:color w:val="auto"/>
              </w:rPr>
            </w:pPr>
          </w:p>
        </w:tc>
        <w:tc>
          <w:tcPr>
            <w:tcW w:w="16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3"/>
                <w:szCs w:val="13"/>
                <w:color w:val="auto"/>
              </w:rPr>
            </w:pPr>
          </w:p>
        </w:tc>
        <w:tc>
          <w:tcPr>
            <w:tcW w:w="11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Funds affiliated with Casdin Capital LLC(1)</w:t>
            </w:r>
          </w:p>
        </w:tc>
        <w:tc>
          <w:tcPr>
            <w:tcW w:w="37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4,343,629</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8,999,999.29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Funds affiliated with FMR LLC(2)</w:t>
            </w:r>
          </w:p>
        </w:tc>
        <w:tc>
          <w:tcPr>
            <w:tcW w:w="5400" w:type="dxa"/>
            <w:vAlign w:val="bottom"/>
            <w:gridSpan w:val="3"/>
          </w:tcPr>
          <w:p>
            <w:pPr>
              <w:jc w:val="right"/>
              <w:ind w:right="480"/>
              <w:spacing w:after="0"/>
              <w:rPr>
                <w:sz w:val="20"/>
                <w:szCs w:val="20"/>
                <w:color w:val="auto"/>
              </w:rPr>
            </w:pPr>
            <w:r>
              <w:rPr>
                <w:rFonts w:ascii="Arial" w:cs="Arial" w:eastAsia="Arial" w:hAnsi="Arial"/>
                <w:sz w:val="18"/>
                <w:szCs w:val="18"/>
                <w:color w:val="auto"/>
              </w:rPr>
              <w:t>9,652,509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19,999,998.65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RTW Investments, LP(3)</w:t>
            </w:r>
          </w:p>
        </w:tc>
        <w:tc>
          <w:tcPr>
            <w:tcW w:w="5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9,652,509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19,999,998.65</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SymBiosis II, LLC</w:t>
            </w:r>
          </w:p>
        </w:tc>
        <w:tc>
          <w:tcPr>
            <w:tcW w:w="5400" w:type="dxa"/>
            <w:vAlign w:val="bottom"/>
            <w:gridSpan w:val="3"/>
          </w:tcPr>
          <w:p>
            <w:pPr>
              <w:jc w:val="right"/>
              <w:ind w:right="480"/>
              <w:spacing w:after="0"/>
              <w:rPr>
                <w:sz w:val="20"/>
                <w:szCs w:val="20"/>
                <w:color w:val="auto"/>
              </w:rPr>
            </w:pPr>
            <w:r>
              <w:rPr>
                <w:rFonts w:ascii="Arial" w:cs="Arial" w:eastAsia="Arial" w:hAnsi="Arial"/>
                <w:sz w:val="18"/>
                <w:szCs w:val="18"/>
                <w:color w:val="auto"/>
              </w:rPr>
              <w:t>2,895,752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5,999,998.14</w:t>
            </w:r>
          </w:p>
        </w:tc>
        <w:tc>
          <w:tcPr>
            <w:tcW w:w="0" w:type="dxa"/>
            <w:vAlign w:val="bottom"/>
          </w:tcPr>
          <w:p>
            <w:pPr>
              <w:spacing w:after="0"/>
              <w:rPr>
                <w:sz w:val="1"/>
                <w:szCs w:val="1"/>
                <w:color w:val="auto"/>
              </w:rPr>
            </w:pPr>
          </w:p>
        </w:tc>
      </w:tr>
      <w:tr>
        <w:trPr>
          <w:trHeight w:val="350"/>
        </w:trPr>
        <w:tc>
          <w:tcPr>
            <w:tcW w:w="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80" w:type="dxa"/>
            <w:vAlign w:val="bottom"/>
          </w:tcPr>
          <w:p>
            <w:pPr>
              <w:jc w:val="right"/>
              <w:ind w:right="2410"/>
              <w:spacing w:after="0"/>
              <w:rPr>
                <w:sz w:val="20"/>
                <w:szCs w:val="20"/>
                <w:color w:val="auto"/>
              </w:rPr>
            </w:pPr>
            <w:r>
              <w:rPr>
                <w:rFonts w:ascii="Arial" w:cs="Arial" w:eastAsia="Arial" w:hAnsi="Arial"/>
                <w:sz w:val="18"/>
                <w:szCs w:val="18"/>
                <w:color w:val="auto"/>
              </w:rPr>
              <w:t>211</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80" w:hanging="424"/>
        <w:spacing w:after="0" w:line="255"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Entities affiliated with Casdin Capital LLC holding our securities are aggregated for reporting ownership information include Casdin Partners Master Fund, L.P. and Casdin Private Growth Equity Fund, L.P. Eli Casdin, a member of our board of directors is the Chief Investment Officer of Casdin Capital LLC and the managing member of Casdin Partners GP, LLC.</w:t>
      </w:r>
    </w:p>
    <w:p>
      <w:pPr>
        <w:spacing w:after="0" w:line="2" w:lineRule="exact"/>
        <w:rPr>
          <w:rFonts w:ascii="Arial" w:cs="Arial" w:eastAsia="Arial" w:hAnsi="Arial"/>
          <w:sz w:val="18"/>
          <w:szCs w:val="18"/>
          <w:color w:val="auto"/>
        </w:rPr>
      </w:pPr>
    </w:p>
    <w:p>
      <w:pPr>
        <w:ind w:left="540" w:right="440" w:hanging="424"/>
        <w:spacing w:after="0" w:line="250"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Entities affiliated with Fidelity holding our securities are aggregate for reporting ownership information include Fidelity Advisor Series VII: Fidelity Advisor Biotechnology Fund and Fidelity Select Portfolios: Biotechnology Portfolio.</w:t>
      </w:r>
    </w:p>
    <w:p>
      <w:pPr>
        <w:ind w:left="540" w:right="200" w:hanging="424"/>
        <w:spacing w:after="0" w:line="260"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Entities affiliated with RTW Investments, LP holding our securities are aggregate for reporting ownership information include RTW Innovation Master Fund, Ltd., RTW Master Fund, Ltd., and RTW Venture Fund Limited.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w:t>
      </w:r>
    </w:p>
    <w:p>
      <w:pPr>
        <w:spacing w:after="0" w:line="121" w:lineRule="exact"/>
        <w:rPr>
          <w:sz w:val="20"/>
          <w:szCs w:val="20"/>
          <w:color w:val="auto"/>
        </w:rPr>
      </w:pPr>
    </w:p>
    <w:p>
      <w:pPr>
        <w:jc w:val="both"/>
        <w:ind w:left="120" w:right="120" w:firstLine="440"/>
        <w:spacing w:after="0" w:line="291" w:lineRule="auto"/>
        <w:rPr>
          <w:sz w:val="20"/>
          <w:szCs w:val="20"/>
          <w:color w:val="auto"/>
        </w:rPr>
      </w:pPr>
      <w:r>
        <w:rPr>
          <w:rFonts w:ascii="Arial" w:cs="Arial" w:eastAsia="Arial" w:hAnsi="Arial"/>
          <w:sz w:val="16"/>
          <w:szCs w:val="16"/>
          <w:color w:val="auto"/>
        </w:rPr>
        <w:t>On September 13, 2017, we entered into a full recourse note (the Note) with Timothy Charles Hoey, Ph.D., our Chief Scientific Officer, pursuant to which we loaned $70,000 to cover the aggregate exercise price of Dr. Hoey’s early exercise stock option for 1,000,000 shares of our common stock.</w:t>
      </w:r>
    </w:p>
    <w:p>
      <w:pPr>
        <w:ind w:left="120"/>
        <w:spacing w:after="0"/>
        <w:tabs>
          <w:tab w:leader="none" w:pos="5680" w:val="left"/>
        </w:tabs>
        <w:rPr>
          <w:sz w:val="20"/>
          <w:szCs w:val="20"/>
          <w:color w:val="auto"/>
        </w:rPr>
      </w:pPr>
      <w:r>
        <w:rPr>
          <w:rFonts w:ascii="Arial" w:cs="Arial" w:eastAsia="Arial" w:hAnsi="Arial"/>
          <w:sz w:val="18"/>
          <w:szCs w:val="18"/>
          <w:color w:val="auto"/>
        </w:rPr>
        <w:t>As of March 31, 2021, the amount of the Note outstanding was $</w:t>
      </w:r>
      <w:r>
        <w:rPr>
          <w:sz w:val="20"/>
          <w:szCs w:val="20"/>
          <w:color w:val="auto"/>
        </w:rPr>
        <w:tab/>
      </w:r>
      <w:r>
        <w:rPr>
          <w:rFonts w:ascii="Arial" w:cs="Arial" w:eastAsia="Arial" w:hAnsi="Arial"/>
          <w:sz w:val="13"/>
          <w:szCs w:val="13"/>
          <w:i w:val="1"/>
          <w:iCs w:val="1"/>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party to an investors’ rights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and SymBiosis II, LLC,. Under our investors’ rights agreement, among other things,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party to a voting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SymBiosis II, LLC, JeenJoo Kang, a member of our board directors, and Deepak Srivastava, a member of our board of directors. The parties to the voting agreement have agreed, among other things and subject to certain conditions, to vote the shares of our capital stock held by them so as to elect the following individuals as directors: (1) two individuals designated by The Column Group III, LP and/or The Column Group III-A, LP, currently JeenJoo Kang and David Goeddel, (2) one individual designated by Casdin Master Fund L.P., currently Eli Casdin, (3) our chief executive officer, currently Faraz Ali, and (4) five individuals designated by the holders of a majority the outstanding shares of common stock and preferred stock (voting together as a single class on an as-converted basis), currently Deepak Srivastava, R. Sanders Williams, Jin-Long Chen, Jeff Walsh, and Catherine Stehman-Breen. Upon the consummation of this offering, the obligations of the parties to the voting agreement to vote their shares so as to elect these nominees, as well as the other rights and obligations under the voting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at the closing of this offering.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bylaws that will be in effect upon the closing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 our board of directors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60"/>
          </w:cols>
          <w:pgMar w:left="320" w:top="459"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beneficial ownership of our common stock as of March 31, 2021 by:</w:t>
      </w:r>
    </w:p>
    <w:p>
      <w:pPr>
        <w:spacing w:after="0" w:line="131"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8" w:lineRule="exact"/>
        <w:rPr>
          <w:sz w:val="20"/>
          <w:szCs w:val="20"/>
          <w:color w:val="auto"/>
        </w:rPr>
      </w:pPr>
    </w:p>
    <w:p>
      <w:pPr>
        <w:jc w:val="both"/>
        <w:ind w:left="120" w:right="500" w:firstLine="440"/>
        <w:spacing w:after="0" w:line="287" w:lineRule="auto"/>
        <w:rPr>
          <w:sz w:val="20"/>
          <w:szCs w:val="20"/>
          <w:color w:val="auto"/>
        </w:rPr>
      </w:pPr>
      <w:r>
        <w:rPr>
          <w:rFonts w:ascii="Arial" w:cs="Arial" w:eastAsia="Arial" w:hAnsi="Arial"/>
          <w:sz w:val="16"/>
          <w:szCs w:val="16"/>
          <w:color w:val="auto"/>
        </w:rPr>
        <w:t>We have based our calculation of the percentage of beneficial ownership prior to this offering on shares of our common stock outstanding as of March 31, 2021, after giving effect to the automatic conversion of all outstanding shares of our convertible preferred stock into 156,613,818 shares of our common stock immediately prior to the completion of this offering. We have based our calculation of the percentage of</w:t>
      </w:r>
    </w:p>
    <w:p>
      <w:pPr>
        <w:spacing w:after="0" w:line="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beneficial 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March 31,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9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Tenaya Therapeutics, Inc., 171 Oyster Point Boulevard, 5th Floor, South San Francisco, CA 94080.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8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0"/>
              </w:rPr>
              <w:t>Shares Beneficially</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120" w:type="dxa"/>
            <w:vAlign w:val="bottom"/>
            <w:gridSpan w:val="2"/>
          </w:tcPr>
          <w:p>
            <w:pPr>
              <w:jc w:val="center"/>
              <w:ind w:left="593"/>
              <w:spacing w:after="0" w:line="149" w:lineRule="exact"/>
              <w:rPr>
                <w:sz w:val="20"/>
                <w:szCs w:val="20"/>
                <w:color w:val="auto"/>
              </w:rPr>
            </w:pPr>
            <w:r>
              <w:rPr>
                <w:rFonts w:ascii="Arial" w:cs="Arial" w:eastAsia="Arial" w:hAnsi="Arial"/>
                <w:sz w:val="14"/>
                <w:szCs w:val="14"/>
                <w:b w:val="1"/>
                <w:bCs w:val="1"/>
                <w:color w:val="auto"/>
                <w:w w:val="94"/>
              </w:rPr>
              <w:t>Owned</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5560" w:type="dxa"/>
            <w:vAlign w:val="bottom"/>
            <w:vMerge w:val="restart"/>
          </w:tcPr>
          <w:p>
            <w:pPr>
              <w:spacing w:after="0"/>
              <w:rPr>
                <w:sz w:val="14"/>
                <w:szCs w:val="14"/>
                <w:color w:val="auto"/>
              </w:rPr>
            </w:pPr>
          </w:p>
        </w:tc>
        <w:tc>
          <w:tcPr>
            <w:tcW w:w="22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Prior to this Offering</w:t>
            </w: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6"/>
              </w:rPr>
              <w:t>After this Offering</w:t>
            </w: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vMerge w:val="continue"/>
          </w:tcPr>
          <w:p>
            <w:pPr>
              <w:spacing w:after="0"/>
              <w:rPr>
                <w:sz w:val="12"/>
                <w:szCs w:val="12"/>
                <w:color w:val="auto"/>
              </w:rPr>
            </w:pPr>
          </w:p>
        </w:tc>
        <w:tc>
          <w:tcPr>
            <w:tcW w:w="5560" w:type="dxa"/>
            <w:vAlign w:val="bottom"/>
            <w:vMerge w:val="continue"/>
          </w:tcPr>
          <w:p>
            <w:pPr>
              <w:spacing w:after="0"/>
              <w:rPr>
                <w:sz w:val="12"/>
                <w:szCs w:val="12"/>
                <w:color w:val="auto"/>
              </w:rPr>
            </w:pPr>
          </w:p>
        </w:tc>
        <w:tc>
          <w:tcPr>
            <w:tcW w:w="112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Percentage</w:t>
            </w:r>
          </w:p>
        </w:tc>
        <w:tc>
          <w:tcPr>
            <w:tcW w:w="420" w:type="dxa"/>
            <w:vAlign w:val="bottom"/>
          </w:tcPr>
          <w:p>
            <w:pPr>
              <w:spacing w:after="0"/>
              <w:rPr>
                <w:sz w:val="12"/>
                <w:szCs w:val="12"/>
                <w:color w:val="auto"/>
              </w:rPr>
            </w:pPr>
          </w:p>
        </w:tc>
        <w:tc>
          <w:tcPr>
            <w:tcW w:w="54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7"/>
              </w:rPr>
              <w:t>Percentage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5% or Greater Stockholders:</w:t>
            </w: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Entities affiliated with The Column Group(1)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56,401,773</w:t>
            </w:r>
          </w:p>
        </w:tc>
        <w:tc>
          <w:tcPr>
            <w:tcW w:w="3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34.4%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Casdin Group(2)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16,420,921</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10.0</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SymBiosis II, LLC(3)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11,953,721</w:t>
            </w:r>
          </w:p>
        </w:tc>
        <w:tc>
          <w:tcPr>
            <w:tcW w:w="3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9,652,509</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Entities affiliated with RTW(5)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9,652,509</w:t>
            </w:r>
          </w:p>
        </w:tc>
        <w:tc>
          <w:tcPr>
            <w:tcW w:w="3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Faraz Ali(6)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2,831,249</w:t>
            </w:r>
          </w:p>
        </w:tc>
        <w:tc>
          <w:tcPr>
            <w:tcW w:w="3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Hoey(7)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1,227,083</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Whittemore Tingley(8)</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462,500</w:t>
            </w:r>
          </w:p>
        </w:tc>
        <w:tc>
          <w:tcPr>
            <w:tcW w:w="3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Casdin(2)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16,420,921</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10.0</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Jin-Long Chen(9)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180,000</w:t>
            </w:r>
          </w:p>
        </w:tc>
        <w:tc>
          <w:tcPr>
            <w:tcW w:w="3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V. Goeddel(1)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56,401,773</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34.4</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JeenJoo Kang(10)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3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Stehman-Breen(11)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41,250</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Deepak Srivastava(12)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1,983,333</w:t>
            </w:r>
          </w:p>
        </w:tc>
        <w:tc>
          <w:tcPr>
            <w:tcW w:w="3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Walsh(13)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52,500</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R. Sanders Williams(14)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180,000</w:t>
            </w:r>
          </w:p>
        </w:tc>
        <w:tc>
          <w:tcPr>
            <w:tcW w:w="3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executive officers and directors as a group (11 persons)(15)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79,930,609</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47.7%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common stock.</w:t>
      </w:r>
    </w:p>
    <w:p>
      <w:pPr>
        <w:spacing w:after="0" w:line="23" w:lineRule="exact"/>
        <w:rPr>
          <w:sz w:val="20"/>
          <w:szCs w:val="20"/>
          <w:color w:val="auto"/>
        </w:rPr>
      </w:pPr>
    </w:p>
    <w:p>
      <w:pPr>
        <w:ind w:left="540" w:right="80" w:hanging="424"/>
        <w:spacing w:after="0" w:line="25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Consists of 26,488,338 shares held directly by The Column Group III, LP and 29,913,435 shares held directly by The Column Group III-A, LP (Column Group Funds). The Column Group III GP, LP (TCG III GP) is the general partner of each of the Column Group Funds. The managing partners of TCG III GP are David Goeddel, Peter Svennilson and Tim Kutzkey who may be deemed to share voting and investment power with respect to the shares, and each of whom disclaim beneficial ownership of the shares held by the Column Group Funds except to the extent of their pecuniary interests therein, if any. Dr. Goeddel is a member of our board of directors. The address of the Column Group Funds is 1 Letterman Drive, Building D, Suite DM-900, San Francisco, CA 94129.</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Consists of 14,249,106 shares held directly by Casdin Partners Master Fund, L.P. (CPMF) and 2,171,815 shares held directly by Casdin Private Growth Equity Fund, L.P. (CPGEF). Casdin Capital, LLC is the investment advisor to CPMF and CPGEF. Casdin Partners GP, LLC is the general partner of CPMF. Casdin Private Growth Equity Fund GP, LLC is the general partner of CPGEF. Eli Casdin, a member of our board of directors, is the managing member of Casdin Capital, LLC, Casdin Partners GP, LLC and Casdin Private Growth Equity Fund GP, LLC and may be deemed to have voting and investment power with respect to the shares and who disclaims beneficial ownership of the shares except to the extent of his pecuniary interests therein, if any. The address of these entities and individuals is 1350 Avenue of the Americas, Suite 2600, New York, NY 10019.</w:t>
      </w:r>
    </w:p>
    <w:p>
      <w:pPr>
        <w:spacing w:after="0" w:line="2"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These shares are beneficially owned by Thomas Layton Walton. The shares are directly held by SymBiosis II, LLC over which Mr. Walton exercises sole investment power. The address of Mr. Walton is PO Box 1860, Bentonville, AR 72712.</w:t>
      </w:r>
    </w:p>
    <w:p>
      <w:pPr>
        <w:ind w:left="540" w:hanging="424"/>
        <w:spacing w:after="0"/>
        <w:tabs>
          <w:tab w:leader="none" w:pos="5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Consists of 2,413,127 shares held by Fidelity Advisor Series VII: Advisor Biotechnology Fund (Advisor Series VII) and 7,239,382 shares held</w:t>
      </w:r>
    </w:p>
    <w:p>
      <w:pPr>
        <w:spacing w:after="0" w:line="20" w:lineRule="exact"/>
        <w:rPr>
          <w:rFonts w:ascii="Arial" w:cs="Arial" w:eastAsia="Arial" w:hAnsi="Arial"/>
          <w:sz w:val="17"/>
          <w:szCs w:val="17"/>
          <w:color w:val="auto"/>
        </w:rPr>
      </w:pPr>
    </w:p>
    <w:p>
      <w:pPr>
        <w:jc w:val="both"/>
        <w:ind w:left="540" w:right="60"/>
        <w:spacing w:after="0" w:line="255" w:lineRule="auto"/>
        <w:rPr>
          <w:rFonts w:ascii="Arial" w:cs="Arial" w:eastAsia="Arial" w:hAnsi="Arial"/>
          <w:sz w:val="17"/>
          <w:szCs w:val="17"/>
          <w:color w:val="auto"/>
        </w:rPr>
      </w:pPr>
      <w:r>
        <w:rPr>
          <w:rFonts w:ascii="Arial" w:cs="Arial" w:eastAsia="Arial" w:hAnsi="Arial"/>
          <w:sz w:val="18"/>
          <w:szCs w:val="18"/>
          <w:color w:val="auto"/>
        </w:rPr>
        <w:t>directly by Fidelity Select Portfolios: Biotechnology Portfolio (Select Portfolios). These accounts are managed by direct or indirect subsidiaries of FMR LLC. Abigail P. Johnson is a director, the chairman, the chief executive officer and president of FMR LLC. Members of the Johnson family, including Abigail P. Johnson, are the predominant owners, directly or through trusts, of Series B</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67" w:lineRule="auto"/>
        <w:rPr>
          <w:sz w:val="20"/>
          <w:szCs w:val="20"/>
          <w:color w:val="auto"/>
        </w:rPr>
      </w:pPr>
      <w:r>
        <w:rPr>
          <w:rFonts w:ascii="Arial" w:cs="Arial" w:eastAsia="Arial" w:hAnsi="Arial"/>
          <w:sz w:val="17"/>
          <w:szCs w:val="17"/>
          <w:color w:val="auto"/>
        </w:rPr>
        <w:t>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 of Trustees. FMR Co. carries out the voting of the shares under written guidelines established by the Fidelity Funds’ Board of Trustees. The address of FMR LLC is 245 Summer Street, Boston, MA 02210.</w:t>
      </w:r>
    </w:p>
    <w:p>
      <w:pPr>
        <w:spacing w:after="0" w:line="1" w:lineRule="exact"/>
        <w:rPr>
          <w:sz w:val="20"/>
          <w:szCs w:val="20"/>
          <w:color w:val="auto"/>
        </w:rPr>
      </w:pPr>
    </w:p>
    <w:p>
      <w:pPr>
        <w:ind w:left="54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9,652,509 shares in the aggregate held by RTW Innovation Master Fund, Ltd., RTW Master Fund, Ltd. and RTW Venture Fund Limited. Roderick Wong is the managing partner and chief investment officer of RTW Investments, LP and as such has sole voting and investment control over the shares. Dr. Wong disclaims beneficial ownership of the shares except to the extent of his pecuniary interest therein, if any. The address of the RTW funds is 40 10th Avenue, Floor 7, New York, NY 10014.</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2,831,249 shares subject to outstanding options that are exercisable within 60 days of March 31, 2021, of which 1,062,500 shares may be repurchased by us, if exercised, at the original exercise price per share.</w:t>
      </w:r>
    </w:p>
    <w:p>
      <w:pPr>
        <w:ind w:left="540" w:right="260" w:hanging="424"/>
        <w:spacing w:after="0" w:line="265" w:lineRule="auto"/>
        <w:tabs>
          <w:tab w:leader="none" w:pos="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Consists of 1,000,000 shares held directly by Dr. Hoey and 227,083 shares subject to outstanding options that are exercisable within 60 days of March 31, 2021, of which 83,334 shares may be repurchased by us, if exercised, at the original exercise price per share.</w:t>
      </w:r>
    </w:p>
    <w:p>
      <w:pPr>
        <w:ind w:left="540" w:right="10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462,500 shares subject to outstanding options that are exercisable within 60 days of March 31, 2021, of which 178,125 shares may be repurchased by us, if exercised, at the original exercise price per share.</w:t>
      </w: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Includes 30,000 shares subject to outstanding options that are exercisable within 60 days of March 31,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Consists of 150,000 shares held directly by Dr. Kang. Excludes 56,401,773 shares held by The Column Group funds as set forth in footnote</w:t>
      </w:r>
    </w:p>
    <w:p>
      <w:pPr>
        <w:spacing w:after="0" w:line="20"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(1) above for which Dr. Kang has no voting or investment control.</w:t>
      </w:r>
    </w:p>
    <w:p>
      <w:pPr>
        <w:spacing w:after="0" w:line="9" w:lineRule="exact"/>
        <w:rPr>
          <w:rFonts w:ascii="Arial" w:cs="Arial" w:eastAsia="Arial" w:hAnsi="Arial"/>
          <w:sz w:val="17"/>
          <w:szCs w:val="17"/>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41,250 shares subject to outstanding options that are exercisable within 60 days of March 31,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Consists of 975,000 shares held directly by Dr. Srivastava and 850,000 shares held directly by The J. David Gladstone Institute for which</w:t>
      </w:r>
    </w:p>
    <w:p>
      <w:pPr>
        <w:spacing w:after="0" w:line="20" w:lineRule="exact"/>
        <w:rPr>
          <w:rFonts w:ascii="Arial" w:cs="Arial" w:eastAsia="Arial" w:hAnsi="Arial"/>
          <w:sz w:val="17"/>
          <w:szCs w:val="17"/>
          <w:color w:val="auto"/>
        </w:rPr>
      </w:pPr>
    </w:p>
    <w:p>
      <w:pPr>
        <w:ind w:left="540" w:right="80"/>
        <w:spacing w:after="0" w:line="250" w:lineRule="auto"/>
        <w:rPr>
          <w:rFonts w:ascii="Arial" w:cs="Arial" w:eastAsia="Arial" w:hAnsi="Arial"/>
          <w:sz w:val="17"/>
          <w:szCs w:val="17"/>
          <w:color w:val="auto"/>
        </w:rPr>
      </w:pPr>
      <w:r>
        <w:rPr>
          <w:rFonts w:ascii="Arial" w:cs="Arial" w:eastAsia="Arial" w:hAnsi="Arial"/>
          <w:sz w:val="18"/>
          <w:szCs w:val="18"/>
          <w:color w:val="auto"/>
        </w:rPr>
        <w:t>Dr. Srivastava serves as President and may be deemed to have voting and investment control over the shares. Dr. Srivastava disclaims beneficial ownership of the shares held by The J. David Gladstone Institute. Also includes 158,333 shares subject to outstanding options that are exercisable within 60 days of March 31, 2021.</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Includes 52,500 shares subject to outstanding options that are exercisable within 60 days of March 31,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180,000 shares held directly by Dr. Williams.</w:t>
      </w:r>
    </w:p>
    <w:p>
      <w:pPr>
        <w:spacing w:after="0" w:line="9"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Includes 3,802,915 shares subject to outstanding options that are exercisable within 60 days of March 31, 2021, of which 1,323,959 shares may be repurchased by us, if exercised, at the original exercise price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Immediately prior to the completion of this offering, upon the filing of our amended and restated certificate of incorporation to be effective upon</w:t>
      </w:r>
    </w:p>
    <w:p>
      <w:pPr>
        <w:spacing w:after="0" w:line="46"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completion of this offering, our authorized capital stock will consist of shares of common stock, par value $0.0001 per share, and shares of preferred stock, par value $0.0001 per share.</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Immediately prior to the completion of this offering, all the outstanding shares of our convertible preferred stock will automatically convert into an aggregate of 156,613,818 shares of our common stock.</w:t>
      </w:r>
    </w:p>
    <w:p>
      <w:pPr>
        <w:spacing w:after="0" w:line="170"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Based on shares of common stock outstanding as of March 31, 2021, and after giving effect to the automatic conversion of all of our outstanding convertible preferred stock into an aggregate of 156,613,818 shares of common stock immediately prior to the completion of this offering</w:t>
      </w:r>
    </w:p>
    <w:p>
      <w:pPr>
        <w:ind w:left="120"/>
        <w:spacing w:after="0" w:line="260" w:lineRule="auto"/>
        <w:rPr>
          <w:sz w:val="20"/>
          <w:szCs w:val="20"/>
          <w:color w:val="auto"/>
        </w:rPr>
      </w:pPr>
      <w:r>
        <w:rPr>
          <w:rFonts w:ascii="Arial" w:cs="Arial" w:eastAsia="Arial" w:hAnsi="Arial"/>
          <w:sz w:val="18"/>
          <w:szCs w:val="18"/>
          <w:color w:val="auto"/>
        </w:rPr>
        <w:t>and the issuance of shares of common stock in this offering, there will be shares of common stock outstanding upon the completion of this offering. As of March 31, 2021, we had 82 stockholders of record.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amended and restated certificate of incorporation and amended and restated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Rights, Preferences and Privileges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880" w:right="160" w:hanging="323"/>
        <w:spacing w:after="0" w:line="291" w:lineRule="auto"/>
        <w:rPr>
          <w:sz w:val="20"/>
          <w:szCs w:val="20"/>
          <w:color w:val="auto"/>
        </w:rPr>
      </w:pPr>
      <w:r>
        <w:rPr>
          <w:rFonts w:ascii="Arial" w:cs="Arial" w:eastAsia="Arial" w:hAnsi="Arial"/>
          <w:sz w:val="16"/>
          <w:szCs w:val="16"/>
          <w:color w:val="auto"/>
        </w:rPr>
        <w:t>Upon the completion of this offering, our board of directors will have the authority, without further action by the stockholders, to issue up to shares of preferred stock in one or more series and to fix the rights, preferences, privileges and restrictions thereof. These rights, preferences</w:t>
      </w:r>
    </w:p>
    <w:p>
      <w:pPr>
        <w:ind w:left="120" w:right="60"/>
        <w:spacing w:after="0" w:line="252" w:lineRule="auto"/>
        <w:rPr>
          <w:sz w:val="20"/>
          <w:szCs w:val="20"/>
          <w:color w:val="auto"/>
        </w:rPr>
      </w:pPr>
      <w:r>
        <w:rPr>
          <w:rFonts w:ascii="Arial" w:cs="Arial" w:eastAsia="Arial" w:hAnsi="Arial"/>
          <w:sz w:val="18"/>
          <w:szCs w:val="18"/>
          <w:color w:val="auto"/>
        </w:rPr>
        <w:t>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the completion of this offering, no shares of preferred stock will be outstanding, and we have no present plan to issue any shares of preferred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140"/>
          </w:cols>
          <w:pgMar w:left="320" w:top="459" w:right="439" w:bottom="1440" w:gutter="0" w:footer="0" w:header="0"/>
        </w:sectPr>
      </w:pP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March 31, 2021, we had outstanding options to purchase an aggregate of exercise price of $ per share, under our 2016 Plan.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with a weighted-average</w:t>
      </w:r>
    </w:p>
    <w:p>
      <w:pPr>
        <w:spacing w:after="0" w:line="493" w:lineRule="exact"/>
        <w:rPr>
          <w:sz w:val="20"/>
          <w:szCs w:val="20"/>
          <w:color w:val="auto"/>
        </w:rPr>
      </w:pPr>
    </w:p>
    <w:p>
      <w:pPr>
        <w:sectPr>
          <w:pgSz w:w="11900" w:h="16838" w:orient="portrait"/>
          <w:cols w:equalWidth="0" w:num="2">
            <w:col w:w="6320" w:space="720"/>
            <w:col w:w="4100"/>
          </w:cols>
          <w:pgMar w:left="320" w:top="459" w:right="43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After the completion of this offering, under our investors’ rights agreement, as amended, the holders of shares of common stock or their transferees, will have the right to require us to register the offer and sale of their shares or to include their shares in any registration statement we file, in each case as described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After the completion of this offering, the holders of up to 156,613,818 shares of our common stock will be entitled to certain demand registration rights. At any time beginning after 180 days following the date of effectiveness of the registration statement of which this prospectus forms a part, the holders of at least 50% of the shares having registration rights then outstanding can request that we file a registration statement to register the offer and sale of their shares. We are only obligated to effect up to two such registrations. Each such request for registration must cover securities of which the anticipated aggregate gross proceeds, before deducting underwriting discounts and expenses, is at least $10.0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After the completion of this offering, the holders of up to 156,613,818 shares of our common stock will be entitled to certain Form S-3 registration rights. At any time after the completion of this offering when we are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40"/>
          </w:cols>
          <w:pgMar w:left="320" w:top="459" w:right="43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eligible to file a registration statement on Form S-3, any holders having these rights then outstanding can request that we register the offer and sale of their shares of our common stock on a registration statement on Form S-3 so long as the request covers securities the anticipated aggregate public offering price of which is at least $1.0 million. These stockholders may make an unlimited number of requests for registration on a registration statement on Form S-3. However, we will not be required to effect a registration on Form S-3 if we have effected two such registrations within the twelve 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 month period, for a period of up to 90 days.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After the completion of this offering, the holders of up to 156,613,818 shares of our common stock will be entitled to certain “piggyback” registration rights. If we propose to register the offer and sale of shares of our common stock under the Securities Act, the holders of these shares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solely to employee benefit plans;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pay all expenses relating to any demand registrations, Form S-3 registrations and piggyback registrations, subject to specified exceptions.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registration rights terminate upon the earliest of (i) the date that is four years after the closing of this offering; (ii) immediately prior to the closing of certain liquidation events; and (iii) as to a given holder of registration rights, the date after the closing of this offering when such holder of registration rights can sell all of such holder’s registrable securities during any 90-day period pursuant to Rule 144 promulgated under the Securities Act.</w:t>
      </w:r>
    </w:p>
    <w:p>
      <w:pPr>
        <w:spacing w:after="0" w:line="253"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jc w:val="both"/>
        <w:ind w:left="120" w:right="520" w:firstLine="440"/>
        <w:spacing w:after="0" w:line="259"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 further vote or action by the stockholders, shares of preferred stock in one or more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initial Class I directors shall terminate on the date of the 2022 annual meeting, the term of the initial Class II directors shall terminate on the date of the 2023 annual meeting, and the term of the initial Class III directors shall terminate on the date of the 2024 annual meeting. At each annual meeting of stockholders beginning in 2022, the class of directors whose term expires at that annual meeting will be subject to reelection for a three-year term.</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860" w:firstLine="44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authorized but unissued shares of common stock and preferred stock will be available for future issuances without stockholder approval,</w:t>
      </w:r>
    </w:p>
    <w:p>
      <w:pPr>
        <w:spacing w:after="0" w:line="46" w:lineRule="exact"/>
        <w:rPr>
          <w:sz w:val="20"/>
          <w:szCs w:val="20"/>
          <w:color w:val="auto"/>
        </w:rPr>
      </w:pPr>
    </w:p>
    <w:p>
      <w:pPr>
        <w:ind w:left="120" w:right="40"/>
        <w:spacing w:after="0" w:line="302" w:lineRule="auto"/>
        <w:rPr>
          <w:sz w:val="20"/>
          <w:szCs w:val="20"/>
          <w:color w:val="auto"/>
        </w:rPr>
      </w:pPr>
      <w:r>
        <w:rPr>
          <w:rFonts w:ascii="Arial" w:cs="Arial" w:eastAsia="Arial" w:hAnsi="Arial"/>
          <w:sz w:val="16"/>
          <w:szCs w:val="16"/>
          <w:color w:val="auto"/>
        </w:rPr>
        <w:t>except as required by the listing standards of ,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amended and restated bylaws will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governed by Section 203 of the DGCL. Subject to certain exceptions, Section 203 of the DGCL prohibits a public Delaware corporation from engaging in a business combination (as defined in such section)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080"/>
          </w:cols>
          <w:pgMar w:left="320" w:top="459" w:right="4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(1) by persons who are directors and also officers of such corporation and (2)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8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each investor’s investment may be adversely affected to the extent we pay the costs of settlement and damage awards against directors and officers pursuant to these indemnification provisions.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Listing</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apply to list our common stock 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under the symbol “TNYA.”</w:t>
      </w:r>
    </w:p>
    <w:p>
      <w:pPr>
        <w:spacing w:after="0" w:line="200" w:lineRule="exact"/>
        <w:rPr>
          <w:sz w:val="20"/>
          <w:szCs w:val="20"/>
          <w:color w:val="auto"/>
        </w:rPr>
      </w:pPr>
    </w:p>
    <w:p>
      <w:pPr>
        <w:sectPr>
          <w:pgSz w:w="11900" w:h="16838" w:orient="portrait"/>
          <w:cols w:equalWidth="0" w:num="2">
            <w:col w:w="4020" w:space="720"/>
            <w:col w:w="6380"/>
          </w:cols>
          <w:pgMar w:left="320" w:top="459" w:right="459" w:bottom="1440" w:gutter="0" w:footer="0" w:header="0"/>
          <w:type w:val="continuous"/>
        </w:sectPr>
      </w:pPr>
    </w:p>
    <w:p>
      <w:pPr>
        <w:spacing w:after="0" w:line="14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Transfer Agent and Registrar</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Upon completion of this offering, the transfer agent and registrar for our common stock will be address is .</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The transfer agent and registrar’s</w:t>
      </w:r>
    </w:p>
    <w:p>
      <w:pPr>
        <w:spacing w:after="0" w:line="396" w:lineRule="exact"/>
        <w:rPr>
          <w:sz w:val="20"/>
          <w:szCs w:val="20"/>
          <w:color w:val="auto"/>
        </w:rPr>
      </w:pPr>
    </w:p>
    <w:p>
      <w:pPr>
        <w:sectPr>
          <w:pgSz w:w="11900" w:h="16838" w:orient="portrait"/>
          <w:cols w:equalWidth="0" w:num="2">
            <w:col w:w="7480" w:space="720"/>
            <w:col w:w="292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222</w:t>
      </w:r>
    </w:p>
    <w:p>
      <w:pPr>
        <w:sectPr>
          <w:pgSz w:w="11900" w:h="16838" w:orient="portrait"/>
          <w:cols w:equalWidth="0" w:num="1">
            <w:col w:w="11120"/>
          </w:cols>
          <w:pgMar w:left="320" w:top="459" w:right="45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this offering, there has been no public market for our common stock, and although we expect that our common stock will be approved for</w:t>
      </w:r>
    </w:p>
    <w:p>
      <w:pPr>
        <w:spacing w:after="0" w:line="46"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color w:val="auto"/>
        </w:rPr>
        <w:t>listing on the ,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completion of this offering, based on our shares outstanding as of March 31, 2021, and after giving effect to the conversion of all</w:t>
      </w:r>
    </w:p>
    <w:p>
      <w:pPr>
        <w:spacing w:after="0" w:line="35"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outstanding shares of our convertible preferred stock, shares of our common stock will be outstanding, or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the shares of our common stock that will be deemed “restricted securities” will be available for sale in the public market following the completion of this offering as follows:</w:t>
      </w:r>
    </w:p>
    <w:p>
      <w:pPr>
        <w:spacing w:after="0" w:line="89"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shares will be eligible for sale on the date of this prospectus; and</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8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following the date that is 180 days after the date of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officers, directors and substantially all of our securityholders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Morgan Stanley &amp; Co. LLC, Cowen and Company LLC, and Piper Sandler &amp; Co. See the section titled “Underwriters” for additional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other conditions of Rule 144 Rule 144 also provides that a stockholder who is deemed to have been one of our affiliates at any time during the preceding 90 days and who has beneficially owned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shares of our common stock proposed to be sold for at least six months is entitled to sell such shares in reliance upon Rule 144 within any three month period beginning 90 days after the date of this prospectus a number of such shares that does not exceed the greater of the following:</w:t>
      </w:r>
    </w:p>
    <w:p>
      <w:pPr>
        <w:sectPr>
          <w:pgSz w:w="11900" w:h="16838" w:orient="portrait"/>
          <w:cols w:equalWidth="0" w:num="1">
            <w:col w:w="11100"/>
          </w:cols>
          <w:pgMar w:left="320" w:top="459" w:right="479" w:bottom="1440" w:gutter="0" w:footer="0" w:header="0"/>
        </w:sectPr>
      </w:pPr>
    </w:p>
    <w:p>
      <w:pPr>
        <w:spacing w:after="0" w:line="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1% of the number of shares of our capital stock then outstanding, which will equal shares immediately after the completion of this offering, assuming no exercise by the underwriters of their option to purchase additional shares; or</w:t>
      </w:r>
    </w:p>
    <w:p>
      <w:pPr>
        <w:spacing w:after="0" w:line="76" w:lineRule="exact"/>
        <w:rPr>
          <w:sz w:val="20"/>
          <w:szCs w:val="20"/>
          <w:color w:val="auto"/>
        </w:rPr>
      </w:pPr>
    </w:p>
    <w:p>
      <w:pPr>
        <w:sectPr>
          <w:pgSz w:w="11900" w:h="16838" w:orient="portrait"/>
          <w:cols w:equalWidth="0" w:num="2">
            <w:col w:w="620" w:space="460"/>
            <w:col w:w="10020"/>
          </w:cols>
          <w:pgMar w:left="320" w:top="459" w:right="479" w:bottom="1440" w:gutter="0" w:footer="0" w:header="0"/>
          <w:type w:val="continuous"/>
        </w:sectPr>
      </w:pPr>
    </w:p>
    <w:p>
      <w:pPr>
        <w:ind w:left="1080" w:right="4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After the completion of this offering, the holders of up to 156,613,818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See the section titled “Description of Capital Stock-Registration Rights” for a description of these registration rights.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00"/>
          </w:cols>
          <w:pgMar w:left="320" w:top="459" w:right="47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7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and does not address tax considerations applicable to an investor’s particular circumstances or to investors that may be subject to special tax rules, including, without limitation:</w:t>
      </w:r>
    </w:p>
    <w:p>
      <w:pPr>
        <w:spacing w:after="0" w:line="89"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such for U.S. federal income tax purposes), other pass-through entities, and investors therein;</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if a partnership (or an entity or arrangement classified as a partnership for U.S. federal income tax purposes) holds our common stock, the tax treatment of a partner in such partnership or other entity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or local, non-U.S. or other taxing jurisdiction or under any applicable tax treaty.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not a partnership (including any entity or arrangement treated as a partnership and the equity holders therein) or:</w:t>
      </w:r>
    </w:p>
    <w:p>
      <w:pPr>
        <w:spacing w:after="0" w:line="52"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jc w:val="both"/>
        <w:ind w:left="1080" w:right="200" w:hanging="532"/>
        <w:spacing w:after="0" w:line="263"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that has one or more U.S. persons who have the authority to control all substantial decisions of the trust or (ii) that has made a valid election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As described in the section titled “Dividend Policy,” we have never declared or paid cash dividends on our capital stock,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6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Subject to the discussions below on effectively connected income and in the subsections titled “-Backup Withholding and Information Reporting” and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with a properly executed IRS Form W-8BEN or W-8BEN-E or other appropriate version of IRS Form W-8 certifying qualification for the reduced rate. If you are eligible for a reduced rate of U.S. federal withholding tax pursuant to an income tax treaty, you may obtain a refund of any excess amounts withheld by filing an appropriate claim for refund with the IRS. 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Dividends received by you that are treated as effectively connected with your conduct of a U.S. trade or business (and, if required by an applicable income tax treaty, are attributable to a permanent establishment or fixed base maintained by you in the United States) are generally exempt from the</w:t>
      </w:r>
    </w:p>
    <w:p>
      <w:pPr>
        <w:ind w:left="120" w:right="20"/>
        <w:spacing w:after="0" w:line="295" w:lineRule="auto"/>
        <w:rPr>
          <w:sz w:val="20"/>
          <w:szCs w:val="20"/>
          <w:color w:val="auto"/>
        </w:rPr>
      </w:pPr>
      <w:r>
        <w:rPr>
          <w:rFonts w:ascii="Arial" w:cs="Arial" w:eastAsia="Arial" w:hAnsi="Arial"/>
          <w:sz w:val="16"/>
          <w:szCs w:val="16"/>
          <w:color w:val="auto"/>
        </w:rPr>
        <w:t>30% U.S. federal withholding tax, subject to the discussion below in the subsections titled “-Backup Withholding and Information Reporting” and “-Foreign Account Tax Compliance Act (FATCA).” In order to obtain this exemption, you must provide us with a properly executed IRS Form W-8ECI or applicable successor form properly certifying such exemption. Such effectively connected dividends, although not subject to U.S. federal withholding tax, are taxed at the same rates applicable to U.S. persons, net of certain deductions and credits, subject to an applicable income tax treaty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Subject to the discussion in the subsections titled “-Backup Withholding and Information Reporting,” and “-Foreign Account Tax Compliance Act (FATCA),” you generally will not be required to pay U.S. federal income tax on any gain realized upon the sale or other disposition of our common stock unless:</w:t>
      </w:r>
    </w:p>
    <w:p>
      <w:pPr>
        <w:spacing w:after="0" w:line="89" w:lineRule="exact"/>
        <w:rPr>
          <w:sz w:val="20"/>
          <w:szCs w:val="20"/>
          <w:color w:val="auto"/>
        </w:rPr>
      </w:pPr>
    </w:p>
    <w:p>
      <w:pPr>
        <w:ind w:left="1080" w:right="2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8"/>
          <w:szCs w:val="18"/>
          <w:color w:val="auto"/>
        </w:rPr>
      </w:pPr>
    </w:p>
    <w:p>
      <w:pPr>
        <w:ind w:left="1080" w:right="120" w:hanging="532"/>
        <w:spacing w:after="0" w:line="275"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(USRPHC), for U.S. federal income tax purposes at any time within the shorter of the five-year period preceding your disposition of, or your holding period for, our common stock, unless our common stock is regularly traded on an established securities market and you hold no more than 5% of our outstanding common stock, directly, indirectly and constructively, at all times, during the shorter of the five-year period ending on the date of the taxable disposition or your holding period for our common stock.</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If we are a USRPHC and either our common stock is not regularly traded on an established securities market or you hold, or are treated as holding, more than 5% of our outstanding common stock, directly or indirectly, during the applicable testing period, you will generally be taxed on any gain in the same manner as gain that is effectively connected with the conduct of a U.S. trade or business, except that the branch profits tax generally will not apply. If we are a USRPHC and our common stock is not regularly traded on an established securities market, your proceeds received on the disposition of shares will also generally be subject to withholding at a rate of 15%. You are encouraged to consult your own tax advisors regarding the possible consequences to you if we are, or were to become, a USRPHC.</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gain derived from the sale (net of certain deductions and credits) under the same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on such gain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Payments of dividends on or of proceeds from the disposition of our common stock made to you may also be subject to backup withholding at a current rate of 24% unless you establish an exemption, for example, by properly certifying your non-U.S. status on a properly completed IRS Form W-8BEN or W-8BEN-E or another appropriate version of IRS Form W-8. Notwithstanding the foregoing, backup withholding may apply if either we or our paying agent has actual knowledge, or reason to know, that you are a U.S. person.</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Foreign Account Tax Compliance Act, Treasury Regulations issued thereunder and official IRS guidance (collectively FATCA), generally impose a U.S. federal withholding tax of 30% on dividends on, and, subject to the discussion of certain proposed Treasury Regulations below,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7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The Treasury Secretary has issued proposed Treasury Regulations, which, if finalized in their present form, would eliminate withholding under FATCA with respect to payment of gross proceeds from a sale or other disposition of our common stock. In its preamble to such proposed Treasury Regulations, the U.S. Treasury stated that taxpayers may generally rely on the proposed Treasury Regulations until final regulations are issued.</w:t>
      </w:r>
    </w:p>
    <w:p>
      <w:pPr>
        <w:spacing w:after="0" w:line="14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Cowen and Company, LLC and Piper Sandler &amp; Co. are acting as representatives, have severally agreed to purchase, and we have agreed to sell to them, severally, the number of shares indicated below:</w:t>
      </w:r>
    </w:p>
    <w:p>
      <w:pPr>
        <w:spacing w:after="0" w:line="190" w:lineRule="exact"/>
        <w:rPr>
          <w:sz w:val="20"/>
          <w:szCs w:val="20"/>
          <w:color w:val="auto"/>
        </w:rPr>
      </w:pPr>
    </w:p>
    <w:tbl>
      <w:tblPr>
        <w:tblLayout w:type="fixed"/>
        <w:tblInd w:w="478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00" w:type="dxa"/>
            <w:vAlign w:val="bottom"/>
          </w:tcPr>
          <w:p>
            <w:pPr>
              <w:jc w:val="center"/>
              <w:ind w:left="174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86"/>
        </w:trPr>
        <w:tc>
          <w:tcPr>
            <w:tcW w:w="2200" w:type="dxa"/>
            <w:vAlign w:val="bottom"/>
            <w:vMerge w:val="continue"/>
          </w:tcPr>
          <w:p>
            <w:pPr>
              <w:spacing w:after="0"/>
              <w:rPr>
                <w:sz w:val="16"/>
                <w:szCs w:val="16"/>
                <w:color w:val="auto"/>
              </w:rPr>
            </w:pPr>
          </w:p>
        </w:tc>
        <w:tc>
          <w:tcPr>
            <w:tcW w:w="2500" w:type="dxa"/>
            <w:vAlign w:val="bottom"/>
          </w:tcPr>
          <w:p>
            <w:pPr>
              <w:jc w:val="center"/>
              <w:ind w:left="174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-8890</wp:posOffset>
            </wp:positionV>
            <wp:extent cx="5246370" cy="1454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46370" cy="14541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5715</wp:posOffset>
            </wp:positionV>
            <wp:extent cx="6940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-121920</wp:posOffset>
            </wp:positionV>
            <wp:extent cx="5246370" cy="146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46370" cy="146050"/>
                    </a:xfrm>
                    <a:prstGeom prst="rect">
                      <a:avLst/>
                    </a:prstGeom>
                    <a:noFill/>
                  </pic:spPr>
                </pic:pic>
              </a:graphicData>
            </a:graphic>
          </wp:anchor>
        </w:drawing>
      </w:r>
    </w:p>
    <w:p>
      <w:pPr>
        <w:spacing w:after="0" w:line="23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The offering of the shares by the underwriters is subject to the receipt and acceptance and subject to the underwriters’ right to reject any order in whole or in part.</w:t>
      </w:r>
    </w:p>
    <w:p>
      <w:pPr>
        <w:spacing w:after="0" w:line="193"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680" w:type="dxa"/>
            <w:vAlign w:val="bottom"/>
            <w:vMerge w:val="restart"/>
          </w:tcPr>
          <w:p>
            <w:pPr>
              <w:jc w:val="right"/>
              <w:ind w:right="167"/>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8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No Exercise</w:t>
            </w: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00" w:type="dxa"/>
            <w:vAlign w:val="bottom"/>
          </w:tcPr>
          <w:p>
            <w:pPr>
              <w:spacing w:after="0"/>
              <w:rPr>
                <w:sz w:val="14"/>
                <w:szCs w:val="14"/>
                <w:color w:val="auto"/>
              </w:rPr>
            </w:pPr>
          </w:p>
        </w:tc>
        <w:tc>
          <w:tcPr>
            <w:tcW w:w="680" w:type="dxa"/>
            <w:vAlign w:val="bottom"/>
          </w:tcPr>
          <w:p>
            <w:pPr>
              <w:jc w:val="right"/>
              <w:ind w:right="87"/>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900" w:type="dxa"/>
            <w:vAlign w:val="bottom"/>
            <w:gridSpan w:val="4"/>
          </w:tcPr>
          <w:p>
            <w:pPr>
              <w:ind w:left="440"/>
              <w:spacing w:after="0"/>
              <w:rPr>
                <w:sz w:val="20"/>
                <w:szCs w:val="20"/>
                <w:color w:val="auto"/>
              </w:rPr>
            </w:pPr>
            <w:r>
              <w:rPr>
                <w:rFonts w:ascii="Arial" w:cs="Arial" w:eastAsia="Arial" w:hAnsi="Arial"/>
                <w:sz w:val="18"/>
                <w:szCs w:val="18"/>
                <w:color w:val="auto"/>
                <w:w w:val="93"/>
              </w:rPr>
              <w:t>The estimated offering expenses payable by us, exclusive of the underwriting discounts and commissions, are approximately $</w:t>
            </w: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w w:val="91"/>
              </w:rPr>
              <w:t>. We have</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agreed to reimburse the underwriters for expense relating to clearance of this offering with the Financial Industry Regulatory Authority, Inc. (FINRA) up</w:t>
      </w:r>
    </w:p>
    <w:p>
      <w:pPr>
        <w:spacing w:after="0" w:line="386"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560"/>
        <w:spacing w:after="0"/>
        <w:tabs>
          <w:tab w:leader="none" w:pos="4940" w:val="left"/>
        </w:tabs>
        <w:rPr>
          <w:sz w:val="20"/>
          <w:szCs w:val="20"/>
          <w:color w:val="auto"/>
        </w:rPr>
      </w:pPr>
      <w:r>
        <w:rPr>
          <w:rFonts w:ascii="Arial" w:cs="Arial" w:eastAsia="Arial" w:hAnsi="Arial"/>
          <w:sz w:val="18"/>
          <w:szCs w:val="18"/>
          <w:color w:val="auto"/>
        </w:rPr>
        <w:t>We intend to apply to list our common stock on the</w:t>
      </w:r>
      <w:r>
        <w:rPr>
          <w:sz w:val="20"/>
          <w:szCs w:val="20"/>
          <w:color w:val="auto"/>
        </w:rPr>
        <w:tab/>
      </w:r>
      <w:r>
        <w:rPr>
          <w:rFonts w:ascii="Arial" w:cs="Arial" w:eastAsia="Arial" w:hAnsi="Arial"/>
          <w:sz w:val="17"/>
          <w:szCs w:val="17"/>
          <w:color w:val="auto"/>
        </w:rPr>
        <w:t>under the trading symbol “TNYA”.</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connection with this offering, we and all of our directors and officers and substantially all of our securityholders have agreed that, without the prior written consent of Morgan Stanley &amp; Co. LLC, Cowen and Company, LLC and Piper Sandler &amp; Co. on behalf of the underwriters, we and they will not, and will not publicly disclose an intention to, during the period from the date of this prospectus continuing through the date 180 days after the date of this prospectus (the Restricted Period):</w:t>
      </w:r>
    </w:p>
    <w:p>
      <w:pPr>
        <w:spacing w:after="0" w:line="92" w:lineRule="exact"/>
        <w:rPr>
          <w:sz w:val="20"/>
          <w:szCs w:val="20"/>
          <w:color w:val="auto"/>
        </w:rPr>
      </w:pPr>
    </w:p>
    <w:p>
      <w:pPr>
        <w:ind w:left="1080" w:right="2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Cowen and Company, LLC and Piper Sandler &amp; Co. on behalf of the underwriters, we or such other person will not, during the Restricted Period:</w:t>
      </w:r>
    </w:p>
    <w:p>
      <w:pPr>
        <w:spacing w:after="0" w:line="71" w:lineRule="exact"/>
        <w:rPr>
          <w:sz w:val="20"/>
          <w:szCs w:val="20"/>
          <w:color w:val="auto"/>
        </w:rPr>
      </w:pPr>
    </w:p>
    <w:p>
      <w:pPr>
        <w:ind w:left="1080" w:right="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common stock; or</w:t>
      </w:r>
    </w:p>
    <w:p>
      <w:pPr>
        <w:spacing w:after="0" w:line="75" w:lineRule="exact"/>
        <w:rPr>
          <w:rFonts w:ascii="Arial" w:cs="Arial" w:eastAsia="Arial" w:hAnsi="Arial"/>
          <w:sz w:val="18"/>
          <w:szCs w:val="18"/>
          <w:color w:val="auto"/>
        </w:rPr>
      </w:pPr>
    </w:p>
    <w:p>
      <w:pPr>
        <w:ind w:left="1080" w:right="260" w:hanging="532"/>
        <w:spacing w:after="0" w:line="342"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engage in any hedging or other transaction designed or intended, or which could reasonably be expected to lead to or result in, a sale or disposition of any shares of common stock, or any securities convertible into or exercisable or exchangeable for common stock.</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are subject to specified exceptions, including, without limitation:</w:t>
      </w:r>
    </w:p>
    <w:p>
      <w:pPr>
        <w:spacing w:after="0" w:line="131" w:lineRule="exact"/>
        <w:rPr>
          <w:sz w:val="20"/>
          <w:szCs w:val="20"/>
          <w:color w:val="auto"/>
        </w:rPr>
      </w:pPr>
    </w:p>
    <w:p>
      <w:pPr>
        <w:ind w:left="1080" w:right="280" w:hanging="532"/>
        <w:spacing w:after="0" w:line="286" w:lineRule="auto"/>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transactions related to shares of our common stock or other securities acquired in this offering or in open market transactions after the completion of this offering, provided that no filing under Section 16 of the Exchange Act is required or voluntarily made in connection with subsequent sales of the common stock or other securities acquired in such open market transactions;</w:t>
      </w:r>
    </w:p>
    <w:p>
      <w:pPr>
        <w:spacing w:after="0" w:line="70" w:lineRule="exact"/>
        <w:rPr>
          <w:rFonts w:ascii="Arial" w:cs="Arial" w:eastAsia="Arial" w:hAnsi="Arial"/>
          <w:sz w:val="17"/>
          <w:szCs w:val="17"/>
          <w:color w:val="auto"/>
        </w:rPr>
      </w:pPr>
    </w:p>
    <w:p>
      <w:pPr>
        <w:jc w:val="both"/>
        <w:ind w:left="1080" w:right="100" w:hanging="532"/>
        <w:spacing w:after="0" w:line="263"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as a bona fide gift or charitable contribution, by will, to an immediate family member or to certain trusts, provided that no filing under Section 16 of the Exchange Act shall be required or voluntarily made;</w:t>
      </w:r>
    </w:p>
    <w:p>
      <w:pPr>
        <w:spacing w:after="0" w:line="89"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other securities by a stockholder that is a trust to a trustor or beneficiary of the trust or to the estate of a beneficiary of such trust provided that no filing under Section 16 of the Exchange Act shall be required or voluntarily made;</w:t>
      </w:r>
    </w:p>
    <w:p>
      <w:pPr>
        <w:spacing w:after="0" w:line="89"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distributions of our common stock or any security convertible into or exercisable or exchangeable for common stock to limited partners, members, stockholders or holders of similar equity interests, or transfers of shares of common stock or any security convertible into or exercisable or exchangeable for common stock to another corporation, partnership, limited liability company, trust or other business entity that is an affiliate, or to any investment fund or other entity controlled or managed by an affiliate, provided that no filing under Section 16 of the Exchange Act shall be required or voluntarily made;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080"/>
          </w:cols>
          <w:pgMar w:left="320" w:top="459"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259"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transfers of our common stock or any security convertible into or exercisable or exchangeable for common stock pursuant to a domestic order or divorce, provided that any filing required by Section 16 of the Exchange Act shall clearly indicate in the footnotes thereto that such transfer is being made pursuant to these circumstances and that no other public announcement or filing shall be required or shall be voluntarily made;</w:t>
      </w:r>
    </w:p>
    <w:p>
      <w:pPr>
        <w:spacing w:after="0" w:line="92"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exercise, vesting or settlement of options, restricted stock units or other equity awards granted under a stock incentive plan or other equity award plan as described in the prospectus, or transfers or disposition of shares of our common stock or any security convertible into or exercisable or exchangeable for common stock to us upon a vesting or settlement event of our restricted stock units or other securities or the exercise of warrants or options to purchase our securities on a “cashless” or “net exercise” basis to cover estimated taxes, withholding tax and remittance obligations in connection with such vesting, settlement or exercise, insofar as such vesting, settlement or exercise is effected solely by the surrender of outstanding options (or the common stock issuable upon the exercise thereof) or shares of common stock to the Company and our cancellation of all or a portion thereof, provided that no filing under Section 16 of the Exchange Act shall be required or voluntarily made within 90 days after the date of the prospectus and after such 90 days and during the Restricted Period any filing under Section 16 of the Exchange Act will include a statement that such transaction reflects these circumstances;</w:t>
      </w:r>
    </w:p>
    <w:p>
      <w:pPr>
        <w:spacing w:after="0" w:line="71" w:lineRule="exact"/>
        <w:rPr>
          <w:rFonts w:ascii="Arial" w:cs="Arial" w:eastAsia="Arial" w:hAnsi="Arial"/>
          <w:sz w:val="16"/>
          <w:szCs w:val="16"/>
          <w:color w:val="auto"/>
        </w:rPr>
      </w:pPr>
    </w:p>
    <w:p>
      <w:pPr>
        <w:ind w:left="1080" w:right="40" w:hanging="532"/>
        <w:spacing w:after="0" w:line="272"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pursuant to any contractual arrangement in effect on the date of the underwriting agreement and disclosed to the underwriters in writing that provides for the repurchase by us of common stock or any security convertible into or exercisable or exchangeable for common stock pursuant to a repurchase right arising in connection with the termination of employment with or service to the Company; provided that any filing under Section 16 of the Exchange Act reporting a reduction in beneficial ownership of common stock indicates by footnote disclosure or otherwise the nature of the transfer or disposition pursuant to these circumstances and that no other public announcement or filing shall be required or shall be voluntarily made;</w:t>
      </w:r>
    </w:p>
    <w:p>
      <w:pPr>
        <w:spacing w:after="0" w:line="82" w:lineRule="exact"/>
        <w:rPr>
          <w:rFonts w:ascii="Arial" w:cs="Arial" w:eastAsia="Arial" w:hAnsi="Arial"/>
          <w:sz w:val="17"/>
          <w:szCs w:val="17"/>
          <w:color w:val="auto"/>
        </w:rPr>
      </w:pPr>
    </w:p>
    <w:p>
      <w:pPr>
        <w:ind w:left="1080" w:hanging="532"/>
        <w:spacing w:after="0" w:line="255"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transfers of our common stock or any security convertible into or exercisable or exchangeable for common stock in connection with a bona fide third-party tender offer, merger, consolidation or other similar transaction made to all holders of our common stock involving a change of control of our Company that has been approved by our board of directors and is open to all holders of our common stock, provided that in the event that such tender offer, merger, consolidation or other such transaction is not completed, the securities shall continue to be subject to the restrictions on transfer set forth in the lock-up agreement, and provided that no filing under Section 16 of the Exchange Act shall be required or voluntarily made;</w:t>
      </w:r>
    </w:p>
    <w:p>
      <w:pPr>
        <w:spacing w:after="0" w:line="97" w:lineRule="exact"/>
        <w:rPr>
          <w:rFonts w:ascii="Arial" w:cs="Arial" w:eastAsia="Arial" w:hAnsi="Arial"/>
          <w:sz w:val="18"/>
          <w:szCs w:val="18"/>
          <w:color w:val="auto"/>
        </w:rPr>
      </w:pPr>
    </w:p>
    <w:p>
      <w:pPr>
        <w:ind w:left="1080" w:right="20" w:hanging="532"/>
        <w:spacing w:after="0" w:line="25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facilitating 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during the Restricted Period, such announcement or filing shall include a statement to the effect that no transfer of common stock may be made under such plan during the Restricted Period; and</w:t>
      </w:r>
    </w:p>
    <w:p>
      <w:pPr>
        <w:spacing w:after="0" w:line="93" w:lineRule="exact"/>
        <w:rPr>
          <w:rFonts w:ascii="Arial" w:cs="Arial" w:eastAsia="Arial" w:hAnsi="Arial"/>
          <w:sz w:val="18"/>
          <w:szCs w:val="18"/>
          <w:color w:val="auto"/>
        </w:rPr>
      </w:pPr>
    </w:p>
    <w:p>
      <w:pPr>
        <w:ind w:left="1080" w:right="160" w:hanging="532"/>
        <w:spacing w:after="0" w:line="25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conversion of outstanding preferred stock into shares of common stock in connection with the consummation of the offering or any conversion or reclassification of common stock as described in the prospectus, provided that such shares of common stock received upon conversion remain subject to the terms of the lock-up agreement and provided that any filing required by Section 16 of the Exchange Act related to any conversion or reclassification of common stock clearly indicate in the footnotes thereto the nature and conditions of such conversion or reclassification.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Certain of the exceptions described above are subject to a requirement that the donee, trustee, transferee or distributee enter into a lock-up agreement with the underwriters containing similar restrictions. Certain of the exceptions described above are subject to a requirement that the transfer or distribution does not involve a disposition for value.</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Morgan Stanley &amp; Co. LLC, Cowen and Company, LLC and Piper Sandler &amp; Co.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61" w:lineRule="exact"/>
        <w:rPr>
          <w:sz w:val="20"/>
          <w:szCs w:val="20"/>
          <w:color w:val="auto"/>
        </w:rPr>
      </w:pPr>
    </w:p>
    <w:p>
      <w:pPr>
        <w:jc w:val="center"/>
        <w:ind w:right="942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restrictions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76" w:lineRule="exact"/>
        <w:rPr>
          <w:sz w:val="20"/>
          <w:szCs w:val="20"/>
          <w:color w:val="auto"/>
        </w:rPr>
      </w:pPr>
    </w:p>
    <w:p>
      <w:pPr>
        <w:ind w:left="800" w:hanging="244"/>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120" w:right="120" w:firstLine="436"/>
        <w:spacing w:after="0" w:line="277" w:lineRule="auto"/>
        <w:tabs>
          <w:tab w:leader="none" w:pos="81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76"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w:t>
      </w:r>
    </w:p>
    <w:p>
      <w:pPr>
        <w:jc w:val="both"/>
        <w:ind w:left="120" w:right="240" w:hanging="4"/>
        <w:spacing w:after="0" w:line="255" w:lineRule="auto"/>
        <w:tabs>
          <w:tab w:leader="none" w:pos="3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95" w:lineRule="exact"/>
        <w:rPr>
          <w:rFonts w:ascii="Arial" w:cs="Arial" w:eastAsia="Arial" w:hAnsi="Arial"/>
          <w:sz w:val="18"/>
          <w:szCs w:val="18"/>
          <w:color w:val="auto"/>
        </w:rPr>
      </w:pPr>
    </w:p>
    <w:p>
      <w:pPr>
        <w:ind w:left="1080" w:hanging="532"/>
        <w:spacing w:after="0"/>
        <w:tabs>
          <w:tab w:leader="none" w:pos="10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Article 2 of the UK Prospectus Regulation); or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provided that no such offer of shares shall require the us or any of the representatives to publish a prospectus pursuant to section 85 of the FSMA or supplement a prospectus pursuant to Article 23 of the UK Prospectus Regulation.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16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Dubai International Financial Center</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360" w:hanging="244"/>
        <w:spacing w:after="0"/>
        <w:tabs>
          <w:tab w:leader="none" w:pos="3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ind w:left="120" w:right="100" w:hanging="4"/>
        <w:spacing w:after="0" w:line="269" w:lineRule="auto"/>
        <w:tabs>
          <w:tab w:leader="none" w:pos="37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120" w:right="80" w:firstLine="436"/>
        <w:spacing w:after="0" w:line="277" w:lineRule="auto"/>
        <w:tabs>
          <w:tab w:leader="none" w:pos="8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20" w:right="160" w:firstLine="436"/>
        <w:spacing w:after="0" w:line="277" w:lineRule="auto"/>
        <w:tabs>
          <w:tab w:leader="none" w:pos="8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84" w:lineRule="exact"/>
        <w:rPr>
          <w:sz w:val="20"/>
          <w:szCs w:val="20"/>
          <w:color w:val="auto"/>
        </w:rPr>
      </w:pPr>
    </w:p>
    <w:p>
      <w:pPr>
        <w:ind w:left="120" w:right="300" w:firstLine="436"/>
        <w:spacing w:after="0" w:line="277" w:lineRule="auto"/>
        <w:tabs>
          <w:tab w:leader="none" w:pos="8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 the offer, transfer, sale, renunciation or delivery is to:</w:t>
      </w:r>
    </w:p>
    <w:p>
      <w:pPr>
        <w:spacing w:after="0" w:line="225" w:lineRule="exact"/>
        <w:rPr>
          <w:sz w:val="20"/>
          <w:szCs w:val="20"/>
          <w:color w:val="auto"/>
        </w:rPr>
      </w:pPr>
    </w:p>
    <w:p>
      <w:pPr>
        <w:ind w:left="800" w:hanging="244"/>
        <w:spacing w:after="0"/>
        <w:tabs>
          <w:tab w:leader="none" w:pos="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225" w:lineRule="exact"/>
        <w:rPr>
          <w:sz w:val="20"/>
          <w:szCs w:val="20"/>
          <w:color w:val="auto"/>
        </w:rPr>
      </w:pPr>
    </w:p>
    <w:p>
      <w:pPr>
        <w:ind w:left="560"/>
        <w:spacing w:after="0"/>
        <w:tabs>
          <w:tab w:leader="none" w:pos="6780" w:val="left"/>
        </w:tabs>
        <w:rPr>
          <w:sz w:val="20"/>
          <w:szCs w:val="20"/>
          <w:color w:val="auto"/>
        </w:rPr>
      </w:pPr>
      <w:r>
        <w:rPr>
          <w:rFonts w:ascii="Arial" w:cs="Arial" w:eastAsia="Arial" w:hAnsi="Arial"/>
          <w:sz w:val="18"/>
          <w:szCs w:val="18"/>
          <w:color w:val="auto"/>
        </w:rPr>
        <w:t>(f) a wholly-owned subsidiary of any person or entity contemplated in (c), (d) or</w:t>
      </w:r>
      <w:r>
        <w:rPr>
          <w:sz w:val="20"/>
          <w:szCs w:val="20"/>
          <w:color w:val="auto"/>
        </w:rPr>
        <w:tab/>
      </w:r>
      <w:r>
        <w:rPr>
          <w:rFonts w:ascii="Arial" w:cs="Arial" w:eastAsia="Arial" w:hAnsi="Arial"/>
          <w:sz w:val="16"/>
          <w:szCs w:val="16"/>
          <w:color w:val="auto"/>
        </w:rPr>
        <w:t>(e), acting as agent in the capacity of an authorized</w:t>
      </w:r>
    </w:p>
    <w:p>
      <w:pPr>
        <w:spacing w:after="0" w:line="23" w:lineRule="exact"/>
        <w:rPr>
          <w:sz w:val="20"/>
          <w:szCs w:val="20"/>
          <w:color w:val="auto"/>
        </w:rPr>
      </w:pPr>
    </w:p>
    <w:p>
      <w:pPr>
        <w:ind w:left="120"/>
        <w:spacing w:after="0"/>
        <w:tabs>
          <w:tab w:leader="none" w:pos="2220" w:val="left"/>
          <w:tab w:leader="none" w:pos="8260" w:val="left"/>
        </w:tabs>
        <w:rPr>
          <w:sz w:val="20"/>
          <w:szCs w:val="20"/>
          <w:color w:val="auto"/>
        </w:rPr>
      </w:pPr>
      <w:r>
        <w:rPr>
          <w:rFonts w:ascii="Arial" w:cs="Arial" w:eastAsia="Arial" w:hAnsi="Arial"/>
          <w:sz w:val="18"/>
          <w:szCs w:val="18"/>
          <w:color w:val="auto"/>
        </w:rPr>
        <w:t>portfolio manager for a</w:t>
      </w:r>
      <w:r>
        <w:rPr>
          <w:sz w:val="20"/>
          <w:szCs w:val="20"/>
          <w:color w:val="auto"/>
        </w:rPr>
        <w:tab/>
      </w:r>
      <w:r>
        <w:rPr>
          <w:rFonts w:ascii="Arial" w:cs="Arial" w:eastAsia="Arial" w:hAnsi="Arial"/>
          <w:sz w:val="18"/>
          <w:szCs w:val="18"/>
          <w:color w:val="auto"/>
        </w:rPr>
        <w:t>pension fund or collective investment scheme (in each case duly registered as</w:t>
      </w:r>
      <w:r>
        <w:rPr>
          <w:sz w:val="20"/>
          <w:szCs w:val="20"/>
          <w:color w:val="auto"/>
        </w:rPr>
        <w:tab/>
      </w:r>
      <w:r>
        <w:rPr>
          <w:rFonts w:ascii="Arial" w:cs="Arial" w:eastAsia="Arial" w:hAnsi="Arial"/>
          <w:sz w:val="16"/>
          <w:szCs w:val="16"/>
          <w:color w:val="auto"/>
        </w:rPr>
        <w:t>such under South African law); or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 any combination of the person in (a) to (f); or</w:t>
      </w:r>
    </w:p>
    <w:p>
      <w:pPr>
        <w:spacing w:after="0" w:line="225" w:lineRule="exact"/>
        <w:rPr>
          <w:sz w:val="20"/>
          <w:szCs w:val="20"/>
          <w:color w:val="auto"/>
        </w:rPr>
      </w:pPr>
    </w:p>
    <w:p>
      <w:pPr>
        <w:jc w:val="center"/>
        <w:ind w:left="5480" w:right="160" w:hanging="4924"/>
        <w:spacing w:after="0" w:line="449" w:lineRule="auto"/>
        <w:tabs>
          <w:tab w:leader="none" w:pos="7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238</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No “offer to the public” (as such term is defined in the South African Companies Act, No. 71 of 2008 (as amended or re-enacted), or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Davis Polk &amp; Wardwell LLP is acting as counsel for the underwriters.</w:t>
      </w: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financial statements as of December 31, 2019 and 2020, and for each of the two years in the period ended December 31, 2020,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 tenayatherapeutics.com where these materials are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060"/>
          </w:cols>
          <w:pgMar w:left="320" w:top="459" w:right="5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Audited Financial Statements as of and for the Years Ended December 31, 2019 and 2020</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64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245">
              <w:r>
                <w:rPr>
                  <w:rFonts w:ascii="Arial" w:cs="Arial" w:eastAsia="Arial" w:hAnsi="Arial"/>
                  <w:sz w:val="18"/>
                  <w:szCs w:val="18"/>
                  <w:color w:val="0000EE"/>
                  <w:w w:val="91"/>
                </w:rPr>
                <w:t>Report of Independent Registered Public Accounting Firm</w:t>
              </w:r>
            </w:hyperlink>
          </w:p>
        </w:tc>
        <w:tc>
          <w:tcPr>
            <w:tcW w:w="6420" w:type="dxa"/>
            <w:vAlign w:val="bottom"/>
            <w:gridSpan w:val="2"/>
          </w:tcPr>
          <w:p>
            <w:pPr>
              <w:spacing w:after="0"/>
              <w:rPr>
                <w:sz w:val="16"/>
                <w:szCs w:val="16"/>
                <w:color w:val="auto"/>
              </w:rPr>
            </w:pPr>
          </w:p>
        </w:tc>
        <w:tc>
          <w:tcPr>
            <w:tcW w:w="320" w:type="dxa"/>
            <w:vAlign w:val="bottom"/>
          </w:tcPr>
          <w:p>
            <w:pPr>
              <w:ind w:left="60"/>
              <w:spacing w:after="0" w:line="19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46">
              <w:r>
                <w:rPr>
                  <w:rFonts w:ascii="Arial" w:cs="Arial" w:eastAsia="Arial" w:hAnsi="Arial"/>
                  <w:sz w:val="18"/>
                  <w:szCs w:val="18"/>
                  <w:color w:val="0000EE"/>
                  <w:w w:val="85"/>
                </w:rPr>
                <w:t>Balance Sheets</w:t>
              </w:r>
            </w:hyperlink>
          </w:p>
        </w:tc>
        <w:tc>
          <w:tcPr>
            <w:tcW w:w="9540" w:type="dxa"/>
            <w:vAlign w:val="bottom"/>
            <w:gridSpan w:val="6"/>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47">
              <w:r>
                <w:rPr>
                  <w:rFonts w:ascii="Arial" w:cs="Arial" w:eastAsia="Arial" w:hAnsi="Arial"/>
                  <w:sz w:val="18"/>
                  <w:szCs w:val="18"/>
                  <w:color w:val="0000EE"/>
                  <w:w w:val="88"/>
                </w:rPr>
                <w:t>Statements of Operations and Comprehensive Loss</w:t>
              </w:r>
            </w:hyperlink>
          </w:p>
        </w:tc>
        <w:tc>
          <w:tcPr>
            <w:tcW w:w="696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48">
              <w:r>
                <w:rPr>
                  <w:rFonts w:ascii="Arial" w:cs="Arial" w:eastAsia="Arial" w:hAnsi="Arial"/>
                  <w:sz w:val="18"/>
                  <w:szCs w:val="18"/>
                  <w:color w:val="0000EE"/>
                  <w:w w:val="91"/>
                </w:rPr>
                <w:t>Statements of Convertible Preferred Stock and Stockholders’ Deficit</w:t>
              </w:r>
            </w:hyperlink>
          </w:p>
        </w:tc>
        <w:tc>
          <w:tcPr>
            <w:tcW w:w="570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49">
              <w:r>
                <w:rPr>
                  <w:rFonts w:ascii="Arial" w:cs="Arial" w:eastAsia="Arial" w:hAnsi="Arial"/>
                  <w:sz w:val="18"/>
                  <w:szCs w:val="18"/>
                  <w:color w:val="0000EE"/>
                  <w:w w:val="88"/>
                </w:rPr>
                <w:t>Statements of Cash Flows</w:t>
              </w:r>
            </w:hyperlink>
          </w:p>
        </w:tc>
        <w:tc>
          <w:tcPr>
            <w:tcW w:w="8760" w:type="dxa"/>
            <w:vAlign w:val="bottom"/>
            <w:gridSpan w:val="5"/>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Notes to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00" w:type="dxa"/>
            <w:vAlign w:val="bottom"/>
          </w:tcPr>
          <w:p>
            <w:pPr>
              <w:ind w:left="44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 of Tenaya Therapeutics,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have audited the accompanying balance sheets of Tenaya Therapeutics, Inc. (the Company) as of December 31, 2019 and 2020, the related statements of operations and comprehensive loss,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2019 and 2020, and the results of its operations and its cash flows for each of the two years in the period ended December 31, 2020,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7,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128,535</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Investments in marketable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w:t>
            </w: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27,742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129,964</w:t>
            </w:r>
          </w:p>
        </w:tc>
        <w:tc>
          <w:tcPr>
            <w:tcW w:w="12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17,185</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148,161</w:t>
            </w:r>
          </w:p>
        </w:tc>
        <w:tc>
          <w:tcPr>
            <w:tcW w:w="12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3,161</w:t>
            </w: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preferred stock tranche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Deferred rent and other lease liabilities, 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r>
      <w:tr>
        <w:trPr>
          <w:trHeight w:val="27"/>
        </w:trPr>
        <w:tc>
          <w:tcPr>
            <w:tcW w:w="8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5,041</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Deferred rent and other lease liabilities, non-current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3,662</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8,698</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8,722</w:t>
            </w:r>
          </w:p>
        </w:tc>
        <w:tc>
          <w:tcPr>
            <w:tcW w:w="12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1"/>
              </w:rPr>
              <w:t>Convertible preferred stock, $0.0001 par value; 106,900,000 and 156,613,818 shares authorized as of December 31, 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960" w:type="dxa"/>
            <w:vAlign w:val="bottom"/>
          </w:tcPr>
          <w:p>
            <w:pPr>
              <w:ind w:left="180"/>
              <w:spacing w:after="0"/>
              <w:rPr>
                <w:sz w:val="20"/>
                <w:szCs w:val="20"/>
                <w:color w:val="auto"/>
              </w:rPr>
            </w:pPr>
            <w:r>
              <w:rPr>
                <w:rFonts w:ascii="Arial" w:cs="Arial" w:eastAsia="Arial" w:hAnsi="Arial"/>
                <w:sz w:val="18"/>
                <w:szCs w:val="18"/>
                <w:color w:val="auto"/>
                <w:w w:val="92"/>
              </w:rPr>
              <w:t>and 2020; 68,418,509 and 146,961,309 shares issued and outstanding as of December 31, 2019 and 2020; aggregate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liquidation preference of $227,900 as of December 31, 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73,042</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220,754</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2"/>
              </w:rPr>
              <w:t>Common stock, $0.0001 par value; 128,448,000 and 181,980,000 shares authorized as of December 31, 2019 and 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7,161,040 and 7,261,976 shares issued and outstanding as of December 31, 2019 and 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Notes receivable from stockholders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(44,417)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(82,812)</w:t>
            </w: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(43,739)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(81,315)</w:t>
            </w:r>
          </w:p>
        </w:tc>
        <w:tc>
          <w:tcPr>
            <w:tcW w:w="120" w:type="dxa"/>
            <w:vAlign w:val="bottom"/>
          </w:tcPr>
          <w:p>
            <w:pPr>
              <w:spacing w:after="0"/>
              <w:rPr>
                <w:sz w:val="20"/>
                <w:szCs w:val="20"/>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148,161</w:t>
            </w:r>
          </w:p>
        </w:tc>
      </w:tr>
      <w:tr>
        <w:trPr>
          <w:trHeight w:val="20"/>
        </w:trPr>
        <w:tc>
          <w:tcPr>
            <w:tcW w:w="8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2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23,148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30"/>
        </w:trPr>
        <w:tc>
          <w:tcPr>
            <w:tcW w:w="7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(38,912)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724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1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(38,395)</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(38,395)</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4,534,692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5,832,594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500" w:type="dxa"/>
            <w:vAlign w:val="bottom"/>
          </w:tcPr>
          <w:p>
            <w:pPr>
              <w:spacing w:after="0"/>
              <w:rPr>
                <w:sz w:val="3"/>
                <w:szCs w:val="3"/>
                <w:color w:val="auto"/>
              </w:rPr>
            </w:pPr>
          </w:p>
        </w:tc>
        <w:tc>
          <w:tcPr>
            <w:tcW w:w="162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500" w:type="dxa"/>
            <w:vAlign w:val="bottom"/>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200" w:type="dxa"/>
            <w:vAlign w:val="bottom"/>
            <w:tcBorders>
              <w:lef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Receivable</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52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vMerge w:val="restart"/>
          </w:tcPr>
          <w:p>
            <w:pPr>
              <w:spacing w:after="0"/>
              <w:rPr>
                <w:sz w:val="5"/>
                <w:szCs w:val="5"/>
                <w:color w:val="auto"/>
              </w:rPr>
            </w:pPr>
          </w:p>
        </w:tc>
        <w:tc>
          <w:tcPr>
            <w:tcW w:w="200" w:type="dxa"/>
            <w:vAlign w:val="bottom"/>
            <w:tcBorders>
              <w:left w:val="single" w:sz="8" w:color="auto"/>
            </w:tcBorders>
          </w:tcPr>
          <w:p>
            <w:pPr>
              <w:spacing w:after="0"/>
              <w:rPr>
                <w:sz w:val="5"/>
                <w:szCs w:val="5"/>
                <w:color w:val="auto"/>
              </w:rPr>
            </w:pPr>
          </w:p>
        </w:tc>
        <w:tc>
          <w:tcPr>
            <w:tcW w:w="12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5"/>
              </w:rPr>
              <w:t>Common Stock</w:t>
            </w: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500" w:type="dxa"/>
            <w:vAlign w:val="bottom"/>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from</w:t>
            </w:r>
          </w:p>
        </w:tc>
        <w:tc>
          <w:tcPr>
            <w:tcW w:w="11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left w:val="single" w:sz="8" w:color="auto"/>
            </w:tcBorders>
          </w:tcPr>
          <w:p>
            <w:pPr>
              <w:spacing w:after="0"/>
              <w:rPr>
                <w:sz w:val="2"/>
                <w:szCs w:val="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5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Stockholders</w:t>
            </w:r>
          </w:p>
        </w:tc>
        <w:tc>
          <w:tcPr>
            <w:tcW w:w="14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January 1, 2019</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49,900,000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43,393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left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6,559,040</w:t>
            </w:r>
          </w:p>
        </w:tc>
        <w:tc>
          <w:tcPr>
            <w:tcW w:w="3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(18,186)</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00" w:type="dxa"/>
            <w:vAlign w:val="bottom"/>
          </w:tcPr>
          <w:p>
            <w:pPr>
              <w:ind w:left="220"/>
              <w:spacing w:after="0" w:line="130" w:lineRule="exact"/>
              <w:rPr>
                <w:sz w:val="20"/>
                <w:szCs w:val="20"/>
                <w:color w:val="auto"/>
              </w:rPr>
            </w:pPr>
            <w:r>
              <w:rPr>
                <w:rFonts w:ascii="Arial" w:cs="Arial" w:eastAsia="Arial" w:hAnsi="Arial"/>
                <w:sz w:val="14"/>
                <w:szCs w:val="14"/>
                <w:color w:val="auto"/>
              </w:rPr>
              <w:t>Issuance of Series B convertible preferred stock, net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360"/>
              <w:spacing w:after="0" w:line="149" w:lineRule="exact"/>
              <w:rPr>
                <w:sz w:val="20"/>
                <w:szCs w:val="20"/>
                <w:color w:val="auto"/>
              </w:rPr>
            </w:pPr>
            <w:r>
              <w:rPr>
                <w:rFonts w:ascii="Arial" w:cs="Arial" w:eastAsia="Arial" w:hAnsi="Arial"/>
                <w:sz w:val="14"/>
                <w:szCs w:val="14"/>
                <w:color w:val="auto"/>
              </w:rPr>
              <w:t>of issuance costs of $221 and recognition of</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360"/>
              <w:spacing w:after="0" w:line="149" w:lineRule="exact"/>
              <w:rPr>
                <w:sz w:val="20"/>
                <w:szCs w:val="20"/>
                <w:color w:val="auto"/>
              </w:rPr>
            </w:pPr>
            <w:r>
              <w:rPr>
                <w:rFonts w:ascii="Arial" w:cs="Arial" w:eastAsia="Arial" w:hAnsi="Arial"/>
                <w:sz w:val="14"/>
                <w:szCs w:val="14"/>
                <w:color w:val="auto"/>
              </w:rPr>
              <w:t>convertible preferred stock liability upon issuance</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360"/>
              <w:spacing w:after="0"/>
              <w:rPr>
                <w:sz w:val="20"/>
                <w:szCs w:val="20"/>
                <w:color w:val="auto"/>
              </w:rPr>
            </w:pPr>
            <w:r>
              <w:rPr>
                <w:rFonts w:ascii="Arial" w:cs="Arial" w:eastAsia="Arial" w:hAnsi="Arial"/>
                <w:sz w:val="14"/>
                <w:szCs w:val="14"/>
                <w:color w:val="auto"/>
              </w:rPr>
              <w:t>of Series B convertible preferred stock of $797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18,518,509</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29,649</w:t>
            </w:r>
          </w:p>
        </w:tc>
        <w:tc>
          <w:tcPr>
            <w:tcW w:w="200" w:type="dxa"/>
            <w:vAlign w:val="bottom"/>
            <w:tcBorders>
              <w:left w:val="single" w:sz="8" w:color="auto"/>
            </w:tcBorders>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5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to a related party for the</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grant of rights and licenses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100,000</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350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360"/>
              <w:spacing w:after="0"/>
              <w:rPr>
                <w:sz w:val="20"/>
                <w:szCs w:val="20"/>
                <w:color w:val="auto"/>
              </w:rPr>
            </w:pPr>
            <w:r>
              <w:rPr>
                <w:rFonts w:ascii="Arial" w:cs="Arial" w:eastAsia="Arial" w:hAnsi="Arial"/>
                <w:sz w:val="14"/>
                <w:szCs w:val="14"/>
                <w:color w:val="auto"/>
              </w:rPr>
              <w:t>options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538,500</w:t>
            </w:r>
          </w:p>
        </w:tc>
        <w:tc>
          <w:tcPr>
            <w:tcW w:w="32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35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Repurchase of common stock related to early</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options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(36,500)</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Vesting of early exercised stock options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Notes receivable from stockholders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 and other comprehensive loss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(26,231)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(26,231)</w:t>
            </w:r>
          </w:p>
        </w:tc>
        <w:tc>
          <w:tcPr>
            <w:tcW w:w="0" w:type="dxa"/>
            <w:vAlign w:val="bottom"/>
          </w:tcPr>
          <w:p>
            <w:pPr>
              <w:spacing w:after="0"/>
              <w:rPr>
                <w:sz w:val="1"/>
                <w:szCs w:val="1"/>
                <w:color w:val="auto"/>
              </w:rPr>
            </w:pPr>
          </w:p>
        </w:tc>
      </w:tr>
      <w:tr>
        <w:trPr>
          <w:trHeight w:val="155"/>
        </w:trPr>
        <w:tc>
          <w:tcPr>
            <w:tcW w:w="3500" w:type="dxa"/>
            <w:vAlign w:val="bottom"/>
          </w:tcPr>
          <w:p>
            <w:pPr>
              <w:spacing w:after="0" w:line="155" w:lineRule="exact"/>
              <w:rPr>
                <w:sz w:val="20"/>
                <w:szCs w:val="20"/>
                <w:color w:val="auto"/>
              </w:rPr>
            </w:pPr>
            <w:r>
              <w:rPr>
                <w:rFonts w:ascii="Arial" w:cs="Arial" w:eastAsia="Arial" w:hAnsi="Arial"/>
                <w:sz w:val="14"/>
                <w:szCs w:val="14"/>
                <w:color w:val="auto"/>
              </w:rPr>
              <w:t>Balance as of December 31, 2019</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68,418,509</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73,042</w:t>
            </w:r>
          </w:p>
        </w:tc>
        <w:tc>
          <w:tcPr>
            <w:tcW w:w="100" w:type="dxa"/>
            <w:vAlign w:val="bottom"/>
          </w:tcPr>
          <w:p>
            <w:pPr>
              <w:spacing w:after="0"/>
              <w:rPr>
                <w:sz w:val="13"/>
                <w:szCs w:val="13"/>
                <w:color w:val="auto"/>
              </w:rPr>
            </w:pPr>
          </w:p>
        </w:tc>
        <w:tc>
          <w:tcPr>
            <w:tcW w:w="200" w:type="dxa"/>
            <w:vAlign w:val="bottom"/>
            <w:tcBorders>
              <w:left w:val="single" w:sz="8" w:color="auto"/>
            </w:tcBorders>
          </w:tcPr>
          <w:p>
            <w:pPr>
              <w:spacing w:after="0"/>
              <w:rPr>
                <w:sz w:val="13"/>
                <w:szCs w:val="13"/>
                <w:color w:val="auto"/>
              </w:rPr>
            </w:pPr>
          </w:p>
        </w:tc>
        <w:tc>
          <w:tcPr>
            <w:tcW w:w="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7,161,040</w:t>
            </w:r>
          </w:p>
        </w:tc>
        <w:tc>
          <w:tcPr>
            <w:tcW w:w="3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(44,417)</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(43,739)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5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Series B convertible preferred stock, net</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of issuance costs of $49 and settlement of</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convertible preferred stock tranche liability of</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$711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37,037,018</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61,995</w:t>
            </w:r>
          </w:p>
        </w:tc>
        <w:tc>
          <w:tcPr>
            <w:tcW w:w="200" w:type="dxa"/>
            <w:vAlign w:val="bottom"/>
            <w:tcBorders>
              <w:left w:val="single" w:sz="8" w:color="auto"/>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500" w:type="dxa"/>
            <w:vAlign w:val="bottom"/>
          </w:tcPr>
          <w:p>
            <w:pPr>
              <w:ind w:left="220"/>
              <w:spacing w:after="0" w:line="130" w:lineRule="exact"/>
              <w:rPr>
                <w:sz w:val="20"/>
                <w:szCs w:val="20"/>
                <w:color w:val="auto"/>
              </w:rPr>
            </w:pPr>
            <w:r>
              <w:rPr>
                <w:rFonts w:ascii="Arial" w:cs="Arial" w:eastAsia="Arial" w:hAnsi="Arial"/>
                <w:sz w:val="14"/>
                <w:szCs w:val="14"/>
                <w:color w:val="auto"/>
              </w:rPr>
              <w:t>Issuance of Series C convertible preferred stock, net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360"/>
              <w:spacing w:after="0"/>
              <w:rPr>
                <w:sz w:val="20"/>
                <w:szCs w:val="20"/>
                <w:color w:val="auto"/>
              </w:rPr>
            </w:pPr>
            <w:r>
              <w:rPr>
                <w:rFonts w:ascii="Arial" w:cs="Arial" w:eastAsia="Arial" w:hAnsi="Arial"/>
                <w:sz w:val="14"/>
                <w:szCs w:val="14"/>
                <w:color w:val="auto"/>
              </w:rPr>
              <w:t>of issuance costs of $283</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41,505,782</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85,717</w:t>
            </w:r>
          </w:p>
        </w:tc>
        <w:tc>
          <w:tcPr>
            <w:tcW w:w="200" w:type="dxa"/>
            <w:vAlign w:val="bottom"/>
            <w:tcBorders>
              <w:left w:val="single" w:sz="8" w:color="auto"/>
            </w:tcBorders>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5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options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107,103</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3500" w:type="dxa"/>
            <w:vAlign w:val="bottom"/>
          </w:tcPr>
          <w:p>
            <w:pPr>
              <w:ind w:left="220"/>
              <w:spacing w:after="0" w:line="130" w:lineRule="exact"/>
              <w:rPr>
                <w:sz w:val="20"/>
                <w:szCs w:val="20"/>
                <w:color w:val="auto"/>
              </w:rPr>
            </w:pPr>
            <w:r>
              <w:rPr>
                <w:rFonts w:ascii="Arial" w:cs="Arial" w:eastAsia="Arial" w:hAnsi="Arial"/>
                <w:sz w:val="14"/>
                <w:szCs w:val="14"/>
                <w:color w:val="auto"/>
              </w:rPr>
              <w:t>Repurchase of common stock related to early</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360"/>
              <w:spacing w:after="0"/>
              <w:rPr>
                <w:sz w:val="20"/>
                <w:szCs w:val="20"/>
                <w:color w:val="auto"/>
              </w:rPr>
            </w:pPr>
            <w:r>
              <w:rPr>
                <w:rFonts w:ascii="Arial" w:cs="Arial" w:eastAsia="Arial" w:hAnsi="Arial"/>
                <w:sz w:val="14"/>
                <w:szCs w:val="14"/>
                <w:color w:val="auto"/>
              </w:rPr>
              <w:t>exercise of options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(6,167)</w:t>
            </w:r>
          </w:p>
        </w:tc>
        <w:tc>
          <w:tcPr>
            <w:tcW w:w="32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Vesting of early exercised stock options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8"/>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Notes receivable from stockholders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Net loss and other comprehensive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(38,395)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(38,395)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2020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146,961,309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220,754</w:t>
            </w:r>
          </w:p>
        </w:tc>
        <w:tc>
          <w:tcPr>
            <w:tcW w:w="100" w:type="dxa"/>
            <w:vAlign w:val="bottom"/>
            <w:shd w:val="clear" w:color="auto" w:fill="CCEEFF"/>
          </w:tcPr>
          <w:p>
            <w:pPr>
              <w:spacing w:after="0"/>
              <w:rPr>
                <w:sz w:val="12"/>
                <w:szCs w:val="12"/>
                <w:color w:val="auto"/>
              </w:rPr>
            </w:pPr>
          </w:p>
        </w:tc>
        <w:tc>
          <w:tcPr>
            <w:tcW w:w="200" w:type="dxa"/>
            <w:vAlign w:val="bottom"/>
            <w:tcBorders>
              <w:left w:val="single" w:sz="8" w:color="auto"/>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7,261,976</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(82,812)</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(81,315)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(26,231)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(38,395)</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1,989</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2,483</w:t>
            </w: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Accretion of discount on marketable securities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(96)</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Non-cash stock expense related to the grant of rights and licenses from a related party</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fair value of convertible preferred stock tranche liability</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8"/>
        </w:trPr>
        <w:tc>
          <w:tcPr>
            <w:tcW w:w="904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assets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9040" w:type="dxa"/>
            <w:vAlign w:val="bottom"/>
          </w:tcPr>
          <w:p>
            <w:pPr>
              <w:ind w:left="5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514</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Deferred rent and other lease liabilities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(691)</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49"/>
        </w:trPr>
        <w:tc>
          <w:tcPr>
            <w:tcW w:w="904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0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(24,096)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(35,447)</w:t>
            </w:r>
          </w:p>
        </w:tc>
        <w:tc>
          <w:tcPr>
            <w:tcW w:w="0" w:type="dxa"/>
            <w:vAlign w:val="bottom"/>
          </w:tcPr>
          <w:p>
            <w:pPr>
              <w:spacing w:after="0"/>
              <w:rPr>
                <w:sz w:val="1"/>
                <w:szCs w:val="1"/>
                <w:color w:val="auto"/>
              </w:rPr>
            </w:pPr>
          </w:p>
        </w:tc>
      </w:tr>
      <w:tr>
        <w:trPr>
          <w:trHeight w:val="156"/>
        </w:trPr>
        <w:tc>
          <w:tcPr>
            <w:tcW w:w="90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(9,763)</w:t>
            </w: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Purchases of marketable securities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(12,657)</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maturities of marketable securities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163"/>
        </w:trPr>
        <w:tc>
          <w:tcPr>
            <w:tcW w:w="9040" w:type="dxa"/>
            <w:vAlign w:val="bottom"/>
          </w:tcPr>
          <w:p>
            <w:pPr>
              <w:ind w:left="860"/>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(5,583)</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4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30,446</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61,284</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85,951</w:t>
            </w: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Repurchases of common stock</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904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30,511</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147,268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cash equivalents and restricted cash</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832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104,811</w:t>
            </w:r>
          </w:p>
        </w:tc>
        <w:tc>
          <w:tcPr>
            <w:tcW w:w="0" w:type="dxa"/>
            <w:vAlign w:val="bottom"/>
          </w:tcPr>
          <w:p>
            <w:pPr>
              <w:spacing w:after="0"/>
              <w:rPr>
                <w:sz w:val="1"/>
                <w:szCs w:val="1"/>
                <w:color w:val="auto"/>
              </w:rPr>
            </w:pPr>
          </w:p>
        </w:tc>
      </w:tr>
      <w:tr>
        <w:trPr>
          <w:trHeight w:val="155"/>
        </w:trPr>
        <w:tc>
          <w:tcPr>
            <w:tcW w:w="904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23,439</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24,271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24,271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129,082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23,872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128,535</w:t>
            </w:r>
          </w:p>
        </w:tc>
        <w:tc>
          <w:tcPr>
            <w:tcW w:w="0" w:type="dxa"/>
            <w:vAlign w:val="bottom"/>
          </w:tcPr>
          <w:p>
            <w:pPr>
              <w:spacing w:after="0"/>
              <w:rPr>
                <w:sz w:val="1"/>
                <w:szCs w:val="1"/>
                <w:color w:val="auto"/>
              </w:rPr>
            </w:pPr>
          </w:p>
        </w:tc>
      </w:tr>
      <w:tr>
        <w:trPr>
          <w:trHeight w:val="155"/>
        </w:trPr>
        <w:tc>
          <w:tcPr>
            <w:tcW w:w="9040" w:type="dxa"/>
            <w:vAlign w:val="bottom"/>
          </w:tcPr>
          <w:p>
            <w:pPr>
              <w:spacing w:after="0" w:line="149" w:lineRule="exact"/>
              <w:rPr>
                <w:sz w:val="20"/>
                <w:szCs w:val="20"/>
                <w:color w:val="auto"/>
              </w:rPr>
            </w:pPr>
            <w:r>
              <w:rPr>
                <w:rFonts w:ascii="Arial" w:cs="Arial" w:eastAsia="Arial" w:hAnsi="Arial"/>
                <w:sz w:val="14"/>
                <w:szCs w:val="14"/>
                <w:color w:val="auto"/>
              </w:rPr>
              <w:t>Restricted cash, non-current</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24,271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129,082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included in accounts payable and accrued expenses and other current liabilities</w:t>
            </w: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4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color w:val="auto"/>
              </w:rPr>
              <w:t>Settlement of convertible preferred stock tranche liability in connection with the issuance of Series B convertible preferred stock</w:t>
            </w: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7"/>
              </w:rPr>
              <w:t>Deferred offering costs related to Series C convertible preferred stock included in accounts payable and accrued expenses and other current liabilities</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 has incurred net losses since inception and expects such losses to continue in the future as it conducts research and development activities. As of December 31, 2020, the Company had an accumulated deficit of $82.8 million. The Company incurred a net loss of $26.2 million and $38.4 million during the years ended December 31, 2019 and 2020. The Company had $128.5 million of cash and cash equivalents as of December 31, 2020. In addition, in January 2021, the Company raised $20.0 million in gross proceeds from the issuance and sale of shares of its Series C convertible preferred stock (see Note 13).</w:t>
      </w:r>
    </w:p>
    <w:p>
      <w:pPr>
        <w:spacing w:after="0" w:line="188" w:lineRule="exact"/>
        <w:rPr>
          <w:sz w:val="20"/>
          <w:szCs w:val="20"/>
          <w:color w:val="auto"/>
        </w:rPr>
      </w:pPr>
    </w:p>
    <w:p>
      <w:pPr>
        <w:ind w:left="120" w:right="320" w:firstLine="440"/>
        <w:spacing w:after="0" w:line="296" w:lineRule="auto"/>
        <w:rPr>
          <w:sz w:val="20"/>
          <w:szCs w:val="20"/>
          <w:color w:val="auto"/>
        </w:rPr>
      </w:pPr>
      <w:r>
        <w:rPr>
          <w:rFonts w:ascii="Arial" w:cs="Arial" w:eastAsia="Arial" w:hAnsi="Arial"/>
          <w:sz w:val="16"/>
          <w:szCs w:val="16"/>
          <w:color w:val="auto"/>
        </w:rPr>
        <w:t>Management recognizes the need to raise capital to fully implement its business plan. The Company has historically financed its operations primarily with proceeds from the issuance of its convertible preferred stock and may seek to raise capital through equity financings, debt financings, license agreements, collaborative agreements or other sources of financing. Management believes that its existing cash and cash equivalents as of December 31, 2020, together with the funds raised in January 2021 from the sale of Series C convertible preferred stock, are sufficient to fund the Company’s operations for at least the next twelve months following the issuance date of these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three-level fair value hierarchy that requires an entity to maximize the use of observable inputs, where available, and minimize the use of unobservable inputs when measuring fair value. The three-level hierarchy of inputs is as follows:</w:t>
      </w:r>
    </w:p>
    <w:p>
      <w:pPr>
        <w:spacing w:after="0" w:line="198" w:lineRule="exact"/>
        <w:rPr>
          <w:sz w:val="20"/>
          <w:szCs w:val="20"/>
          <w:color w:val="auto"/>
        </w:rPr>
      </w:pPr>
    </w:p>
    <w:p>
      <w:pPr>
        <w:jc w:val="center"/>
        <w:ind w:left="360" w:right="520"/>
        <w:spacing w:after="0" w:line="449" w:lineRule="auto"/>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—Observable inputs such as unadjusted quoted prices in active markets for identical assets or liabilities as of the measurement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1260" w:right="20" w:hanging="706"/>
        <w:spacing w:after="0" w:line="277"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—Inputs (other than quoted prices included within Level 1) that are directly observable for the asset or liability or indirectly observable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assets or liabilities;</w:t>
      </w:r>
    </w:p>
    <w:p>
      <w:pPr>
        <w:spacing w:after="0" w:line="62" w:lineRule="exact"/>
        <w:rPr>
          <w:sz w:val="20"/>
          <w:szCs w:val="20"/>
          <w:color w:val="auto"/>
        </w:rPr>
      </w:pPr>
    </w:p>
    <w:p>
      <w:pPr>
        <w:ind w:left="1260" w:right="180" w:hanging="706"/>
        <w:spacing w:after="0" w:line="277" w:lineRule="auto"/>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—Unobservable inputs that are supported by little or no market activity and that are significant to determining the fair value of the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liabilities.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Company’s cash and cash equivalents, prepaid expenses and other current assets, accounts payable and accrued expenses and other current liabilities approximate their fair value due to their short-term nature.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 of risk, consist principally of cash, cash equivalents and marketable securities. All of the Company’s cash, cash equivalents and marketable securities are invested through banks and other accredited financial institutions in the United States. Such amounts may exceed federally insured limits. The Company has not experienced any losses on its deposits of cash and cash equivalents.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 is subject to certain risks similar to that of other early-stage biopharmaceutical companies, including, but not limited to, the ability to obtain future financing, possible failure of future clinical trials, the need to obtain regulatory approvals for its product candidates, the need to successfully commercialize and gain market acceptance of the Company’s product candidates, competitive developments, protection of the proprietary technology, the ability to make milestone, royalty or other payments due under licensing agreements, and the Company’s ability to attract and retain employees necessary to support its growth.</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ongoing COVID-19 pandemic has disrupted and may continue to disrupt the Company’s business and delay its programs and timelines. The Company does not yet know the full extent of potential delays to its preclinical trials, which could prevent or delay the Company from initiating clinical trials and obtaining approval for its product candidates. The extent to which the COVID-19 pandemic may impact the Company’s future operating results and financial condition is uncertain.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 and Geographical Information</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Company has one operating segment and one reportable segment, which is the business of developing treatments that address heart failure. The Company’s chief operating decision maker, its Chief Executive Officer, reviews financial information on an aggregate basis for the purpose of allocating resources and evaluating financial performance. All of the Company’s assets are located in the United States.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on the date of purchase to be cash equivalents. Cash equivalents primarily consist of money market funds, commercial paper and U.S. government agencies bonds that are stated at fair value.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As of December 31, 2019 and 2020, the Company’s restricted cash of $0.4 million and $0.5 million represent security deposits for the Company’s operating leases in South San Francisco, California. The security deposits are in the form of a letter of credit secured by restricted cash.</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invests in marketable securities, primarily securities issued by the U.S. government and its agencies as well as commercial paper.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Unrealized gains and losses are excluded from earnings and are reported as a component of other comprehensive loss. Realized gains and losses and declines in fair value judged to be other than temporary, if any, on available-for-sale securities are included in other income (expense), net. There are no material realized gains or losses on marketable securities for all periods presented. The cost of securities sold is based on the specific-identification method. Interest earned on marketable securities is included in interest income.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for Long-Lived Assets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obligation to issue additional shares of the Company’s Series B convertible preferred stock at a fixed price on future dates was determined to be a freestanding financial instrument that is accounted for as a liability. On issuance, the Company recorded the convertible preferred stock tranche liability on the balance sheet at its estimated fair value. The liability is subject to remeasurement at each balance sheet date, with changes in fair value recognized as a gain or loss on remeasurement as a component of other income (expense), net in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statements of operations and comprehensive loss until settlement or extinguishment. The convertible preferred stock tranche liability was settled upon the second and third closings of the Company’s Series B convertible preferred stock in March and August 2020, respectively.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Company records rent expense on a straight-line basis over the life of the lease from the date that it obtains the legal right to use and control the leased space. In cases where there is a free rent period or future fixed rent escalations, the Company records a deferred rent liability. Deferred rent consists of the difference between cash payments and the rent expense recognized.</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part of its lease agreements, the Company receives tenant improvement allowances from landlords. The Company recognizes these allowances as a leasehold incentive obligation, included in deferred rent and other lease liabilities, and amortizes allowances on a straight-line basis over the life of the lease. Allowances which contractually are not required to be paid back to the landlord, are amortized as a reduction to rent expense. Allowances which contractually are required to be paid back to the landlord are amortized over the life of the lease with a portion of the payment decreasing the allowance balance and recorded as an increase to rent expense.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Research and development (R&amp;D) costs are expensed as incurred. Research and development costs include, among others, consulting fees, salaries, benefits, travel, stock-based compensation, laboratory supplies and other non-capital equipment utilized for in-house research, allocated facilities and overhead costs, amounts owed under licensing agreements, amounts paid to contract research organizations (CRO) that conduct research and development activities on the Company’s behalf and costs related to compliance with regulatory requirements.</w:t>
      </w:r>
    </w:p>
    <w:p>
      <w:pPr>
        <w:spacing w:after="0" w:line="17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Goods or services incurred for research and development activities that have not yet been invoiced are recorded as liabilities within accrued expenses and other current liabilities on the Company’s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The Company makes judgments and estimates in determining the accrued and other current liabilities balance. If the actual timing of the performance of services or the level of effort varies from the estimate, the Company adjusts accrued expenses or prepaid expenses accordingly, which impact research and development expenses. The Company has not experienced any material differences between accrued costs and actual costs incurred. Changes in these estimates that result in material changes to the Company’s accrued costs could materially affect the Company’s results of operations.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Non-refundable advance payments for goods or services to be rendered as part of future research and development activities are capitalized on the Company’s balance sheets until the goods or services are received.</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purposes of determining the estimated fair value of options granted to employees and nonemployees, the Company uses the Black-Scholes option pricing model.</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fair value of restricted stock awards is determined on the date of grant based on the estimated fair value of the Company’s common stock on that date.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2019 and 2020, the Company has recorded a full valuation allowance on its net deferred tax assets.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and penalties, if any, related to unrecognized tax benefits are included within the provision for income tax.</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Comprehensive loss includes net loss and certain changes in stockholders’ deficit that are excluded from net loss. The Company’s comprehensive loss is comprised of unrealized gains and losses on the Company’s marketable securities, which were immaterial for all periods presented. Accordingly, comprehensive loss is the same as net loss.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9" w:right="49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On January 1, 2019, the Company adopted Financial Accounting Standards Board (FASB) Accounting Standards Update (ASU) No. 2016-18,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(Topic 230)—Restricted Cash (ASU 2016-18). This standard requires amounts generally described as restricted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equivalents to be included with cash and cash equivalents when reconciling beginning-of-period and end-of-period total amounts shown on the statements of cash flows. The provisions of ASU 2016-18 are applied retrospectively. The adoption of this standard did not have a material impact on the Company’s financial statements.</w:t>
      </w:r>
    </w:p>
    <w:p>
      <w:pPr>
        <w:spacing w:after="0" w:line="188"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 xml:space="preserve">On January 1, 2019, the Company early adopted FASB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This standard simplifies several aspects of the accounting for nonemployee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resulting from expanding the scope of Topic 718 to include share-based payment transactions for acquiring goods and services from nonemployees. The adoption of this standard did not have a material impact on the Company’s financial statements.</w:t>
      </w:r>
    </w:p>
    <w:p>
      <w:pPr>
        <w:spacing w:after="0" w:line="15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On January 1, 2020, the Company adopted FASB ASU No. 2018-13, </w:t>
      </w:r>
      <w:r>
        <w:rPr>
          <w:rFonts w:ascii="Arial" w:cs="Arial" w:eastAsia="Arial" w:hAnsi="Arial"/>
          <w:sz w:val="17"/>
          <w:szCs w:val="17"/>
          <w:i w:val="1"/>
          <w:iCs w:val="1"/>
          <w:color w:val="auto"/>
        </w:rPr>
        <w:t>Fair Value Measurement (Topic 820): Disclosure Framework—Changes to</w:t>
      </w:r>
      <w:r>
        <w:rPr>
          <w:rFonts w:ascii="Arial" w:cs="Arial" w:eastAsia="Arial" w:hAnsi="Arial"/>
          <w:sz w:val="17"/>
          <w:szCs w:val="17"/>
          <w:color w:val="auto"/>
        </w:rPr>
        <w:t xml:space="preserve"> </w:t>
      </w:r>
      <w:r>
        <w:rPr>
          <w:rFonts w:ascii="Arial" w:cs="Arial" w:eastAsia="Arial" w:hAnsi="Arial"/>
          <w:sz w:val="17"/>
          <w:szCs w:val="17"/>
          <w:i w:val="1"/>
          <w:iCs w:val="1"/>
          <w:color w:val="auto"/>
        </w:rPr>
        <w:t>the Disclosure Requirements for Fair Value Measurement</w:t>
      </w:r>
      <w:r>
        <w:rPr>
          <w:rFonts w:ascii="Arial" w:cs="Arial" w:eastAsia="Arial" w:hAnsi="Arial"/>
          <w:sz w:val="17"/>
          <w:szCs w:val="17"/>
          <w:color w:val="auto"/>
        </w:rPr>
        <w:t>. This standard eliminates, modifies and adds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The Company adopted the removed and modified disclosures on a retrospective basis and the new disclosures on a prospective basis. The adoption of this standard did not have a material impact on the Company’s financial statements.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amended, which requires lessees to recognize operating and financing lease liabilities and corresponding right-of-use assets on the balance sheet for all leases with lease terms of more than twelve months. In July 2018, the FASB issued ASU No. 2018-11, </w:t>
      </w:r>
      <w:r>
        <w:rPr>
          <w:rFonts w:ascii="Arial" w:cs="Arial" w:eastAsia="Arial" w:hAnsi="Arial"/>
          <w:sz w:val="17"/>
          <w:szCs w:val="17"/>
          <w:i w:val="1"/>
          <w:iCs w:val="1"/>
          <w:color w:val="auto"/>
        </w:rPr>
        <w:t>Leases, Targeted Improvements (Topic 842)</w:t>
      </w:r>
      <w:r>
        <w:rPr>
          <w:rFonts w:ascii="Arial" w:cs="Arial" w:eastAsia="Arial" w:hAnsi="Arial"/>
          <w:sz w:val="17"/>
          <w:szCs w:val="17"/>
          <w:color w:val="auto"/>
        </w:rPr>
        <w:t>, an update which provides an alternative transition method, in addition to the existing modified retrospective transition method, by allowing entities to initially apply the new lease standard at the adoption date and recognize a cumulative-effect adjustment to the opening balance of retained earnings in the period of adoption. As an emerging growth company, these new lease standards are effective for the Company for fiscal year beginning January 1, 2022, with early adoption permitted. The Company is evaluating the impact of this standard on its financial statements.</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replaces the existing incurred loss impairment model with an expected credit loss model. This standard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to recognize an allowance for credit losses on available-for-sale debt securities rather than the current approach of recording a reduction to the carrying value of the asset. As an emerging growth company, ASU 2016-13 is effective for the Company for fiscal year beginning January 1, 2023. The Company is evaluating the impact of this standard on its financial statements.</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for fiscal year beginning January 1, 2022. The Company is evaluating the impact of this standard on its financial statements.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Financial assets and liabilities are recognized at fair value on a recurring basis. The following table summarize the Company’s financial assets and liabilities measured at fair value on a recurring basis by level within the fair value hierarchy: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Valuation</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0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20" w:type="dxa"/>
            <w:vAlign w:val="bottom"/>
          </w:tcPr>
          <w:p>
            <w:pPr>
              <w:spacing w:after="0"/>
              <w:rPr>
                <w:sz w:val="10"/>
                <w:szCs w:val="10"/>
                <w:color w:val="auto"/>
              </w:rPr>
            </w:pPr>
          </w:p>
        </w:tc>
        <w:tc>
          <w:tcPr>
            <w:tcW w:w="13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Unrealized</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160" w:type="dxa"/>
            <w:vAlign w:val="bottom"/>
          </w:tcPr>
          <w:p>
            <w:pPr>
              <w:spacing w:after="0"/>
              <w:rPr>
                <w:sz w:val="14"/>
                <w:szCs w:val="14"/>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w:t>
            </w:r>
          </w:p>
        </w:tc>
        <w:tc>
          <w:tcPr>
            <w:tcW w:w="4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b w:val="1"/>
                <w:bCs w:val="1"/>
                <w:color w:val="auto"/>
              </w:rPr>
              <w:t>Cash equivalents: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19,373</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agencies bonds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b w:val="1"/>
                <w:bCs w:val="1"/>
                <w:color w:val="auto"/>
              </w:rPr>
              <w:t>Marketable securities: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treasuries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Convertible preferred stock tranche liability</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Level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500" w:type="dxa"/>
            <w:vAlign w:val="bottom"/>
          </w:tcPr>
          <w:p>
            <w:pPr>
              <w:jc w:val="center"/>
              <w:ind w:right="3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00" w:type="dxa"/>
            <w:vAlign w:val="bottom"/>
          </w:tcPr>
          <w:p>
            <w:pPr>
              <w:spacing w:after="0"/>
              <w:rPr>
                <w:sz w:val="24"/>
                <w:szCs w:val="2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Valuation</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0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20" w:type="dxa"/>
            <w:vAlign w:val="bottom"/>
          </w:tcPr>
          <w:p>
            <w:pPr>
              <w:spacing w:after="0"/>
              <w:rPr>
                <w:sz w:val="10"/>
                <w:szCs w:val="10"/>
                <w:color w:val="auto"/>
              </w:rPr>
            </w:pPr>
          </w:p>
        </w:tc>
        <w:tc>
          <w:tcPr>
            <w:tcW w:w="13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Unrealized</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160" w:type="dxa"/>
            <w:vAlign w:val="bottom"/>
          </w:tcPr>
          <w:p>
            <w:pPr>
              <w:spacing w:after="0"/>
              <w:rPr>
                <w:sz w:val="14"/>
                <w:szCs w:val="14"/>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w:t>
            </w:r>
          </w:p>
        </w:tc>
        <w:tc>
          <w:tcPr>
            <w:tcW w:w="4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b w:val="1"/>
                <w:bCs w:val="1"/>
                <w:color w:val="auto"/>
              </w:rPr>
              <w:t>Cash equivalents: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$ 127,535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$ 127,535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$ 127,535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$ 127,535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Money market funds and U.S. treasuries are classified as Level 1 because they are valued using quoted market prices in active markets for identical assets. Financial instruments classified within Level 2 of the fair value hierarchy are valued based on the observable inputs or can be derived from non-binding quotes from its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18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There were no unrealized losses as of December 31, 2019 and 2020. All available-for-sale marketable securities held as of December 31, 2019 had contractual maturities of less than one year. There were no available-for-sale marketable securities as of December 31, 2020.</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Company’s convertible preferred stock tranche liability (see Note 7) was determined based on significant inputs not observable in the market, which represents a Level 3 measurement within the fair value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hierarchy. Fair value was calculated using an option pricing model that required significant unobservable inputs supported by little or no market activity. The convertible preferred stock tranche liability is considered a non-contingent forward and the standard forward pricing (SFP)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2020.</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significant unobservable assumptions used to value the convertible preferred stock tranche liability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August 24, 2020, the date immediately before the settlement of the tranche liability:</w:t>
      </w:r>
    </w:p>
    <w:p>
      <w:pPr>
        <w:spacing w:after="0" w:line="22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4"/>
              </w:rPr>
              <w:t>August 24,</w:t>
            </w:r>
          </w:p>
        </w:tc>
      </w:tr>
      <w:tr>
        <w:trPr>
          <w:trHeight w:val="142"/>
        </w:trPr>
        <w:tc>
          <w:tcPr>
            <w:tcW w:w="63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Term to Valuation Date (in years)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0.25 – 0.75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Discount Rate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3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5.00%</w:t>
            </w:r>
          </w:p>
        </w:tc>
      </w:tr>
    </w:tbl>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summarizes the changes in the estimated fair value of the Company’s convertible preferred stock tranche liability measured on a recurring basis using significant Level 3 inputs: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60" w:type="dxa"/>
            <w:vAlign w:val="bottom"/>
          </w:tcPr>
          <w:p>
            <w:pPr>
              <w:ind w:left="360"/>
              <w:spacing w:after="0" w:line="201" w:lineRule="exact"/>
              <w:rPr>
                <w:sz w:val="20"/>
                <w:szCs w:val="20"/>
                <w:color w:val="auto"/>
              </w:rPr>
            </w:pPr>
            <w:r>
              <w:rPr>
                <w:rFonts w:ascii="Arial" w:cs="Arial" w:eastAsia="Arial" w:hAnsi="Arial"/>
                <w:sz w:val="18"/>
                <w:szCs w:val="18"/>
                <w:color w:val="auto"/>
              </w:rPr>
              <w:t>Recognition of convertible preferred stock tranche liability upon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260" w:type="dxa"/>
            <w:vAlign w:val="bottom"/>
          </w:tcPr>
          <w:p>
            <w:pPr>
              <w:ind w:left="540"/>
              <w:spacing w:after="0"/>
              <w:rPr>
                <w:sz w:val="20"/>
                <w:szCs w:val="20"/>
                <w:color w:val="auto"/>
              </w:rPr>
            </w:pPr>
            <w:r>
              <w:rPr>
                <w:rFonts w:ascii="Arial" w:cs="Arial" w:eastAsia="Arial" w:hAnsi="Arial"/>
                <w:sz w:val="18"/>
                <w:szCs w:val="18"/>
                <w:color w:val="auto"/>
              </w:rPr>
              <w:t>issuance of Series B convertible preferred stock</w:t>
            </w:r>
          </w:p>
        </w:tc>
        <w:tc>
          <w:tcPr>
            <w:tcW w:w="100" w:type="dxa"/>
            <w:vAlign w:val="bottom"/>
          </w:tcPr>
          <w:p>
            <w:pPr>
              <w:spacing w:after="0"/>
              <w:rPr>
                <w:sz w:val="20"/>
                <w:szCs w:val="20"/>
                <w:color w:val="auto"/>
              </w:rPr>
            </w:pPr>
          </w:p>
        </w:tc>
        <w:tc>
          <w:tcPr>
            <w:tcW w:w="860" w:type="dxa"/>
            <w:vAlign w:val="bottom"/>
            <w:gridSpan w:val="3"/>
          </w:tcPr>
          <w:p>
            <w:pPr>
              <w:jc w:val="right"/>
              <w:ind w:right="268"/>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upon remeasurement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60" w:type="dxa"/>
            <w:vAlign w:val="bottom"/>
          </w:tcPr>
          <w:p>
            <w:pPr>
              <w:ind w:left="360"/>
              <w:spacing w:after="0" w:line="201" w:lineRule="exact"/>
              <w:rPr>
                <w:sz w:val="20"/>
                <w:szCs w:val="20"/>
                <w:color w:val="auto"/>
              </w:rPr>
            </w:pPr>
            <w:r>
              <w:rPr>
                <w:rFonts w:ascii="Arial" w:cs="Arial" w:eastAsia="Arial" w:hAnsi="Arial"/>
                <w:sz w:val="18"/>
                <w:szCs w:val="18"/>
                <w:color w:val="auto"/>
              </w:rPr>
              <w:t>Settlement of convertible preferred stock tranche liability on second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260" w:type="dxa"/>
            <w:vAlign w:val="bottom"/>
          </w:tcPr>
          <w:p>
            <w:pPr>
              <w:ind w:left="540"/>
              <w:spacing w:after="0"/>
              <w:rPr>
                <w:sz w:val="20"/>
                <w:szCs w:val="20"/>
                <w:color w:val="auto"/>
              </w:rPr>
            </w:pPr>
            <w:r>
              <w:rPr>
                <w:rFonts w:ascii="Arial" w:cs="Arial" w:eastAsia="Arial" w:hAnsi="Arial"/>
                <w:sz w:val="18"/>
                <w:szCs w:val="18"/>
                <w:color w:val="auto"/>
              </w:rPr>
              <w:t>third closings of the Series B convertible preferred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(711)</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$ 786</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Property and equipment, net, consists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7,237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5,846</w:t>
            </w:r>
          </w:p>
        </w:tc>
        <w:tc>
          <w:tcPr>
            <w:tcW w:w="340" w:type="dxa"/>
            <w:vAlign w:val="bottom"/>
          </w:tcPr>
          <w:p>
            <w:pPr>
              <w:spacing w:after="0"/>
              <w:rPr>
                <w:sz w:val="18"/>
                <w:szCs w:val="18"/>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13,808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w w:val="94"/>
              </w:rPr>
              <w:t>(4,233)</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9,575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$ 17,185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2019 and 2020 was approximately $2.0 million and $2.5 million. Construction in progress relates to the Company’s manufacturing and office space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located in Union City, California (see Note 13), and consists primarily of capitalized machinery and equipment as the Company builds-out its manufacturing facility.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right"/>
              <w:ind w:right="37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$ 1,121</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$ 2,090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391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property and equipment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$ 1,959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$ 3,161</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Collaboration and License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Master Collaboration Agreement</w:t>
      </w:r>
    </w:p>
    <w:p>
      <w:pPr>
        <w:spacing w:after="0" w:line="117"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In October 2016, the Company entered into a Master Collaboration Agreement (MCA) with a related party, the J. David Gladstone Institutes (Gladstone), to collaborate on discovering therapies for the treatment of congestive heart failure and other diseases and conditions as mutually agreed. Under the MCA, the Company was required to provide minimum collaboration funding of $3.6 million during the first two years, as subsequently amended to the first three years. During the year ended December 31, 2019, Gladstone completed the collaboration under the MCA and the Company satisfied the minimum collaboration funding requirement of $3.6 million. In addition, on the third-year anniversary of the MCA’s effective date in October 2019, pursuant to the MCA, the Company issued 100,000 shares of the Company’s common stock to Gladstone in consideration for certain patent rights and technology created in the course of performance of the collaboration being licensed to the Company under the Gladstone License Agreement (as defined below). The related cost was recognized as research and development expenses since the technology acquired had no alternative future use.</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 ended December 31, 2019, the Company recorded research and development expenses of $0.4 million pursuant to the MCA.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was no expense recognized during the year ended December 31, 2020 pursuant to the MCA.</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and concurrent with the execution of the MCA, the Company entered into a license agreement with Gladstone (Gladstone License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pursuant to which Gladstone granted the Company a worldwide, royalty-bearing exclusive patent license and a non-exclusive technology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license to develop and commercialize certain products for certain diseases. Upon the execution of the Gladstone License Agreement, the Company paid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non-refundable upfront license fee of $0.1 million and issued 750,000 shares of the Company’s common stock to Gladstone. Pursuant to the Gladstone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License Agreement, the Company is obligated, among other things, to pay Gladstone (i) annual license maintenance fees ranging from $25,000 up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$0.1 million per year, which will be creditable against royalties paid in the following twelve month period, (ii) milestone payments up to $4.1 million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royalty-bearing products directed to a particular target, which are contingent upon achieving specific clinical and commercialization milestone events,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(iii) tiered low-single digit royalties on future net sales of each royalty-bearing product. As of December 31, 2020, the Company has not recognized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milestone and royalty payments under the Gladstone License Agreement.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During the years ended December 31, 2019 and 2020, the amounts recorded as research and development expenses related to annual license fees payable pursuant to the Gladstone License Agreement were not material.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117"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December 31, 2020, the Company has not recognized any milestone and royalty payments under the UTSW License.</w:t>
      </w:r>
    </w:p>
    <w:p>
      <w:pPr>
        <w:spacing w:after="0" w:line="16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During the year ended December 31, 2020, the Company recorded research and development expenses of $0.1 million related to the upfront license fee payable pursuant to the UTSW License.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In December 2016, the Company entered into a lease agreement (Lease Agreement or Lease) for office and laboratory space in South San Francisco, California. The Lease expires in May 2025 and the Company may renew the lease term for two additional five-year periods. In connection with the execution of the Lease, the Company provided the landlord with a security deposit of $0.4 million in the form of a letter of credit, which is collateralized by a restricted cash deposit and recorded as restricted cash, non-current on the balance sheets as of December 31, 2019 and 2020.</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Lease Agreement, the Company received a tenant improvement allowance (TIA) of $5.8 million in aggregate for leasehold improvements to the facility. As of December 31, 2020, the remaining balance of the TIA that is recorded as a component of deferred rent on the balance sheet is $3.2 million.</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In December 2020, the Company entered into a sublease agreement for additional office and laboratory space in South San Francisco, California with a lease term that expires on November 30, 2021. The Company provided the landlord a security deposit of $0.1 million in the form of a letter of credit, which is collateralized by a restricted cash deposit and recorded as restricted cash, non-current on the balance sheet as of December 31, 2020.</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2019 and 2020, the Company recognized rent expense of $2.1 million and $2.4 million.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future minimum lease payments for the Company’s office space and laboratory facilities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ending December 31,</w:t>
            </w:r>
          </w:p>
        </w:tc>
        <w:tc>
          <w:tcPr>
            <w:tcW w:w="2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2021</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3,752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2023</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2,283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2025</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r>
      <w:tr>
        <w:trPr>
          <w:trHeight w:val="27"/>
        </w:trPr>
        <w:tc>
          <w:tcPr>
            <w:tcW w:w="5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11,603</w:t>
            </w:r>
          </w:p>
        </w:tc>
      </w:tr>
      <w:tr>
        <w:trPr>
          <w:trHeight w:val="20"/>
        </w:trPr>
        <w:tc>
          <w:tcPr>
            <w:tcW w:w="5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previously entered into agreements to sublease portions of the Company’s facilities in South San Francisco to two different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subtenants, both of which have expired as of December 31, 2020. Pursuant to the sublease agreements, the Company received sublease income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and $0.4 million during the years ended December 31, 2019 and 2020, which are recognized as a component of other income (expense),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Company’s statements of operations and comprehensive loss.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also entered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2019 and 2020, the Company does not have any material indemnification claims that were probable or reasonably possible and, consequently, has not recorded any related liabilities.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Convertible Preferred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August 2019, the Company entered into a Series B preferred stock purchase agreement (Series B SPA) for the issuance of up to 55,555,527 shares of the Company’s Series B convertible preferred stock at a purchase price of $1.656 per share in multiple closings. The Company completed the initial closing in August 2019, whereby 18,518,509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88"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convertible preferred stock. Any changes in fair value of convertible preferred stock tranche liability in subsequent reporting periods are recognized as a component of other income (expense), net in the statements of operations and comprehensive loss (see Note 3).</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March 2020, the Company completed its second closing of Series B convertible preferred stock financing and issued 18,518,509 shares of Series B convertible preferred stock at the fixed purchase price of $1.656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August 2020, the Company completed its third closing of Series B convertible preferred stock financing and issued 18,518,509 shares of Series B convertible preferred stock at the purchase price of $1.656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December 2020, the Company entered into a Series C preferred stock purchase agreement (Series C SPA) for the issuance of up to 51,158,291 shares of the Company’s Series C convertible preferred stock at a purchase price of $2.072 per share in two closings. The Company completed the initial closing in December 2020, whereby 41,505,782 shares of Series C convertible preferred stock were issued for gross proceeds of $86.0 million.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convertible preferred stock consists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1"/>
              </w:rPr>
              <w:t>December 31, 2019</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1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Shares</w:t>
            </w:r>
          </w:p>
        </w:tc>
        <w:tc>
          <w:tcPr>
            <w:tcW w:w="15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Shares Issued and</w:t>
            </w:r>
          </w:p>
        </w:tc>
        <w:tc>
          <w:tcPr>
            <w:tcW w:w="10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Authorized</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Preference</w:t>
            </w:r>
          </w:p>
        </w:tc>
      </w:tr>
      <w:tr>
        <w:trPr>
          <w:trHeight w:val="142"/>
        </w:trPr>
        <w:tc>
          <w:tcPr>
            <w:tcW w:w="2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140" w:type="dxa"/>
            <w:vAlign w:val="bottom"/>
            <w:tcBorders>
              <w:top w:val="single" w:sz="8" w:color="auto"/>
            </w:tcBorders>
            <w:gridSpan w:val="9"/>
          </w:tcPr>
          <w:p>
            <w:pPr>
              <w:jc w:val="center"/>
              <w:ind w:left="559"/>
              <w:spacing w:after="0" w:line="142" w:lineRule="exact"/>
              <w:rPr>
                <w:sz w:val="20"/>
                <w:szCs w:val="20"/>
                <w:color w:val="auto"/>
              </w:rPr>
            </w:pPr>
            <w:r>
              <w:rPr>
                <w:rFonts w:ascii="Arial" w:cs="Arial" w:eastAsia="Arial" w:hAnsi="Arial"/>
                <w:sz w:val="14"/>
                <w:szCs w:val="14"/>
                <w:b w:val="1"/>
                <w:bCs w:val="1"/>
                <w:color w:val="auto"/>
                <w:w w:val="89"/>
              </w:rPr>
              <w:t>(in thousands, except shares and original issue price)</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Convertible Preferred Stock</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Series A</w:t>
            </w:r>
          </w:p>
        </w:tc>
        <w:tc>
          <w:tcPr>
            <w:tcW w:w="40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49,900,000</w:t>
            </w:r>
          </w:p>
        </w:tc>
        <w:tc>
          <w:tcPr>
            <w:tcW w:w="15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49,900,000</w:t>
            </w:r>
          </w:p>
        </w:tc>
        <w:tc>
          <w:tcPr>
            <w:tcW w:w="220" w:type="dxa"/>
            <w:vAlign w:val="bottom"/>
            <w:tcBorders>
              <w:top w:val="single" w:sz="8" w:color="CCEEFF"/>
            </w:tcBorders>
          </w:tcPr>
          <w:p>
            <w:pPr>
              <w:jc w:val="right"/>
              <w:ind w:right="38"/>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43,393</w:t>
            </w:r>
          </w:p>
        </w:tc>
        <w:tc>
          <w:tcPr>
            <w:tcW w:w="300" w:type="dxa"/>
            <w:vAlign w:val="bottom"/>
            <w:tcBorders>
              <w:top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57,000,000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18,518,509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30,667</w:t>
            </w: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106,900,000</w:t>
            </w:r>
          </w:p>
        </w:tc>
        <w:tc>
          <w:tcPr>
            <w:tcW w:w="2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68,418,509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80,567</w:t>
            </w:r>
          </w:p>
        </w:tc>
        <w:tc>
          <w:tcPr>
            <w:tcW w:w="8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16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1"/>
              </w:rPr>
              <w:t>December 31, 2020</w:t>
            </w: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19"/>
        </w:trPr>
        <w:tc>
          <w:tcPr>
            <w:tcW w:w="21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Shares</w:t>
            </w:r>
          </w:p>
        </w:tc>
        <w:tc>
          <w:tcPr>
            <w:tcW w:w="15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Shares Issued and</w:t>
            </w:r>
          </w:p>
        </w:tc>
        <w:tc>
          <w:tcPr>
            <w:tcW w:w="10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Authorized</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Preference</w:t>
            </w:r>
          </w:p>
        </w:tc>
      </w:tr>
      <w:tr>
        <w:trPr>
          <w:trHeight w:val="142"/>
        </w:trPr>
        <w:tc>
          <w:tcPr>
            <w:tcW w:w="2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140" w:type="dxa"/>
            <w:vAlign w:val="bottom"/>
            <w:tcBorders>
              <w:top w:val="single" w:sz="8" w:color="auto"/>
            </w:tcBorders>
            <w:gridSpan w:val="9"/>
          </w:tcPr>
          <w:p>
            <w:pPr>
              <w:jc w:val="center"/>
              <w:ind w:left="559"/>
              <w:spacing w:after="0" w:line="142" w:lineRule="exact"/>
              <w:rPr>
                <w:sz w:val="20"/>
                <w:szCs w:val="20"/>
                <w:color w:val="auto"/>
              </w:rPr>
            </w:pPr>
            <w:r>
              <w:rPr>
                <w:rFonts w:ascii="Arial" w:cs="Arial" w:eastAsia="Arial" w:hAnsi="Arial"/>
                <w:sz w:val="14"/>
                <w:szCs w:val="14"/>
                <w:b w:val="1"/>
                <w:bCs w:val="1"/>
                <w:color w:val="auto"/>
                <w:w w:val="89"/>
              </w:rPr>
              <w:t>(in thousands, except shares and original issue price)</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Convertible Preferred Stock</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Series A</w:t>
            </w:r>
          </w:p>
        </w:tc>
        <w:tc>
          <w:tcPr>
            <w:tcW w:w="40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49,900,000</w:t>
            </w:r>
          </w:p>
        </w:tc>
        <w:tc>
          <w:tcPr>
            <w:tcW w:w="15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49,900,000</w:t>
            </w:r>
          </w:p>
        </w:tc>
        <w:tc>
          <w:tcPr>
            <w:tcW w:w="220" w:type="dxa"/>
            <w:vAlign w:val="bottom"/>
            <w:tcBorders>
              <w:top w:val="single" w:sz="8" w:color="CCEEFF"/>
            </w:tcBorders>
          </w:tcPr>
          <w:p>
            <w:pPr>
              <w:jc w:val="right"/>
              <w:ind w:right="38"/>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43,393</w:t>
            </w:r>
          </w:p>
        </w:tc>
        <w:tc>
          <w:tcPr>
            <w:tcW w:w="300" w:type="dxa"/>
            <w:vAlign w:val="bottom"/>
            <w:tcBorders>
              <w:top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55,555,527</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55,555,527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92,000</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40" w:type="dxa"/>
            <w:vAlign w:val="bottom"/>
          </w:tcPr>
          <w:p>
            <w:pPr>
              <w:jc w:val="right"/>
              <w:spacing w:after="0"/>
              <w:rPr>
                <w:sz w:val="20"/>
                <w:szCs w:val="20"/>
                <w:color w:val="auto"/>
              </w:rPr>
            </w:pPr>
            <w:r>
              <w:rPr>
                <w:rFonts w:ascii="Arial" w:cs="Arial" w:eastAsia="Arial" w:hAnsi="Arial"/>
                <w:sz w:val="18"/>
                <w:szCs w:val="18"/>
                <w:color w:val="auto"/>
              </w:rPr>
              <w:t>51,158,291</w:t>
            </w:r>
          </w:p>
        </w:tc>
        <w:tc>
          <w:tcPr>
            <w:tcW w:w="2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41,505,782</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85,717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86,000</w:t>
            </w:r>
          </w:p>
        </w:tc>
      </w:tr>
      <w:tr>
        <w:trPr>
          <w:trHeight w:val="27"/>
        </w:trPr>
        <w:tc>
          <w:tcPr>
            <w:tcW w:w="2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156,613,818</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146,961,309</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220,754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227,900</w:t>
            </w:r>
          </w:p>
        </w:tc>
      </w:tr>
      <w:tr>
        <w:trPr>
          <w:trHeight w:val="20"/>
        </w:trPr>
        <w:tc>
          <w:tcPr>
            <w:tcW w:w="2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As a result, the Company has classified its convertible preferred stock as mezzanine equity on the balance sheets as the preferred stock is contingently redeemable. The Company did not adjust the carrying values of the convertible preferred stock to the deemed liquidation values of such shares since a liquidation event was not probable as of each reporting date. Subsequent adjustments to increase or decrease the carrying values to the ultimate liquidation values will be made only if and when it becomes probable that such liquidation event will occur.</w:t>
      </w:r>
    </w:p>
    <w:p>
      <w:pPr>
        <w:spacing w:after="0" w:line="17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holders of the Company’s Series A, Series B and Series C convertible preferred stock (together, convertible preferred stock) have various rights, preferences and privileges as follows: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Each holder of shares of convertible preferred stock is entitled to the number of votes equal to the number of shares of common stock into which such shares of convertible preferred stock could be converted. The holders of convertible preferred stock vote together with the holders of common stock as a single class on an as-converted basis on all matters as to which holders of common stock have the right to vote.</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convertible preferred stock, voting as a separate class, are entitled to elect three members of the Company’s board of directors. The holders of common stock, voting as a separate class, are entitled to elect one member of the Company’s board of directors. Any additional members of the Company’s board of directors are elected by the holders of common stock and convertible preferred stock, voting together as a single class on an as-converted basis.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Each holder of convertible preferred stock is entitled to receive dividends when and if declared by the board of directors at an annual rate of $0.08 per share for the Series A preferred stock, $0.132 per share for the Series B preferred stock, and $0.166 per share for the Series C preferred stock. Dividends are noncumulative. No dividends have been declared or paid as of December 31,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Each share of convertible preferred stock is convertible, at the option of the holder any time after the issuance date, into shares of common stock determined by dividing the original issue price by the conversion price in effect on the date of conversion. The conversion price of each series of convertible preferred stock is $1.00 for Series A convertible preferred stock, $1.656 for Series B convertible preferred stock, and $2.072 for Series C convertible preferred stock, subject to adjustment for anti-dilution provisions and stock dividend, stock split, combination of shares, reorganization, recapitalization, reclassification or other similar event.</w:t>
      </w:r>
    </w:p>
    <w:p>
      <w:pPr>
        <w:spacing w:after="0" w:line="18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Each share of convertible preferred stock is automatically convertible into common stock immediately upon the earlier of (i) the closing of a firm commitment underwritten initial public offering pursuant to an effective registration statement filed under the Securities Act of 1933, as amended, resulting in aggregate gross proceeds not less than $75.0 million (a “Qualified IPO”) or (ii) the Company’s receipt of a written request for such conversion from a majority of the holders of convertible preferred stock then outstanding, voting together as a single class on an as-converted basis. With respect to a Qualified IPO at which the price per share is less than $2.59 (subject to adjustment for stock dividend, stock split, combination of shares, reorganization, recapitalization, reclassification or other similar event), each share of convertible preferred stock is convertible into common stock with the written consent of a majority of the holders of the Series C convertible preferred stock then outstanding, voting as a separate class.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preferred stock shall be entitled to receive, prior and in preference to any distribution of any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assets of the Company to the holders of common stock, an amount per share equal to $1.00 per share for Series A convertible preferred stock, $1.656 per share for Series B convertible preferred stock and $2.072 per share for Series C convertible preferred stock (subject to adjustment for stock dividend, stock split, combination of shares, reorganization, recapitalization, reclassification or other similar event) plus all declared but unpaid dividends. After the distributions described above have been paid in full, the remaining assets of the Company shall be distributed among the holders of common stock in proportion to the numbers of shares of common stock. If the assets of the Company are insufficient to permit the payments to holders of convertible preferred stock of the full amount described above, all assets and funds legally available shall be distributed ratably among holders of convertible preferred stock.</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holders of the common stock are entitled to one vote per share on all matters to be voted on by the stockholders of the Company and are entitled to dividends, if and when declared by the board of directors, subject to the prior rights of the preferred stockholders. The Company has reserved the following shares of common stock for issuance, on an as-if converted basis:</w:t>
      </w:r>
    </w:p>
    <w:p>
      <w:pPr>
        <w:spacing w:after="0" w:line="19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shares of convertible 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146,961,309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Options outstanding under the 2016 Plan</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6,965,000</w:t>
            </w:r>
          </w:p>
        </w:tc>
        <w:tc>
          <w:tcPr>
            <w:tcW w:w="6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grant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2,473,024</w:t>
            </w:r>
          </w:p>
        </w:tc>
        <w:tc>
          <w:tcPr>
            <w:tcW w:w="60" w:type="dxa"/>
            <w:vAlign w:val="bottom"/>
            <w:shd w:val="clear" w:color="auto" w:fill="CCEEFF"/>
          </w:tcPr>
          <w:p>
            <w:pPr>
              <w:spacing w:after="0"/>
              <w:rPr>
                <w:sz w:val="18"/>
                <w:szCs w:val="18"/>
                <w:color w:val="auto"/>
              </w:rPr>
            </w:pP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156,399,333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2016 Equity Incentive Plan</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October 2016, the Company adopted the 2016 Equity Incentive Plan, which was later amended and restated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2016 Plan, the Company’s board of directors has the authority to select the service provider to whom options will be granted and the type of award that will be granted, to determine when awards are to be granted, the number of shares, the term, and the exercise price. Options have a term of ten years and generally vest over a four-year period. As of December 31, 2020, 2,473,024 shares of common stock were authorized and available for grant under the 2016 Plan.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under the 2016 Plan: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4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Per Share</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5,285,000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0.19</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1,876,250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0.57</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(107,103)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0.31</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Options cancelled</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(89,147)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0.40</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6,965,000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0.29</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0.19</w:t>
            </w:r>
          </w:p>
        </w:tc>
        <w:tc>
          <w:tcPr>
            <w:tcW w:w="13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8.05</w:t>
            </w: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2,641,917</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total intrinsic value of options exercised during the years ended December 31, 2019 and 2020 was approximately $0.3 million and $37,000. The aggregate intrinsic is the difference between the fair value of the Company’s common stock, as approved by the Company’s board of directors, and exercise price of the option.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 average grant-date fair value of options granted during the years ended December 31, 2019 and 2020 was $0.57 and $0.83 per share.</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stock-based compensation recognized in the Company’s statements of operations and comprehensive loss: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9"/>
                <w:szCs w:val="19"/>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r>
      <w:tr>
        <w:trPr>
          <w:trHeight w:val="20"/>
        </w:trPr>
        <w:tc>
          <w:tcPr>
            <w:tcW w:w="5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December 31, 2020, there was approximately $2.3 million of unrecognized stock-based compensation, which the Company expects to recognize over a weighted-average period of 3.0 years.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6"/>
              </w:rPr>
              <w:t>Year Ended December 31,</w:t>
            </w:r>
          </w:p>
        </w:tc>
        <w:tc>
          <w:tcPr>
            <w:tcW w:w="900" w:type="dxa"/>
            <w:vAlign w:val="bottom"/>
            <w:tcBorders>
              <w:bottom w:val="single" w:sz="8" w:color="auto"/>
            </w:tcBorders>
          </w:tcPr>
          <w:p>
            <w:pPr>
              <w:spacing w:after="0"/>
              <w:rPr>
                <w:sz w:val="14"/>
                <w:szCs w:val="14"/>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2"/>
          </w:tcPr>
          <w:p>
            <w:pPr>
              <w:jc w:val="right"/>
              <w:ind w:right="610"/>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9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volatility</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192%</w:t>
            </w: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900" w:type="dxa"/>
            <w:vAlign w:val="bottom"/>
          </w:tcPr>
          <w:p>
            <w:pPr>
              <w:ind w:left="20"/>
              <w:spacing w:after="0"/>
              <w:rPr>
                <w:sz w:val="20"/>
                <w:szCs w:val="20"/>
                <w:color w:val="auto"/>
              </w:rPr>
            </w:pPr>
            <w:r>
              <w:rPr>
                <w:rFonts w:ascii="Arial" w:cs="Arial" w:eastAsia="Arial" w:hAnsi="Arial"/>
                <w:sz w:val="18"/>
                <w:szCs w:val="18"/>
                <w:color w:val="auto"/>
              </w:rPr>
              <w:t>– 183%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20" w:type="dxa"/>
            <w:vAlign w:val="bottom"/>
          </w:tcPr>
          <w:p>
            <w:pPr>
              <w:spacing w:after="0"/>
              <w:rPr>
                <w:sz w:val="20"/>
                <w:szCs w:val="20"/>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r>
        <w:trPr>
          <w:trHeight w:val="350"/>
        </w:trPr>
        <w:tc>
          <w:tcPr>
            <w:tcW w:w="3560" w:type="dxa"/>
            <w:vAlign w:val="bottom"/>
          </w:tcPr>
          <w:p>
            <w:pPr>
              <w:spacing w:after="0"/>
              <w:rPr>
                <w:sz w:val="24"/>
                <w:szCs w:val="24"/>
                <w:color w:val="auto"/>
              </w:rPr>
            </w:pPr>
          </w:p>
        </w:tc>
        <w:tc>
          <w:tcPr>
            <w:tcW w:w="4680" w:type="dxa"/>
            <w:vAlign w:val="bottom"/>
            <w:gridSpan w:val="2"/>
          </w:tcPr>
          <w:p>
            <w:pPr>
              <w:jc w:val="right"/>
              <w:ind w:right="2476"/>
              <w:spacing w:after="0"/>
              <w:rPr>
                <w:sz w:val="20"/>
                <w:szCs w:val="20"/>
                <w:color w:val="auto"/>
              </w:rPr>
            </w:pPr>
            <w:r>
              <w:rPr>
                <w:rFonts w:ascii="Arial" w:cs="Arial" w:eastAsia="Arial" w:hAnsi="Arial"/>
                <w:sz w:val="18"/>
                <w:szCs w:val="18"/>
                <w:color w:val="auto"/>
              </w:rPr>
              <w:t>F-21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assumptions used to determine the fair value of options granted were as follows. Each of these inputs is subjective and generally requires significant judgement.</w:t>
      </w:r>
    </w:p>
    <w:p>
      <w:pPr>
        <w:spacing w:after="0" w:line="62" w:lineRule="exact"/>
        <w:rPr>
          <w:sz w:val="20"/>
          <w:szCs w:val="20"/>
          <w:color w:val="auto"/>
        </w:rPr>
      </w:pPr>
    </w:p>
    <w:p>
      <w:pPr>
        <w:ind w:left="560" w:right="380" w:firstLine="423"/>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b w:val="1"/>
          <w:bCs w:val="1"/>
          <w:i w:val="1"/>
          <w:iCs w:val="1"/>
          <w:color w:val="auto"/>
        </w:rPr>
        <w:t>—</w:t>
      </w:r>
      <w:r>
        <w:rPr>
          <w:rFonts w:ascii="Arial" w:cs="Arial" w:eastAsia="Arial" w:hAnsi="Arial"/>
          <w:sz w:val="18"/>
          <w:szCs w:val="18"/>
          <w:color w:val="auto"/>
        </w:rPr>
        <w:t>The Company determines the expected term, which represents the period that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in accordance with the simplified method due to its limited operating history, which is presumed to be the mid-point between the contractual term and the vesting period.</w:t>
      </w:r>
    </w:p>
    <w:p>
      <w:pPr>
        <w:spacing w:after="0" w:line="76" w:lineRule="exact"/>
        <w:rPr>
          <w:sz w:val="20"/>
          <w:szCs w:val="20"/>
          <w:color w:val="auto"/>
        </w:rPr>
      </w:pPr>
    </w:p>
    <w:p>
      <w:pPr>
        <w:ind w:left="560" w:right="120" w:firstLine="423"/>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b w:val="1"/>
          <w:bCs w:val="1"/>
          <w:i w:val="1"/>
          <w:iCs w:val="1"/>
          <w:color w:val="auto"/>
        </w:rPr>
        <w:t>—</w:t>
      </w:r>
      <w:r>
        <w:rPr>
          <w:rFonts w:ascii="Arial" w:cs="Arial" w:eastAsia="Arial" w:hAnsi="Arial"/>
          <w:sz w:val="18"/>
          <w:szCs w:val="18"/>
          <w:color w:val="auto"/>
        </w:rPr>
        <w:t>As there is no trading history for the Company’s common stock, the Company determines its computation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9"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b w:val="1"/>
          <w:bCs w:val="1"/>
          <w:i w:val="1"/>
          <w:iCs w:val="1"/>
          <w:color w:val="auto"/>
        </w:rPr>
        <w:t>—</w:t>
      </w:r>
      <w:r>
        <w:rPr>
          <w:rFonts w:ascii="Arial" w:cs="Arial" w:eastAsia="Arial" w:hAnsi="Arial"/>
          <w:sz w:val="18"/>
          <w:szCs w:val="18"/>
          <w:color w:val="auto"/>
        </w:rPr>
        <w:t>The Company bases the risk-free interest rate on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assumption.</w:t>
      </w:r>
    </w:p>
    <w:p>
      <w:pPr>
        <w:spacing w:after="0" w:line="62" w:lineRule="exact"/>
        <w:rPr>
          <w:sz w:val="20"/>
          <w:szCs w:val="20"/>
          <w:color w:val="auto"/>
        </w:rPr>
      </w:pPr>
    </w:p>
    <w:p>
      <w:pPr>
        <w:ind w:left="560" w:right="260" w:firstLine="423"/>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b w:val="1"/>
          <w:bCs w:val="1"/>
          <w:i w:val="1"/>
          <w:iCs w:val="1"/>
          <w:color w:val="auto"/>
        </w:rPr>
        <w:t>—</w:t>
      </w:r>
      <w:r>
        <w:rPr>
          <w:rFonts w:ascii="Arial" w:cs="Arial" w:eastAsia="Arial" w:hAnsi="Arial"/>
          <w:sz w:val="18"/>
          <w:szCs w:val="18"/>
          <w:color w:val="auto"/>
        </w:rPr>
        <w:t>The expected dividend yield is assumed to be zero as the Company has never paid and has no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2016 Plan allows the Company to grant stock options that may be exercised by option holders prior to vesting, subject to certain limitations. The Company has also issued restricted stock awards to certain employees and non-employee founders under its 2016 Plan. The shares related to early exercised stock options and restricted stock are subject to the Company’s lapsing repurchase right upon termination at the original purchase price. In order to vest, the holders are required to provide continued service to the Company.</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proceeds from early exercises are initially recorded in accrued expenses and other current liabilities and other non-current liabilities and are reclassified to common stock and additional paid-in capital the vesting conditions are met and the repurchase right lapses. As of December 31, 2019 and 2020, $0.1 million and $53,000 was recorded as liabilities on the balance sheets.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restricted stock activity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Value at Date</w:t>
            </w:r>
          </w:p>
        </w:tc>
        <w:tc>
          <w:tcPr>
            <w:tcW w:w="0" w:type="dxa"/>
            <w:vAlign w:val="bottom"/>
          </w:tcPr>
          <w:p>
            <w:pPr>
              <w:spacing w:after="0"/>
              <w:rPr>
                <w:sz w:val="1"/>
                <w:szCs w:val="1"/>
                <w:color w:val="auto"/>
              </w:rPr>
            </w:pPr>
          </w:p>
        </w:tc>
      </w:tr>
      <w:tr>
        <w:trPr>
          <w:trHeight w:val="148"/>
        </w:trPr>
        <w:tc>
          <w:tcPr>
            <w:tcW w:w="84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of Grant</w:t>
            </w:r>
          </w:p>
        </w:tc>
        <w:tc>
          <w:tcPr>
            <w:tcW w:w="0" w:type="dxa"/>
            <w:vAlign w:val="bottom"/>
          </w:tcPr>
          <w:p>
            <w:pPr>
              <w:spacing w:after="0"/>
              <w:rPr>
                <w:sz w:val="1"/>
                <w:szCs w:val="1"/>
                <w:color w:val="auto"/>
              </w:rPr>
            </w:pPr>
          </w:p>
        </w:tc>
      </w:tr>
      <w:tr>
        <w:trPr>
          <w:trHeight w:val="171"/>
        </w:trPr>
        <w:tc>
          <w:tcPr>
            <w:tcW w:w="8460" w:type="dxa"/>
            <w:vAlign w:val="bottom"/>
          </w:tcPr>
          <w:p>
            <w:pPr>
              <w:spacing w:after="0"/>
              <w:rPr>
                <w:sz w:val="14"/>
                <w:szCs w:val="14"/>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9"/>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1,986,608</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Vested</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(1,151,616)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Repurchased</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(6,167)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Unvested as of December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828,825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Recourse Notes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ninety days after employment is terminated. As of December 31, 2020, the principal and accrued interest amount of the notes was $87,000. The notes are presented in the statements of convertible preferred stock and stockholders’ deficit.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No provision for, or benefit from, income taxes was recorded during the years ended December 31, 2019 and 2020. The Company has established a full valuation allowance against its net deferred tax assets due to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uncertainty regarding the realization of such assets. All losses to date have been incurred in the United States. 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Effective Tax Rate Reconciliation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effective tax rate of the Company’s provision for income taxes differs from the federal statutory rate and the effective tax rate reconciliation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U.S. federal taxes at statutory rate</w:t>
            </w:r>
          </w:p>
        </w:tc>
        <w:tc>
          <w:tcPr>
            <w:tcW w:w="700" w:type="dxa"/>
            <w:vAlign w:val="bottom"/>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21.0%</w:t>
            </w:r>
          </w:p>
        </w:tc>
        <w:tc>
          <w:tcPr>
            <w:tcW w:w="8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Credits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gridSpan w:val="3"/>
          </w:tcPr>
          <w:p>
            <w:pPr>
              <w:jc w:val="right"/>
              <w:ind w:right="135"/>
              <w:spacing w:after="0"/>
              <w:rPr>
                <w:sz w:val="20"/>
                <w:szCs w:val="20"/>
                <w:color w:val="auto"/>
              </w:rPr>
            </w:pPr>
            <w:r>
              <w:rPr>
                <w:rFonts w:ascii="Arial" w:cs="Arial" w:eastAsia="Arial" w:hAnsi="Arial"/>
                <w:sz w:val="18"/>
                <w:szCs w:val="18"/>
                <w:color w:val="auto"/>
              </w:rPr>
              <w:t>(0.2)</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Section 382 limitation on tax attribute carryforwards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3"/>
          </w:tcPr>
          <w:p>
            <w:pPr>
              <w:jc w:val="right"/>
              <w:ind w:right="135"/>
              <w:spacing w:after="0"/>
              <w:rPr>
                <w:sz w:val="20"/>
                <w:szCs w:val="20"/>
                <w:color w:val="auto"/>
              </w:rPr>
            </w:pPr>
            <w:r>
              <w:rPr>
                <w:rFonts w:ascii="Arial" w:cs="Arial" w:eastAsia="Arial" w:hAnsi="Arial"/>
                <w:sz w:val="18"/>
                <w:szCs w:val="18"/>
                <w:color w:val="auto"/>
                <w:w w:val="97"/>
              </w:rPr>
              <w:t>(30.7)</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(0.1)</w:t>
            </w: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700" w:type="dxa"/>
            <w:vAlign w:val="bottom"/>
            <w:gridSpan w:val="3"/>
          </w:tcPr>
          <w:p>
            <w:pPr>
              <w:jc w:val="right"/>
              <w:ind w:right="35"/>
              <w:spacing w:after="0"/>
              <w:rPr>
                <w:sz w:val="20"/>
                <w:szCs w:val="20"/>
                <w:color w:val="auto"/>
              </w:rPr>
            </w:pPr>
            <w:r>
              <w:rPr>
                <w:rFonts w:ascii="Arial" w:cs="Arial" w:eastAsia="Arial" w:hAnsi="Arial"/>
                <w:sz w:val="18"/>
                <w:szCs w:val="18"/>
                <w:color w:val="auto"/>
              </w:rPr>
              <w:t>0.0%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current year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473</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related to prior years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Reductions for tax positions related to prior years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files tax returns in U.S. federal and state with varying statutes of limitations. Due to net operating loss and credit carryforwards, all of the tax years since inception through the 2020 tax year remain subject to examination by the U.S. federal and state authorities. The Company is currently not subject to any income tax audits by federal or state taxing authorities.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tax effects of significant items comprising the Company’s deferred income taxes are as follows</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11,820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20,917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expenses and other</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918</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improvements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15,418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24,287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(15,418)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(24,287)</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tax benefit of net operating losses,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$7.4 million and $8.9 million during the years ended December 31, 2019 and 2020. The increase in the valuation allowance during the year ended December 31, 2020 would have been larger but for the reduction in net operating loss and tax credit carryforwards limited under Section 382. The impact of the Section 382 limitation resulted in the reduction of deferred tax assets for federal research credits and state net operating loss carryforwards, with an offsetting reduction of the valuation allowance.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Operating Loss and Tax Credit Carryforwards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Company’s net operating loss and tax carryforwards are summarized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2040" w:type="dxa"/>
            <w:vAlign w:val="bottom"/>
          </w:tcPr>
          <w:p>
            <w:pPr>
              <w:ind w:left="420"/>
              <w:spacing w:after="0"/>
              <w:rPr>
                <w:sz w:val="20"/>
                <w:szCs w:val="20"/>
                <w:color w:val="auto"/>
              </w:rPr>
            </w:pPr>
            <w:r>
              <w:rPr>
                <w:rFonts w:ascii="Arial" w:cs="Arial" w:eastAsia="Arial" w:hAnsi="Arial"/>
                <w:sz w:val="14"/>
                <w:szCs w:val="14"/>
                <w:b w:val="1"/>
                <w:bCs w:val="1"/>
                <w:color w:val="auto"/>
              </w:rPr>
              <w:t>Expiration in years</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losses, federal (post-December 31, 2017)</w:t>
            </w:r>
          </w:p>
        </w:tc>
        <w:tc>
          <w:tcPr>
            <w:tcW w:w="19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75,431</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 Not Expire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operating losses, federal (pre-January 1, 2018)</w:t>
            </w:r>
          </w:p>
        </w:tc>
        <w:tc>
          <w:tcPr>
            <w:tcW w:w="3020" w:type="dxa"/>
            <w:vAlign w:val="bottom"/>
            <w:gridSpan w:val="3"/>
          </w:tcPr>
          <w:p>
            <w:pPr>
              <w:jc w:val="right"/>
              <w:ind w:right="280"/>
              <w:spacing w:after="0"/>
              <w:rPr>
                <w:sz w:val="20"/>
                <w:szCs w:val="20"/>
                <w:color w:val="auto"/>
              </w:rPr>
            </w:pPr>
            <w:r>
              <w:rPr>
                <w:rFonts w:ascii="Arial" w:cs="Arial" w:eastAsia="Arial" w:hAnsi="Arial"/>
                <w:sz w:val="18"/>
                <w:szCs w:val="18"/>
                <w:color w:val="auto"/>
              </w:rPr>
              <w:t>3,093</w:t>
            </w:r>
          </w:p>
        </w:tc>
        <w:tc>
          <w:tcPr>
            <w:tcW w:w="2040" w:type="dxa"/>
            <w:vAlign w:val="bottom"/>
          </w:tcPr>
          <w:p>
            <w:pPr>
              <w:spacing w:after="0"/>
              <w:rPr>
                <w:sz w:val="20"/>
                <w:szCs w:val="20"/>
                <w:color w:val="auto"/>
              </w:rPr>
            </w:pPr>
            <w:r>
              <w:rPr>
                <w:rFonts w:ascii="Arial" w:cs="Arial" w:eastAsia="Arial" w:hAnsi="Arial"/>
                <w:sz w:val="18"/>
                <w:szCs w:val="18"/>
                <w:color w:val="auto"/>
              </w:rPr>
              <w:t>Begins to Expire 2036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state</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62,508</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Begins to Expire 2036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Tax credits, federal</w:t>
            </w:r>
          </w:p>
        </w:tc>
        <w:tc>
          <w:tcPr>
            <w:tcW w:w="3020" w:type="dxa"/>
            <w:vAlign w:val="bottom"/>
            <w:gridSpan w:val="3"/>
          </w:tcPr>
          <w:p>
            <w:pPr>
              <w:jc w:val="right"/>
              <w:ind w:right="280"/>
              <w:spacing w:after="0"/>
              <w:rPr>
                <w:sz w:val="20"/>
                <w:szCs w:val="20"/>
                <w:color w:val="auto"/>
              </w:rPr>
            </w:pPr>
            <w:r>
              <w:rPr>
                <w:rFonts w:ascii="Arial" w:cs="Arial" w:eastAsia="Arial" w:hAnsi="Arial"/>
                <w:sz w:val="18"/>
                <w:szCs w:val="18"/>
                <w:color w:val="auto"/>
              </w:rPr>
              <w:t>244</w:t>
            </w:r>
          </w:p>
        </w:tc>
        <w:tc>
          <w:tcPr>
            <w:tcW w:w="2040" w:type="dxa"/>
            <w:vAlign w:val="bottom"/>
          </w:tcPr>
          <w:p>
            <w:pPr>
              <w:spacing w:after="0"/>
              <w:rPr>
                <w:sz w:val="20"/>
                <w:szCs w:val="20"/>
                <w:color w:val="auto"/>
              </w:rPr>
            </w:pPr>
            <w:r>
              <w:rPr>
                <w:rFonts w:ascii="Arial" w:cs="Arial" w:eastAsia="Arial" w:hAnsi="Arial"/>
                <w:sz w:val="18"/>
                <w:szCs w:val="18"/>
                <w:color w:val="auto"/>
              </w:rPr>
              <w:t>Begins to Expire 2036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Tax credits, state</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2,068</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Do Not Expire</w:t>
            </w:r>
          </w:p>
        </w:tc>
      </w:tr>
    </w:tbl>
    <w:p>
      <w:pPr>
        <w:spacing w:after="0" w:line="20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2020, a formal study was conducted and concluded that the Company has experienced an ownership change in 2020. As a result, the Company has removed $3.1 million of deferred tax assets related to net operating loss carryforwards and research tax credit carryforwards due to Section 382 limitations. The Company’s ability to use its remaining net operating loss carryforwards may be further limited if the Company experiences a Section 382 ownership change as a result of future changes in its stock ownership.</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recognizes interest and penalties related to taxes and uncertain tax positions as a component of income tax expense. During the years ended December 31, 2019 and 2020, no interest and penalties were accrued by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Net Loss Per Share</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potentially dilutive securities were not included in the calculation of diluted net loss per share for the periods presented because the effect would have been anti-dilutive: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3100" w:type="dxa"/>
            <w:vAlign w:val="bottom"/>
            <w:gridSpan w:val="5"/>
          </w:tcPr>
          <w:p>
            <w:pPr>
              <w:ind w:left="7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92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68,418,509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146,961,309</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Outstanding stock options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5,285,000</w:t>
            </w:r>
          </w:p>
        </w:tc>
        <w:tc>
          <w:tcPr>
            <w:tcW w:w="2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6,965,000</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subject to future vesting</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1,986,608</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828,825</w:t>
            </w:r>
          </w:p>
        </w:tc>
      </w:tr>
      <w:tr>
        <w:trPr>
          <w:trHeight w:val="223"/>
        </w:trPr>
        <w:tc>
          <w:tcPr>
            <w:tcW w:w="7920" w:type="dxa"/>
            <w:vAlign w:val="bottom"/>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75,690,117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154,755,134</w:t>
            </w:r>
          </w:p>
        </w:tc>
        <w:tc>
          <w:tcPr>
            <w:tcW w:w="8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Related Party Transactions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J. David Gladstone Institutes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Under the MCA, Gladstone performed specific research activities for the Company in accordance with the mutually agreed-upon annual project plans (see Note 5). During the year ended December 31, 2019, the Company recognized $0.4 million in research and development expenses in relation to the services provided by Gladstone. No such research services were provided during the year ended December 31, 2020. In addition, during the year ended December 31, 2019, the Company recognized $0.2 million in aggregate lab, license and patent fees and $75,000 in stock. During the year ended December 31, 2020, the Company recognized $0.1 million in aggregate lab, license and patent fees. As of December 31, 2019 and 2020, the related party balance included within accounts payable and accrued expenses was $10,000 and $nil.</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Scientific Founders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During the years ended December 31, 2019 and 2020, the Company recognized a total of $0.2 million in each period in consulting expense paid to five of its scientific founders.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Company evaluated subsequent events from December 31, 2020, the date of these financial statements, through May 7, 2021, the date the financial statements were available for issuance, for events requiring recognition or disclosure in the financial statements for the year ended December 31,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Convertible Preferred Stock Issuance</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January 2021, the Company sold an additional 9,652,509 shares of Series C convertible preferred stock at the price of $2.072 per share for aggregate gross proceeds of $20.0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 and Office Space Lease Agreement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February 2021, the Company entered into a lease agreement for manufacturing and office space located in Union City, California. The lease has a ten-year term with one five-year renewal option. Upon the execution of the lease agreement, the Company provided the landlord with a security deposit of $3.3 million. Total lease payments during the lease term are expected to be $13.9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Stock Options Grants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January 2021, the Company granted 778,250 options to employees, each with an exercise price of $0.94 per share and a four-year vesting schedule. In February 2021, the Company granted 2,500,000 options to its chief executive officer, with an exercise price of $0.94 per share and a four-year vesting schedule.</w:t>
      </w:r>
    </w:p>
    <w:p>
      <w:pPr>
        <w:spacing w:after="0" w:line="200" w:lineRule="exact"/>
        <w:rPr>
          <w:sz w:val="20"/>
          <w:szCs w:val="20"/>
          <w:color w:val="auto"/>
        </w:rPr>
      </w:pP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0960"/>
          </w:cols>
          <w:pgMar w:left="320" w:top="459" w:right="6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720"/>
        <w:spacing w:after="0"/>
        <w:rPr>
          <w:sz w:val="20"/>
          <w:szCs w:val="20"/>
          <w:color w:val="auto"/>
        </w:rPr>
      </w:pPr>
      <w:r>
        <w:rPr>
          <w:rFonts w:ascii="Arial" w:cs="Arial" w:eastAsia="Arial" w:hAnsi="Arial"/>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tabs>
          <w:tab w:leader="none" w:pos="5220" w:val="left"/>
          <w:tab w:leader="none" w:pos="9300" w:val="left"/>
        </w:tabs>
        <w:rPr>
          <w:sz w:val="20"/>
          <w:szCs w:val="20"/>
          <w:color w:val="auto"/>
        </w:rPr>
      </w:pPr>
      <w:r>
        <w:rPr>
          <w:rFonts w:ascii="Arial" w:cs="Arial" w:eastAsia="Arial" w:hAnsi="Arial"/>
          <w:sz w:val="32"/>
          <w:szCs w:val="32"/>
          <w:i w:val="1"/>
          <w:iCs w:val="1"/>
          <w:color w:val="auto"/>
        </w:rPr>
        <w:t>Morgan Stanley</w:t>
      </w:r>
      <w:r>
        <w:rPr>
          <w:sz w:val="20"/>
          <w:szCs w:val="20"/>
          <w:color w:val="auto"/>
        </w:rPr>
        <w:tab/>
      </w:r>
      <w:r>
        <w:rPr>
          <w:rFonts w:ascii="Arial" w:cs="Arial" w:eastAsia="Arial" w:hAnsi="Arial"/>
          <w:sz w:val="32"/>
          <w:szCs w:val="32"/>
          <w:i w:val="1"/>
          <w:iCs w:val="1"/>
          <w:color w:val="auto"/>
        </w:rPr>
        <w:t>Cowen</w:t>
      </w:r>
      <w:r>
        <w:rPr>
          <w:sz w:val="20"/>
          <w:szCs w:val="20"/>
          <w:color w:val="auto"/>
        </w:rPr>
        <w:tab/>
      </w:r>
      <w:r>
        <w:rPr>
          <w:rFonts w:ascii="Arial" w:cs="Arial" w:eastAsia="Arial" w:hAnsi="Arial"/>
          <w:sz w:val="30"/>
          <w:szCs w:val="30"/>
          <w:i w:val="1"/>
          <w:iCs w:val="1"/>
          <w:color w:val="auto"/>
        </w:rPr>
        <w:t>Piper Sandler</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 2021</w:t>
      </w:r>
    </w:p>
    <w:p>
      <w:pPr>
        <w:sectPr>
          <w:pgSz w:w="11900" w:h="16838" w:orient="portrait"/>
          <w:cols w:equalWidth="0" w:num="1">
            <w:col w:w="11140"/>
          </w:cols>
          <w:pgMar w:left="320" w:top="459" w:right="4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07"/>
        </w:trPr>
        <w:tc>
          <w:tcPr>
            <w:tcW w:w="760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24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II</w:t>
            </w:r>
          </w:p>
        </w:tc>
        <w:tc>
          <w:tcPr>
            <w:tcW w:w="2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jc w:val="center"/>
              <w:ind w:right="1021"/>
              <w:spacing w:after="0"/>
              <w:rPr>
                <w:sz w:val="20"/>
                <w:szCs w:val="20"/>
                <w:color w:val="auto"/>
              </w:rPr>
            </w:pPr>
            <w:r>
              <w:rPr>
                <w:rFonts w:ascii="Arial" w:cs="Arial" w:eastAsia="Arial" w:hAnsi="Arial"/>
                <w:sz w:val="18"/>
                <w:szCs w:val="18"/>
                <w:b w:val="1"/>
                <w:bCs w:val="1"/>
                <w:color w:val="auto"/>
              </w:rPr>
              <w:t>INFORMATION NOT REQUIRED IN THE PROSPECTUS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480" w:type="dxa"/>
            <w:vAlign w:val="bottom"/>
            <w:gridSpan w:val="4"/>
          </w:tcPr>
          <w:p>
            <w:pPr>
              <w:spacing w:after="0"/>
              <w:rPr>
                <w:sz w:val="20"/>
                <w:szCs w:val="20"/>
                <w:color w:val="auto"/>
              </w:rPr>
            </w:pPr>
            <w:r>
              <w:rPr>
                <w:rFonts w:ascii="Arial" w:cs="Arial" w:eastAsia="Arial" w:hAnsi="Arial"/>
                <w:sz w:val="18"/>
                <w:szCs w:val="18"/>
                <w:b w:val="1"/>
                <w:bCs w:val="1"/>
                <w:color w:val="auto"/>
              </w:rPr>
              <w:t>Item 13. Other Expenses of Issuance and Distribution</w:t>
            </w:r>
          </w:p>
        </w:tc>
        <w:tc>
          <w:tcPr>
            <w:tcW w:w="2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0"/>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60" w:type="dxa"/>
            <w:vAlign w:val="bottom"/>
            <w:gridSpan w:val="5"/>
          </w:tcPr>
          <w:p>
            <w:pPr>
              <w:jc w:val="center"/>
              <w:ind w:right="181"/>
              <w:spacing w:after="0"/>
              <w:rPr>
                <w:sz w:val="20"/>
                <w:szCs w:val="20"/>
                <w:color w:val="auto"/>
              </w:rPr>
            </w:pPr>
            <w:r>
              <w:rPr>
                <w:rFonts w:ascii="Arial" w:cs="Arial" w:eastAsia="Arial" w:hAnsi="Arial"/>
                <w:sz w:val="18"/>
                <w:szCs w:val="18"/>
                <w:color w:val="auto"/>
                <w:w w:val="90"/>
              </w:rPr>
              <w:t>The following table sets forth the expenses to be incurred in connection with the offering described in this Registration Statement, other than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860" w:type="dxa"/>
            <w:vAlign w:val="bottom"/>
            <w:gridSpan w:val="6"/>
          </w:tcPr>
          <w:p>
            <w:pPr>
              <w:spacing w:after="0"/>
              <w:rPr>
                <w:sz w:val="20"/>
                <w:szCs w:val="20"/>
                <w:color w:val="auto"/>
              </w:rPr>
            </w:pPr>
            <w:r>
              <w:rPr>
                <w:rFonts w:ascii="Arial" w:cs="Arial" w:eastAsia="Arial" w:hAnsi="Arial"/>
                <w:sz w:val="18"/>
                <w:szCs w:val="18"/>
                <w:color w:val="auto"/>
                <w:w w:val="92"/>
              </w:rPr>
              <w:t>underwriting discounts and commissions, all of which will be paid by us. All amounts are estimates except the Securities and Exchange Commission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7480" w:type="dxa"/>
            <w:vAlign w:val="bottom"/>
            <w:gridSpan w:val="4"/>
          </w:tcPr>
          <w:p>
            <w:pPr>
              <w:spacing w:after="0"/>
              <w:rPr>
                <w:sz w:val="20"/>
                <w:szCs w:val="20"/>
                <w:color w:val="auto"/>
              </w:rPr>
            </w:pPr>
            <w:r>
              <w:rPr>
                <w:rFonts w:ascii="Arial" w:cs="Arial" w:eastAsia="Arial" w:hAnsi="Arial"/>
                <w:sz w:val="18"/>
                <w:szCs w:val="18"/>
                <w:color w:val="auto"/>
                <w:w w:val="96"/>
              </w:rPr>
              <w:t>(SEC) registration fee, the Financial Industry Regulatory Authority, Inc. (FINRA) filing fee and the</w:t>
            </w:r>
          </w:p>
        </w:tc>
        <w:tc>
          <w:tcPr>
            <w:tcW w:w="3380" w:type="dxa"/>
            <w:vAlign w:val="bottom"/>
            <w:gridSpan w:val="2"/>
          </w:tcPr>
          <w:p>
            <w:pPr>
              <w:jc w:val="right"/>
              <w:ind w:right="2241"/>
              <w:spacing w:after="0"/>
              <w:rPr>
                <w:sz w:val="20"/>
                <w:szCs w:val="20"/>
                <w:color w:val="auto"/>
              </w:rPr>
            </w:pPr>
            <w:r>
              <w:rPr>
                <w:rFonts w:ascii="Arial" w:cs="Arial" w:eastAsia="Arial" w:hAnsi="Arial"/>
                <w:sz w:val="18"/>
                <w:szCs w:val="18"/>
                <w:color w:val="auto"/>
              </w:rPr>
              <w:t>listing fee.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9"/>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Amount Paid</w:t>
            </w:r>
          </w:p>
        </w:tc>
      </w:tr>
      <w:tr>
        <w:trPr>
          <w:trHeight w:val="148"/>
        </w:trPr>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40" w:type="dxa"/>
            <w:vAlign w:val="bottom"/>
          </w:tcPr>
          <w:p>
            <w:pPr>
              <w:jc w:val="right"/>
              <w:ind w:right="181"/>
              <w:spacing w:after="0" w:line="149" w:lineRule="exact"/>
              <w:rPr>
                <w:sz w:val="20"/>
                <w:szCs w:val="20"/>
                <w:color w:val="auto"/>
              </w:rPr>
            </w:pPr>
            <w:r>
              <w:rPr>
                <w:rFonts w:ascii="Arial" w:cs="Arial" w:eastAsia="Arial" w:hAnsi="Arial"/>
                <w:sz w:val="14"/>
                <w:szCs w:val="14"/>
                <w:b w:val="1"/>
                <w:bCs w:val="1"/>
                <w:color w:val="auto"/>
              </w:rPr>
              <w:t>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 Be Paid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09"/>
        </w:trPr>
        <w:tc>
          <w:tcPr>
            <w:tcW w:w="120" w:type="dxa"/>
            <w:vAlign w:val="bottom"/>
          </w:tcPr>
          <w:p>
            <w:pPr>
              <w:spacing w:after="0"/>
              <w:rPr>
                <w:sz w:val="18"/>
                <w:szCs w:val="18"/>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Arial" w:cs="Arial" w:eastAsia="Arial" w:hAnsi="Arial"/>
                <w:sz w:val="18"/>
                <w:szCs w:val="18"/>
                <w:color w:val="auto"/>
              </w:rPr>
              <w:t>FINRA filing fee</w:t>
            </w:r>
          </w:p>
        </w:tc>
        <w:tc>
          <w:tcPr>
            <w:tcW w:w="2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w:t>
            </w:r>
          </w:p>
        </w:tc>
      </w:tr>
      <w:tr>
        <w:trPr>
          <w:trHeight w:val="216"/>
        </w:trPr>
        <w:tc>
          <w:tcPr>
            <w:tcW w:w="120" w:type="dxa"/>
            <w:vAlign w:val="bottom"/>
          </w:tcPr>
          <w:p>
            <w:pPr>
              <w:spacing w:after="0"/>
              <w:rPr>
                <w:sz w:val="18"/>
                <w:szCs w:val="18"/>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2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w:t>
            </w:r>
          </w:p>
        </w:tc>
      </w:tr>
      <w:tr>
        <w:trPr>
          <w:trHeight w:val="216"/>
        </w:trPr>
        <w:tc>
          <w:tcPr>
            <w:tcW w:w="12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Arial" w:cs="Arial" w:eastAsia="Arial" w:hAnsi="Arial"/>
                <w:sz w:val="18"/>
                <w:szCs w:val="18"/>
                <w:color w:val="auto"/>
              </w:rPr>
              <w:t>Printing and engraving expenses</w:t>
            </w:r>
          </w:p>
        </w:tc>
        <w:tc>
          <w:tcPr>
            <w:tcW w:w="2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w:t>
            </w:r>
          </w:p>
        </w:tc>
      </w:tr>
      <w:tr>
        <w:trPr>
          <w:trHeight w:val="216"/>
        </w:trPr>
        <w:tc>
          <w:tcPr>
            <w:tcW w:w="120" w:type="dxa"/>
            <w:vAlign w:val="bottom"/>
          </w:tcPr>
          <w:p>
            <w:pPr>
              <w:spacing w:after="0"/>
              <w:rPr>
                <w:sz w:val="18"/>
                <w:szCs w:val="18"/>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w:t>
            </w:r>
          </w:p>
        </w:tc>
      </w:tr>
      <w:tr>
        <w:trPr>
          <w:trHeight w:val="216"/>
        </w:trPr>
        <w:tc>
          <w:tcPr>
            <w:tcW w:w="12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2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w:t>
            </w:r>
          </w:p>
        </w:tc>
      </w:tr>
      <w:tr>
        <w:trPr>
          <w:trHeight w:val="216"/>
        </w:trPr>
        <w:tc>
          <w:tcPr>
            <w:tcW w:w="120" w:type="dxa"/>
            <w:vAlign w:val="bottom"/>
          </w:tcPr>
          <w:p>
            <w:pPr>
              <w:spacing w:after="0"/>
              <w:rPr>
                <w:sz w:val="18"/>
                <w:szCs w:val="18"/>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w:t>
            </w:r>
          </w:p>
        </w:tc>
      </w:tr>
      <w:tr>
        <w:trPr>
          <w:trHeight w:val="216"/>
        </w:trPr>
        <w:tc>
          <w:tcPr>
            <w:tcW w:w="12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Arial" w:cs="Arial" w:eastAsia="Arial" w:hAnsi="Arial"/>
                <w:sz w:val="18"/>
                <w:szCs w:val="18"/>
                <w:color w:val="auto"/>
              </w:rPr>
              <w:t>Miscellaneous expenses</w:t>
            </w:r>
          </w:p>
        </w:tc>
        <w:tc>
          <w:tcPr>
            <w:tcW w:w="2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w:t>
            </w:r>
          </w:p>
        </w:tc>
      </w:tr>
      <w:tr>
        <w:trPr>
          <w:trHeight w:val="27"/>
        </w:trPr>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w:t>
            </w:r>
          </w:p>
        </w:tc>
      </w:tr>
      <w:tr>
        <w:trPr>
          <w:trHeight w:val="142"/>
        </w:trPr>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80" w:type="dxa"/>
            <w:vAlign w:val="bottom"/>
            <w:gridSpan w:val="3"/>
          </w:tcPr>
          <w:p>
            <w:pPr>
              <w:ind w:left="20"/>
              <w:spacing w:after="0"/>
              <w:rPr>
                <w:sz w:val="20"/>
                <w:szCs w:val="20"/>
                <w:color w:val="auto"/>
              </w:rPr>
            </w:pPr>
            <w:r>
              <w:rPr>
                <w:rFonts w:ascii="Arial" w:cs="Arial" w:eastAsia="Arial" w:hAnsi="Arial"/>
                <w:sz w:val="18"/>
                <w:szCs w:val="18"/>
                <w:color w:val="auto"/>
              </w:rPr>
              <w:t>To be provided by amendment.</w:t>
            </w:r>
          </w:p>
        </w:tc>
        <w:tc>
          <w:tcPr>
            <w:tcW w:w="2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Delaware General Corporation Law.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6"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w:t>
      </w:r>
    </w:p>
    <w:p>
      <w:pPr>
        <w:spacing w:after="0" w:line="1" w:lineRule="exact"/>
        <w:rPr>
          <w:sz w:val="20"/>
          <w:szCs w:val="20"/>
          <w:color w:val="auto"/>
        </w:rPr>
      </w:pPr>
    </w:p>
    <w:p>
      <w:pPr>
        <w:ind w:left="120" w:right="80" w:hanging="4"/>
        <w:spacing w:after="0" w:line="260" w:lineRule="auto"/>
        <w:tabs>
          <w:tab w:leader="none" w:pos="37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certificate of incorporation to be in effect upon the completion of this offering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46"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 The investors’ rights agreement with certain holders of our capital stock also provides for cross-indemnification in connection with the registration of the registrant’s common stock on behalf of such 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2018.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84" w:lineRule="exact"/>
        <w:rPr>
          <w:sz w:val="20"/>
          <w:szCs w:val="20"/>
          <w:color w:val="auto"/>
        </w:rPr>
      </w:pPr>
    </w:p>
    <w:p>
      <w:pPr>
        <w:ind w:left="120" w:right="320" w:firstLine="436"/>
        <w:spacing w:after="0" w:line="277" w:lineRule="auto"/>
        <w:tabs>
          <w:tab w:leader="none" w:pos="8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December 2018, we issued and sold an aggregate of 19,900,000 shares of our Series A convertible preferred stock at a purchase price of $1.00 per share for an aggregate purchase price of $19.9 million.</w:t>
      </w:r>
    </w:p>
    <w:p>
      <w:pPr>
        <w:spacing w:after="0" w:line="170" w:lineRule="exact"/>
        <w:rPr>
          <w:rFonts w:ascii="Arial" w:cs="Arial" w:eastAsia="Arial" w:hAnsi="Arial"/>
          <w:sz w:val="18"/>
          <w:szCs w:val="18"/>
          <w:color w:val="auto"/>
        </w:rPr>
      </w:pPr>
    </w:p>
    <w:p>
      <w:pPr>
        <w:ind w:left="120" w:right="40" w:firstLine="436"/>
        <w:spacing w:after="0" w:line="277" w:lineRule="auto"/>
        <w:tabs>
          <w:tab w:leader="none" w:pos="81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August 2019, March 2019 and August 2020, we issued and sold 55,555,527 shares of our Series B convertible preferred stock at a purchase price of $1.656 per share for an aggregate purchase price of $92.0 million.</w:t>
      </w:r>
    </w:p>
    <w:p>
      <w:pPr>
        <w:spacing w:after="0" w:line="170" w:lineRule="exact"/>
        <w:rPr>
          <w:rFonts w:ascii="Arial" w:cs="Arial" w:eastAsia="Arial" w:hAnsi="Arial"/>
          <w:sz w:val="18"/>
          <w:szCs w:val="18"/>
          <w:color w:val="auto"/>
        </w:rPr>
      </w:pPr>
    </w:p>
    <w:p>
      <w:pPr>
        <w:ind w:left="120" w:right="280" w:firstLine="436"/>
        <w:spacing w:after="0" w:line="277" w:lineRule="auto"/>
        <w:tabs>
          <w:tab w:leader="none" w:pos="8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December 2020 and January 2021, we issued and sold an aggregate of 51,158,291 shares of our Series C convertible preferred stock at a purchase price of $2.072 per share for an aggregate purchase price of $106.0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36"/>
        <w:spacing w:after="0" w:line="263" w:lineRule="auto"/>
        <w:tabs>
          <w:tab w:leader="none" w:pos="81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From January 2018 through May 5, 2021, we granted stock options to purchase an aggregate of 11,298,200 shares of common stock upon the exercise of options under our 2016 Plan at exercise prices per share ranging from $0.11 to $0.94, for an aggregate exercise price of approximately $5.52 million.</w:t>
      </w:r>
    </w:p>
    <w:p>
      <w:pPr>
        <w:spacing w:after="0" w:line="183" w:lineRule="exact"/>
        <w:rPr>
          <w:rFonts w:ascii="Arial" w:cs="Arial" w:eastAsia="Arial" w:hAnsi="Arial"/>
          <w:sz w:val="18"/>
          <w:szCs w:val="18"/>
          <w:color w:val="auto"/>
        </w:rPr>
      </w:pPr>
    </w:p>
    <w:p>
      <w:pPr>
        <w:ind w:left="120" w:right="200" w:firstLine="436"/>
        <w:spacing w:after="0" w:line="263" w:lineRule="auto"/>
        <w:tabs>
          <w:tab w:leader="none" w:pos="8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From January 2018 through May 5, 2021, we issued and sold to certain service providers of ours an aggregate of 789,175 shares of common stock upon the exercise of options under our 2016 Plan at exercise prices per share ranging from $0.11 to $0.94, for an aggregate exercise price of approximately $144,921.</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offers, sales and issuances of the securities described in Items 15(a) , 15(b) and 15(c)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6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offers, sales and issuances of the securities described in Items 15(d) and 15(e) were exempt from registration under the Securities Act under either (1) Rule 701 in that the transactions were under compensatory benefit plans and contracts relating to compensation as provided under Rule 701 or</w:t>
      </w:r>
    </w:p>
    <w:p>
      <w:pPr>
        <w:ind w:left="120" w:right="40" w:hanging="4"/>
        <w:spacing w:after="0" w:line="253" w:lineRule="auto"/>
        <w:tabs>
          <w:tab w:leader="none" w:pos="37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Section 4(a)(2) of the Securities Act as transactions by an issuer not involving any public offering. The recipients of such securities were the registrant’s employees, consultants or directors and received the securities under our 2016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undertakes that:</w:t>
      </w:r>
    </w:p>
    <w:p>
      <w:pPr>
        <w:spacing w:after="0" w:line="117" w:lineRule="exact"/>
        <w:rPr>
          <w:sz w:val="20"/>
          <w:szCs w:val="20"/>
          <w:color w:val="auto"/>
        </w:rPr>
      </w:pPr>
    </w:p>
    <w:p>
      <w:pPr>
        <w:ind w:left="120" w:right="200" w:firstLine="436"/>
        <w:spacing w:after="0" w:line="311" w:lineRule="auto"/>
        <w:tabs>
          <w:tab w:leader="none" w:pos="81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48" w:lineRule="exact"/>
        <w:rPr>
          <w:rFonts w:ascii="Arial" w:cs="Arial" w:eastAsia="Arial" w:hAnsi="Arial"/>
          <w:sz w:val="16"/>
          <w:szCs w:val="16"/>
          <w:color w:val="auto"/>
        </w:rPr>
      </w:pPr>
    </w:p>
    <w:p>
      <w:pPr>
        <w:jc w:val="both"/>
        <w:ind w:left="120" w:firstLine="436"/>
        <w:spacing w:after="0" w:line="263" w:lineRule="auto"/>
        <w:tabs>
          <w:tab w:leader="none" w:pos="81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00"/>
          </w:cols>
          <w:pgMar w:left="320" w:top="459" w:right="5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20" w:type="dxa"/>
            <w:vAlign w:val="bottom"/>
            <w:gridSpan w:val="3"/>
          </w:tcPr>
          <w:p>
            <w:pPr>
              <w:ind w:left="4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1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16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4"/>
              </w:rPr>
              <w:t>Form of Amended and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3.4*</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Form of Amended and Restated Bylaws of the Registrant, to be in effect upon the completion of this offering.</w:t>
            </w:r>
          </w:p>
        </w:tc>
        <w:tc>
          <w:tcPr>
            <w:tcW w:w="0" w:type="dxa"/>
            <w:vAlign w:val="bottom"/>
          </w:tcPr>
          <w:p>
            <w:pPr>
              <w:spacing w:after="0"/>
              <w:rPr>
                <w:sz w:val="1"/>
                <w:szCs w:val="1"/>
                <w:color w:val="auto"/>
              </w:rPr>
            </w:pPr>
          </w:p>
        </w:tc>
      </w:tr>
      <w:tr>
        <w:trPr>
          <w:trHeight w:val="310"/>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89"/>
              </w:rPr>
              <w:t>Amended and Restated Investors’ Rights Agreement by and among the Registrant and certain of its stockholders, dated December 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60" w:type="dxa"/>
            <w:vAlign w:val="bottom"/>
          </w:tcPr>
          <w:p>
            <w:pPr>
              <w:ind w:left="560"/>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4.2*</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10.2+*</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Amended and Restated 2016 Equity Incentive Plan and forms of agreement thereunder.</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10.3+*</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2021 Equity Incentive Plan and forms of agreements thereunder, to be in effect upon the completion of this offering.</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10.4+*</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6"/>
              </w:rPr>
              <w:t>2021 Employee Stock Purchase Plan and forms of agreements thereunder, to be in effect upon the completion of this offering.</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10.4+*</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Employment Letter between the Registrant and Faraz Ali.</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10.5+*</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Employment Letter between the Registrant and Timothy Charles Hoey, Ph.D.</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10.6+*</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Employment Letter between the Registrant and Whittemore (Whit) Tingley, M.D., Ph.D.</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10.7+*</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Executive Incentive Compensation Plan.</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10.8+*</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Outside Director Compensation Policy.</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10.9#</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89"/>
              </w:rPr>
              <w:t>License Agreement between the Registrant and the Board of Regents of the University of Texas System, dated as of January 10, 2020.</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10.10*</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Lease between HCP Oyster Point III LLC and Tenaya Therapeutics, Inc. dated as of September 6, 2016.</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Lease between Terreno Park Union City LLC and Tenaya Therapeutics, Inc. dated as of February 12, 2021.</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10.12*</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Sub-Sublease between Tolerion, Inc. and Tenaya Therapeutics, Inc. dated as of December 18, 2020.</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Power of Attorney (see page II-6 to this Form S-1).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9" w:lineRule="exact"/>
        <w:rPr>
          <w:sz w:val="20"/>
          <w:szCs w:val="20"/>
          <w:color w:val="auto"/>
        </w:rPr>
      </w:pPr>
    </w:p>
    <w:p>
      <w:pPr>
        <w:ind w:left="540" w:hanging="424"/>
        <w:spacing w:after="0" w:line="260"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320" w:top="459" w:right="5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r>
              <w:rPr>
                <w:rFonts w:ascii="Arial" w:cs="Arial" w:eastAsia="Arial" w:hAnsi="Arial"/>
                <w:sz w:val="18"/>
                <w:szCs w:val="18"/>
                <w:color w:val="auto"/>
                <w:w w:val="96"/>
              </w:rPr>
              <w:t>its behalf by the undersigned, thereunto duly authorized, in the City of South San Francisco, California, on</w:t>
            </w:r>
          </w:p>
        </w:tc>
        <w:tc>
          <w:tcPr>
            <w:tcW w:w="9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Faraz Ali</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Faraz Ali as his or her true and lawful attorney-in-fact and agent, with full power of substitution, for him or her and in his or her name, place and stead, in any and all capacities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3160" w:type="dxa"/>
            <w:vAlign w:val="bottom"/>
          </w:tcPr>
          <w:p>
            <w:pPr>
              <w:spacing w:after="0"/>
              <w:rPr>
                <w:sz w:val="14"/>
                <w:szCs w:val="14"/>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Faraz Ali</w:t>
            </w: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655"/>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Chief Scientific Officer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Timothy Charles Hoey, Ph.D.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Chief Medical Officer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Whittemore (Whit) Tingley, M.D., Ph.D.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Eli Casdin</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Jin-Long Chen, Ph.D.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David Goeddel, Ph.D.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3160" w:type="dxa"/>
            <w:vAlign w:val="bottom"/>
          </w:tcPr>
          <w:p>
            <w:pPr>
              <w:spacing w:after="0"/>
              <w:rPr>
                <w:sz w:val="14"/>
                <w:szCs w:val="14"/>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JeenJoo (JJ) Kang, Ph.D.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Deepak Srivastava, M.D.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Catherine Stehman-Breen, M.D.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Jeffrey T. Walsh</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R. Sanders (Sandy) Williams, M.D.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1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620"/>
          </w:cols>
          <w:pgMar w:left="320" w:top="459" w:right="95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Tenaya Therapeutics, Inc., a corporation organized and existing under the laws of the State of Delaware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certifies that:</w:t>
      </w:r>
    </w:p>
    <w:p>
      <w:pPr>
        <w:spacing w:after="0" w:line="237" w:lineRule="exact"/>
        <w:rPr>
          <w:sz w:val="20"/>
          <w:szCs w:val="20"/>
          <w:color w:val="auto"/>
        </w:rPr>
      </w:pPr>
    </w:p>
    <w:p>
      <w:pPr>
        <w:ind w:right="620" w:firstLine="436"/>
        <w:spacing w:after="0" w:line="277" w:lineRule="auto"/>
        <w:tabs>
          <w:tab w:leader="none" w:pos="93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name of the Corporation is Tenaya Therapeutics, Inc. The Corporation’s original Certificate of Incorporation was filed with the Secretary of State of the State of Delaware on August 18, 2016.</w:t>
      </w:r>
    </w:p>
    <w:p>
      <w:pPr>
        <w:spacing w:after="0" w:line="170" w:lineRule="exact"/>
        <w:rPr>
          <w:rFonts w:ascii="Arial" w:cs="Arial" w:eastAsia="Arial" w:hAnsi="Arial"/>
          <w:sz w:val="18"/>
          <w:szCs w:val="18"/>
          <w:color w:val="auto"/>
        </w:rPr>
      </w:pPr>
    </w:p>
    <w:p>
      <w:pPr>
        <w:ind w:right="100" w:firstLine="436"/>
        <w:spacing w:after="0" w:line="277" w:lineRule="auto"/>
        <w:tabs>
          <w:tab w:leader="none" w:pos="92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 Amended and Restated Certificate of Incorporation of this corporation was filed with the Secretary of State of the State of Delaware on August 29, 2019.</w:t>
      </w:r>
    </w:p>
    <w:p>
      <w:pPr>
        <w:spacing w:after="0" w:line="170" w:lineRule="exact"/>
        <w:rPr>
          <w:rFonts w:ascii="Arial" w:cs="Arial" w:eastAsia="Arial" w:hAnsi="Arial"/>
          <w:sz w:val="18"/>
          <w:szCs w:val="18"/>
          <w:color w:val="auto"/>
        </w:rPr>
      </w:pPr>
    </w:p>
    <w:p>
      <w:pPr>
        <w:ind w:right="60" w:firstLine="436"/>
        <w:spacing w:after="0" w:line="263" w:lineRule="auto"/>
        <w:tabs>
          <w:tab w:leader="none" w:pos="93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183" w:lineRule="exact"/>
        <w:rPr>
          <w:rFonts w:ascii="Arial" w:cs="Arial" w:eastAsia="Arial" w:hAnsi="Arial"/>
          <w:sz w:val="18"/>
          <w:szCs w:val="18"/>
          <w:color w:val="auto"/>
        </w:rPr>
      </w:pPr>
    </w:p>
    <w:p>
      <w:pPr>
        <w:ind w:left="920" w:hanging="484"/>
        <w:spacing w:after="0"/>
        <w:tabs>
          <w:tab w:leader="none" w:pos="9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text of the Amended and Restated Certificate of Incorporation is amended and restated to read as set forth in EXHIBIT A attached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hereto.</w:t>
      </w:r>
    </w:p>
    <w:p>
      <w:pPr>
        <w:spacing w:after="0" w:line="21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IN WITNESS WHEREOF, Tenaya Therapeutics, Inc. has caused this Amended and Restated Certificate of Incorporation to be signed by Faraz Ali, a duly authorized officer of the Corporation, on December 16,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Faraz Ali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Tenaya Therapeutics,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Delaware.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580" w:firstLine="440"/>
        <w:spacing w:after="0" w:line="342" w:lineRule="auto"/>
        <w:rPr>
          <w:sz w:val="20"/>
          <w:szCs w:val="20"/>
          <w:color w:val="auto"/>
        </w:rPr>
      </w:pPr>
      <w:r>
        <w:rPr>
          <w:rFonts w:ascii="Arial" w:cs="Arial" w:eastAsia="Arial" w:hAnsi="Arial"/>
          <w:sz w:val="16"/>
          <w:szCs w:val="16"/>
          <w:color w:val="auto"/>
        </w:rPr>
        <w:t>The address of the Corporation’s registered office in the State of Delaware is The Corporation Trust Company, 1209 Orange Street, City of Wilmington, County of New Castle, DE 19801. The name of the registered agent at such address is The Corporation Trust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total number of shares of stock that the Corporation shall have authority to issue is three hundred thirty eight million five hundred ninety three thousand eight hundred eighteen (338,593,818) consisting of one hundred eighty-one million nine hundred eighty thousand (181,980,000) shares of Common Stock, $0.0001 par value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 hundred fifty six million six hundred thirteen thousand eight hundred eighteen (156,613,818) shares of Preferred Stock, $0.0001 par value per share. The first series of Preferred Stock shall be designated “</w:t>
      </w:r>
      <w:r>
        <w:rPr>
          <w:rFonts w:ascii="Arial" w:cs="Arial" w:eastAsia="Arial" w:hAnsi="Arial"/>
          <w:sz w:val="17"/>
          <w:szCs w:val="17"/>
          <w:b w:val="1"/>
          <w:bCs w:val="1"/>
          <w:i w:val="1"/>
          <w:iCs w:val="1"/>
          <w:color w:val="auto"/>
        </w:rPr>
        <w:t>Series A Preferred Stock</w:t>
      </w:r>
      <w:r>
        <w:rPr>
          <w:rFonts w:ascii="Arial" w:cs="Arial" w:eastAsia="Arial" w:hAnsi="Arial"/>
          <w:sz w:val="17"/>
          <w:szCs w:val="17"/>
          <w:color w:val="auto"/>
        </w:rPr>
        <w:t>” and shall consist of forty-nine million nine hundred thousand (49,900,000) shares and the second series of Preferred Stock shall be designated “</w:t>
      </w:r>
      <w:r>
        <w:rPr>
          <w:rFonts w:ascii="Arial" w:cs="Arial" w:eastAsia="Arial" w:hAnsi="Arial"/>
          <w:sz w:val="17"/>
          <w:szCs w:val="17"/>
          <w:b w:val="1"/>
          <w:bCs w:val="1"/>
          <w:i w:val="1"/>
          <w:iCs w:val="1"/>
          <w:color w:val="auto"/>
        </w:rPr>
        <w:t>Series B</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and shall consist of fifty-five million five hundred fifty-five thousand five hundred twenty-seven (55,555,527) shares. The third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Preferred Stock shall be designated “</w:t>
      </w:r>
      <w:r>
        <w:rPr>
          <w:rFonts w:ascii="Arial" w:cs="Arial" w:eastAsia="Arial" w:hAnsi="Arial"/>
          <w:sz w:val="17"/>
          <w:szCs w:val="17"/>
          <w:b w:val="1"/>
          <w:bCs w:val="1"/>
          <w:i w:val="1"/>
          <w:iCs w:val="1"/>
          <w:color w:val="auto"/>
        </w:rPr>
        <w:t>Series C Preferred Stock</w:t>
      </w:r>
      <w:r>
        <w:rPr>
          <w:rFonts w:ascii="Arial" w:cs="Arial" w:eastAsia="Arial" w:hAnsi="Arial"/>
          <w:sz w:val="17"/>
          <w:szCs w:val="17"/>
          <w:color w:val="auto"/>
        </w:rPr>
        <w:t>” and shall consist of fifty-one million one hundred fifty-eight thousand two hundred ninety one (51,158,291)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and provisions of the Common Stock and Preferred Stock are as follows:</w:t>
      </w:r>
    </w:p>
    <w:p>
      <w:pPr>
        <w:spacing w:after="0" w:line="221" w:lineRule="exact"/>
        <w:rPr>
          <w:sz w:val="20"/>
          <w:szCs w:val="20"/>
          <w:color w:val="auto"/>
        </w:rPr>
      </w:pPr>
    </w:p>
    <w:p>
      <w:pPr>
        <w:ind w:left="980" w:hanging="544"/>
        <w:spacing w:after="0"/>
        <w:tabs>
          <w:tab w:leader="none" w:pos="9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ARTICLE V, the following definitions shall apply:</w:t>
      </w:r>
    </w:p>
    <w:p>
      <w:pPr>
        <w:spacing w:after="0" w:line="229" w:lineRule="exact"/>
        <w:rPr>
          <w:rFonts w:ascii="Arial" w:cs="Arial" w:eastAsia="Arial" w:hAnsi="Arial"/>
          <w:sz w:val="18"/>
          <w:szCs w:val="18"/>
          <w:b w:val="1"/>
          <w:bCs w:val="1"/>
          <w:color w:val="auto"/>
        </w:rPr>
      </w:pPr>
    </w:p>
    <w:p>
      <w:pPr>
        <w:jc w:val="both"/>
        <w:ind w:right="260" w:firstLine="987"/>
        <w:spacing w:after="0" w:line="263" w:lineRule="auto"/>
        <w:tabs>
          <w:tab w:leader="none" w:pos="137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Price</w:t>
      </w:r>
      <w:r>
        <w:rPr>
          <w:rFonts w:ascii="Arial" w:cs="Arial" w:eastAsia="Arial" w:hAnsi="Arial"/>
          <w:sz w:val="18"/>
          <w:szCs w:val="18"/>
          <w:color w:val="auto"/>
        </w:rPr>
        <w:t>” shall mean $1.00 per share for the Series A Preferred Stock, $1.656 per share for the Series B Preferred Stock and $2.072 per share for the Series C Preferred Stock (in each case, subject to adjustment from time to time for Recapitalizations and as otherwise set forth elsewhere herein).</w:t>
      </w:r>
    </w:p>
    <w:p>
      <w:pPr>
        <w:spacing w:after="0" w:line="183" w:lineRule="exact"/>
        <w:rPr>
          <w:rFonts w:ascii="Arial" w:cs="Arial" w:eastAsia="Arial" w:hAnsi="Arial"/>
          <w:sz w:val="18"/>
          <w:szCs w:val="18"/>
          <w:color w:val="auto"/>
        </w:rPr>
      </w:pPr>
    </w:p>
    <w:p>
      <w:pPr>
        <w:ind w:right="40" w:firstLine="987"/>
        <w:spacing w:after="0" w:line="277" w:lineRule="auto"/>
        <w:tabs>
          <w:tab w:leader="none" w:pos="138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shall mean any evidences of indebtedness, shares, including, Preferred Stock, or other securities convertible into or exchangeable for Common Stock.</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shall mean Tenaya Therapeutics, Inc.</w:t>
      </w:r>
    </w:p>
    <w:p>
      <w:pPr>
        <w:spacing w:after="0" w:line="225" w:lineRule="exact"/>
        <w:rPr>
          <w:rFonts w:ascii="Arial" w:cs="Arial" w:eastAsia="Arial" w:hAnsi="Arial"/>
          <w:sz w:val="18"/>
          <w:szCs w:val="18"/>
          <w:color w:val="auto"/>
        </w:rPr>
      </w:pPr>
    </w:p>
    <w:p>
      <w:pPr>
        <w:ind w:firstLine="987"/>
        <w:spacing w:after="0" w:line="263" w:lineRule="auto"/>
        <w:tabs>
          <w:tab w:leader="none" w:pos="138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shall mean the transfer of cash or other property without consideration whether by way of dividend or otherwise, other than dividends on Common Stock payable in Common Stock, or the purchase or redemption of shares of the Corporation by the Corporation for cash or property other than: (i) repurchases of Common Stock issued to or held by employees, officers,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79" w:name="page280"/>
    <w:bookmarkEnd w:id="27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consultants of the Corporation or its subsidiaries upon termination of their employment or services pursuant to agreements providing for the right of said repurchase, (ii) repurchases of Common Stock issued to or held by employees, officers, directors or consultants of the Corporation or its subsidiaries pursuant to rights of first refusal contained in agreements providing for such right, (iii) repurchases of capital stock of the Corporation in connection with the settlement of disputes with any stockholder approved by the Corporation’s Board of Directors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which approval must include a majority of the then-serving Preferred Directors, and (iv) any other repurchase or redemption of capital stock of the Corporation approved by the holders of the Common Stock and Preferred Stock of the Corporation voting as separate classes.</w:t>
      </w:r>
    </w:p>
    <w:p>
      <w:pPr>
        <w:spacing w:after="0" w:line="178" w:lineRule="exact"/>
        <w:rPr>
          <w:sz w:val="20"/>
          <w:szCs w:val="20"/>
          <w:color w:val="auto"/>
        </w:rPr>
      </w:pPr>
    </w:p>
    <w:p>
      <w:pPr>
        <w:ind w:right="100" w:firstLine="987"/>
        <w:spacing w:after="0" w:line="263" w:lineRule="auto"/>
        <w:tabs>
          <w:tab w:leader="none" w:pos="137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Rate</w:t>
      </w:r>
      <w:r>
        <w:rPr>
          <w:rFonts w:ascii="Arial" w:cs="Arial" w:eastAsia="Arial" w:hAnsi="Arial"/>
          <w:sz w:val="18"/>
          <w:szCs w:val="18"/>
          <w:color w:val="auto"/>
        </w:rPr>
        <w:t>” shall mean an annual rate of $0.08 per share for the Series A Preferred Stock, $0.132 per share for the Series B Preferred Stock and $0.166 per share for the Series C Preferred Stock (in each case, subject to adjustment from time to time for Recapitalizations as set forth elsewhere herein).</w:t>
      </w:r>
    </w:p>
    <w:p>
      <w:pPr>
        <w:spacing w:after="0" w:line="183" w:lineRule="exact"/>
        <w:rPr>
          <w:rFonts w:ascii="Arial" w:cs="Arial" w:eastAsia="Arial" w:hAnsi="Arial"/>
          <w:sz w:val="18"/>
          <w:szCs w:val="18"/>
          <w:color w:val="auto"/>
        </w:rPr>
      </w:pPr>
    </w:p>
    <w:p>
      <w:pPr>
        <w:ind w:right="260" w:firstLine="987"/>
        <w:spacing w:after="0" w:line="263" w:lineRule="auto"/>
        <w:tabs>
          <w:tab w:leader="none" w:pos="135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Preference</w:t>
      </w:r>
      <w:r>
        <w:rPr>
          <w:rFonts w:ascii="Arial" w:cs="Arial" w:eastAsia="Arial" w:hAnsi="Arial"/>
          <w:sz w:val="18"/>
          <w:szCs w:val="18"/>
          <w:color w:val="auto"/>
        </w:rPr>
        <w:t>” shall mean $1.00 per share for the Series A Preferred Stock, $1.656 per share for the Series B Preferred Stock and $2.072 per share for the Series C Preferred Stock (in each case, subject to adjustment from time to time for Recapitalizations as set forth elsewhere herein).</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shall mean rights, options or warrants to subscribe for, purchase or otherwise acquire Common Stock or Convertible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firstLine="987"/>
        <w:spacing w:after="0" w:line="263" w:lineRule="auto"/>
        <w:tabs>
          <w:tab w:leader="none" w:pos="138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Issue Price</w:t>
      </w:r>
      <w:r>
        <w:rPr>
          <w:rFonts w:ascii="Arial" w:cs="Arial" w:eastAsia="Arial" w:hAnsi="Arial"/>
          <w:sz w:val="18"/>
          <w:szCs w:val="18"/>
          <w:color w:val="auto"/>
        </w:rPr>
        <w:t>” shall mean $1.00 per share for the Series A Preferred Stock, $1.656 per share for the Series B Preferred Stock and $2.072 per share for the Series C Preferred Stock (in each case, subject to adjustment from time to time for Recapitalizations as set forth elsewhere herein).</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shall mean the Series A Preferred Stock, the Series B Preferred Stock and the Series C Preferred Stock.</w:t>
      </w:r>
    </w:p>
    <w:p>
      <w:pPr>
        <w:spacing w:after="0" w:line="236" w:lineRule="exact"/>
        <w:rPr>
          <w:rFonts w:ascii="Arial" w:cs="Arial" w:eastAsia="Arial" w:hAnsi="Arial"/>
          <w:sz w:val="17"/>
          <w:szCs w:val="17"/>
          <w:color w:val="auto"/>
        </w:rPr>
      </w:pPr>
    </w:p>
    <w:p>
      <w:pPr>
        <w:ind w:right="60" w:firstLine="987"/>
        <w:spacing w:after="0" w:line="277" w:lineRule="auto"/>
        <w:tabs>
          <w:tab w:leader="none" w:pos="134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shall mean any stock dividend, stock split, combination of shares, reorganization, recapitalization, reclassification or other similar event.</w:t>
      </w:r>
    </w:p>
    <w:p>
      <w:pPr>
        <w:spacing w:after="0" w:line="274" w:lineRule="exact"/>
        <w:rPr>
          <w:rFonts w:ascii="Arial" w:cs="Arial" w:eastAsia="Arial" w:hAnsi="Arial"/>
          <w:sz w:val="18"/>
          <w:szCs w:val="18"/>
          <w:color w:val="auto"/>
        </w:rPr>
      </w:pPr>
    </w:p>
    <w:p>
      <w:pPr>
        <w:ind w:left="980" w:hanging="544"/>
        <w:spacing w:after="0"/>
        <w:tabs>
          <w:tab w:leader="none" w:pos="9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right="60" w:firstLine="987"/>
        <w:spacing w:after="0" w:line="290" w:lineRule="auto"/>
        <w:tabs>
          <w:tab w:leader="none" w:pos="1371" w:val="left"/>
        </w:tabs>
        <w:numPr>
          <w:ilvl w:val="1"/>
          <w:numId w:val="1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Preferred Stock. </w:t>
      </w:r>
      <w:r>
        <w:rPr>
          <w:rFonts w:ascii="Arial" w:cs="Arial" w:eastAsia="Arial" w:hAnsi="Arial"/>
          <w:sz w:val="16"/>
          <w:szCs w:val="16"/>
          <w:color w:val="auto"/>
        </w:rPr>
        <w:t>In any calendar year, the holders of outstanding shares of Preferred Stock shall be entitled to receive dividends,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when, as and if declared by the Board of Directors, out of any assets at the time legally available therefor, at the Dividend Rate specified for such series of Preferred Stock payable in preference and priority to any declaration or payment of any Distribution on Common Stock of the Corporation in such calendar year. No Distributions shall be made with respect to the Common Stock unless dividends on the Preferred Stock have been declared in accordance with the preferences stated herein and all declared dividends on the Preferred Stock have been paid or set aside for payment to the Preferred Stockholders. The right to receive dividends on shares of Preferred Stock shall not be cumulative, and no right to dividends shall accrue to holders of Preferred Stock by reason of the fact that dividends on said shares are not declared or paid. Payment of any dividends to the holders of Preferred Stock shall be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proportion to the Dividend Rates for each series of Preferred Stock.</w:t>
      </w:r>
    </w:p>
    <w:p>
      <w:pPr>
        <w:spacing w:after="0" w:line="165" w:lineRule="exact"/>
        <w:rPr>
          <w:rFonts w:ascii="Arial" w:cs="Arial" w:eastAsia="Arial" w:hAnsi="Arial"/>
          <w:sz w:val="16"/>
          <w:szCs w:val="16"/>
          <w:color w:val="auto"/>
        </w:rPr>
      </w:pPr>
    </w:p>
    <w:p>
      <w:pPr>
        <w:ind w:right="180" w:firstLine="987"/>
        <w:spacing w:after="0" w:line="263" w:lineRule="auto"/>
        <w:tabs>
          <w:tab w:leader="none" w:pos="1381" w:val="left"/>
        </w:tabs>
        <w:numPr>
          <w:ilvl w:val="1"/>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Dividends. </w:t>
      </w:r>
      <w:r>
        <w:rPr>
          <w:rFonts w:ascii="Arial" w:cs="Arial" w:eastAsia="Arial" w:hAnsi="Arial"/>
          <w:sz w:val="18"/>
          <w:szCs w:val="18"/>
          <w:color w:val="auto"/>
        </w:rPr>
        <w:t>After the payment or setting aside for payment of the dividends described in Section 2(a), any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(including, dividends on Common Stock payable solely in Common Stock (unless the applicable conversion rate of the applicable Preferred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80" w:name="page281"/>
    <w:bookmarkEnd w:id="280"/>
    <w:p>
      <w:pPr>
        <w:ind w:left="4"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fully adjusted pursuant to Section 4(e), (f), or (g))) set aside or paid in any fiscal year shall be set aside or paid among the holders of the Preferred Stock and Common Stock then outstanding in proportion to the greatest whole number of shares of Common Stock which would be held by each such holder if all shares of Preferred Stock were converted at the then-effective Conversion Rate (as defined in Section 4).</w:t>
      </w:r>
    </w:p>
    <w:p>
      <w:pPr>
        <w:spacing w:after="0" w:line="165" w:lineRule="exact"/>
        <w:rPr>
          <w:sz w:val="20"/>
          <w:szCs w:val="20"/>
          <w:color w:val="auto"/>
        </w:rPr>
      </w:pPr>
    </w:p>
    <w:p>
      <w:pPr>
        <w:ind w:left="4" w:right="360" w:firstLine="987"/>
        <w:spacing w:after="0" w:line="342" w:lineRule="auto"/>
        <w:tabs>
          <w:tab w:leader="none" w:pos="1375" w:val="left"/>
        </w:tabs>
        <w:numPr>
          <w:ilvl w:val="2"/>
          <w:numId w:val="1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Non-Cash Distributions. </w:t>
      </w:r>
      <w:r>
        <w:rPr>
          <w:rFonts w:ascii="Arial" w:cs="Arial" w:eastAsia="Arial" w:hAnsi="Arial"/>
          <w:sz w:val="16"/>
          <w:szCs w:val="16"/>
          <w:color w:val="auto"/>
        </w:rPr>
        <w:t>Whenever a Distribution provided for in this Section 2 shall be payable in property other than cash,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such Distribution shall be deemed to be the fair market value of such property as determined in good faith by the Board of Directors.</w:t>
      </w:r>
    </w:p>
    <w:p>
      <w:pPr>
        <w:spacing w:after="0" w:line="123" w:lineRule="exact"/>
        <w:rPr>
          <w:rFonts w:ascii="Arial" w:cs="Arial" w:eastAsia="Arial" w:hAnsi="Arial"/>
          <w:sz w:val="16"/>
          <w:szCs w:val="16"/>
          <w:color w:val="auto"/>
        </w:rPr>
      </w:pPr>
    </w:p>
    <w:p>
      <w:pPr>
        <w:ind w:left="4" w:right="260" w:firstLine="987"/>
        <w:spacing w:after="0" w:line="286" w:lineRule="auto"/>
        <w:tabs>
          <w:tab w:leader="none" w:pos="1385" w:val="left"/>
        </w:tabs>
        <w:numPr>
          <w:ilvl w:val="2"/>
          <w:numId w:val="1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Certain Distributions. </w:t>
      </w:r>
      <w:r>
        <w:rPr>
          <w:rFonts w:ascii="Arial" w:cs="Arial" w:eastAsia="Arial" w:hAnsi="Arial"/>
          <w:sz w:val="16"/>
          <w:szCs w:val="16"/>
          <w:color w:val="auto"/>
        </w:rPr>
        <w:t>In accordance with Section 500 of the California Corporations Code a distribution can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regard to any preferential dividends arrears amount or any preferential rights amount (each as defined in Section 500 of the California Corporations Code) in connection with (i) repurchases of Common Stock issued to or held by employees, officers, directors or consultants of the Corporation or its subsidiaries upon termination of their employment or services pursuant to agreements providing for the right of said repurchase,</w:t>
      </w:r>
    </w:p>
    <w:p>
      <w:pPr>
        <w:spacing w:after="0" w:line="1" w:lineRule="exact"/>
        <w:rPr>
          <w:rFonts w:ascii="Arial" w:cs="Arial" w:eastAsia="Arial" w:hAnsi="Arial"/>
          <w:sz w:val="16"/>
          <w:szCs w:val="16"/>
          <w:color w:val="auto"/>
        </w:rPr>
      </w:pPr>
    </w:p>
    <w:p>
      <w:pPr>
        <w:jc w:val="both"/>
        <w:ind w:left="4" w:right="320" w:hanging="4"/>
        <w:spacing w:after="0" w:line="281" w:lineRule="auto"/>
        <w:tabs>
          <w:tab w:leader="none" w:pos="26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repurchases of Common Stock issued to or held by employees, officers, directors or consultants of the Corporation or its subsidiaries pursuant to rights of first refusal contained in agreements providing for such right, (iii) repurchases of Common Stock or Preferred Stock in connection with the settlement of disputes with any stockholder approved by the Board of Directors (including a majority of the then-serving Preferred Directors), or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any other repurchase or redemption of Common Stock or Preferred Stock approved by the holders of Preferred Stock of the Corporation.</w:t>
      </w:r>
    </w:p>
    <w:p>
      <w:pPr>
        <w:spacing w:after="0" w:line="326" w:lineRule="exact"/>
        <w:rPr>
          <w:rFonts w:ascii="Arial" w:cs="Arial" w:eastAsia="Arial" w:hAnsi="Arial"/>
          <w:sz w:val="17"/>
          <w:szCs w:val="17"/>
          <w:color w:val="auto"/>
        </w:rPr>
      </w:pPr>
    </w:p>
    <w:p>
      <w:pPr>
        <w:ind w:left="984" w:hanging="544"/>
        <w:spacing w:after="0"/>
        <w:tabs>
          <w:tab w:leader="none" w:pos="984"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Liquidation Rights.</w:t>
      </w:r>
    </w:p>
    <w:p>
      <w:pPr>
        <w:spacing w:after="0" w:line="121" w:lineRule="exact"/>
        <w:rPr>
          <w:rFonts w:ascii="Arial" w:cs="Arial" w:eastAsia="Arial" w:hAnsi="Arial"/>
          <w:sz w:val="18"/>
          <w:szCs w:val="18"/>
          <w:b w:val="1"/>
          <w:bCs w:val="1"/>
          <w:color w:val="auto"/>
        </w:rPr>
      </w:pPr>
    </w:p>
    <w:p>
      <w:pPr>
        <w:ind w:left="4" w:firstLine="987"/>
        <w:spacing w:after="0" w:line="287" w:lineRule="auto"/>
        <w:tabs>
          <w:tab w:leader="none" w:pos="1375" w:val="left"/>
        </w:tabs>
        <w:numPr>
          <w:ilvl w:val="2"/>
          <w:numId w:val="1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any liquidation, dissolution or winding up of the Corporation, either voluntary or involuntary,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holders of the Preferred Stock shall be entitled to receive, prior and in preference to any Distribution of any of the assets of the Corporation to the holders of the Common Stock by reason of their ownership of such stock, an amount per each share of Preferred Stock held by them equal to the sum of</w:t>
      </w:r>
    </w:p>
    <w:p>
      <w:pPr>
        <w:spacing w:after="0" w:line="2" w:lineRule="exact"/>
        <w:rPr>
          <w:rFonts w:ascii="Arial" w:cs="Arial" w:eastAsia="Arial" w:hAnsi="Arial"/>
          <w:sz w:val="16"/>
          <w:szCs w:val="16"/>
          <w:color w:val="auto"/>
        </w:rPr>
      </w:pPr>
    </w:p>
    <w:p>
      <w:pPr>
        <w:ind w:left="4" w:right="40" w:hanging="4"/>
        <w:spacing w:after="0" w:line="271" w:lineRule="auto"/>
        <w:tabs>
          <w:tab w:leader="none" w:pos="21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the Liquidation Preference specified for such series of Preferred Stock and (ii) all declared but unpaid dividends (if any) on such series of Preferred Stock. If upon the liquidation, dissolution or winding up of the Corporation, the assets of the Corporation legally available for distribution to the holders of the Preferred Stock are insufficient to permit the payment to such holders of the full amounts specified in this Section 3(a), then the entire assets of the Corporation legally available for distribution shall be distributed with equal priority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holders of the Preferred Stock in proportion to the full amounts they would otherwise be entitled to receive pursuant to this Section 3(a).</w:t>
      </w:r>
    </w:p>
    <w:p>
      <w:pPr>
        <w:spacing w:after="0" w:line="178" w:lineRule="exact"/>
        <w:rPr>
          <w:rFonts w:ascii="Arial" w:cs="Arial" w:eastAsia="Arial" w:hAnsi="Arial"/>
          <w:sz w:val="17"/>
          <w:szCs w:val="17"/>
          <w:color w:val="auto"/>
        </w:rPr>
      </w:pPr>
    </w:p>
    <w:p>
      <w:pPr>
        <w:ind w:left="4" w:firstLine="987"/>
        <w:spacing w:after="0" w:line="263" w:lineRule="auto"/>
        <w:tabs>
          <w:tab w:leader="none" w:pos="1385" w:val="left"/>
        </w:tabs>
        <w:numPr>
          <w:ilvl w:val="2"/>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Remaining Assets. </w:t>
      </w:r>
      <w:r>
        <w:rPr>
          <w:rFonts w:ascii="Arial" w:cs="Arial" w:eastAsia="Arial" w:hAnsi="Arial"/>
          <w:sz w:val="18"/>
          <w:szCs w:val="18"/>
          <w:color w:val="auto"/>
        </w:rPr>
        <w:t>After the payment or setting aside for payment to the holders of the Preferred Stock of the full amounts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Section 3(a), the remaining assets of the Corporation legally available for distribution shall be distributed with equal priority and ratably to the holders of the Common Stock in proportion to the number of shares of Common Stock held by them.</w:t>
      </w:r>
    </w:p>
    <w:p>
      <w:pPr>
        <w:spacing w:after="0" w:line="183" w:lineRule="exact"/>
        <w:rPr>
          <w:rFonts w:ascii="Arial" w:cs="Arial" w:eastAsia="Arial" w:hAnsi="Arial"/>
          <w:sz w:val="18"/>
          <w:szCs w:val="18"/>
          <w:color w:val="auto"/>
        </w:rPr>
      </w:pPr>
    </w:p>
    <w:p>
      <w:pPr>
        <w:ind w:left="4" w:right="340" w:firstLine="987"/>
        <w:spacing w:after="0" w:line="254" w:lineRule="auto"/>
        <w:tabs>
          <w:tab w:leader="none" w:pos="1375" w:val="left"/>
        </w:tabs>
        <w:numPr>
          <w:ilvl w:val="2"/>
          <w:numId w:val="1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Reorganization. </w:t>
      </w:r>
      <w:r>
        <w:rPr>
          <w:rFonts w:ascii="Arial" w:cs="Arial" w:eastAsia="Arial" w:hAnsi="Arial"/>
          <w:sz w:val="18"/>
          <w:szCs w:val="18"/>
          <w:color w:val="auto"/>
        </w:rPr>
        <w:t>For purposes of this Section 3, a liquidation, dissolution or winding up of the Corporation shall be deemed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occasioned by, or to include, (i) the acquisition of the Corporation by another entity, or the acquisition by the Corporation or a subsidiary of the Corporation of another entity, by means of any transaction or series of related transactions to which the Corporation is party (including, without limitation, any stock acquisition, reorganization, merger or consolidation but excluding any sale of stock for capital raising purposes) other than a transaction or series of related transactions in which the holders of the voting securities of the Corporation outstanding immediately prior to such transaction or series of transactions retain (either by such voting securities remaining outstanding or by such voting securities being converted into voting securities of the surviving entity), immediately after such transaction or series of transactions, as a result of shares in the Corporation held by such holders</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81" w:name="page282"/>
    <w:bookmarkEnd w:id="28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such transaction or series of transactions, a majority of the total voting power represented by the outstanding voting securities of the Corporation or such other surviving or resulting entity (or if the Corporation or such other surviving or resulting entity is a wholly-owned subsidiary immediately following such acquisition, its parent); (ii) a sale, lease, exclusive license or other disposition or conveyance of all or substantially all of the assets (including intellectual property) of the Corporation and its subsidiaries taken as a whole by means of any transaction or series of related transactions, except where such sale, lease or other disposition is to a wholly-owned subsidiary of the Corporation (clauses (i) and (ii), a “</w:t>
      </w:r>
      <w:r>
        <w:rPr>
          <w:rFonts w:ascii="Arial" w:cs="Arial" w:eastAsia="Arial" w:hAnsi="Arial"/>
          <w:sz w:val="18"/>
          <w:szCs w:val="18"/>
          <w:b w:val="1"/>
          <w:bCs w:val="1"/>
          <w:i w:val="1"/>
          <w:iCs w:val="1"/>
          <w:color w:val="auto"/>
        </w:rPr>
        <w:t>Deemed Liquidation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Event</w:t>
      </w:r>
      <w:r>
        <w:rPr>
          <w:rFonts w:ascii="Arial" w:cs="Arial" w:eastAsia="Arial" w:hAnsi="Arial"/>
          <w:sz w:val="18"/>
          <w:szCs w:val="18"/>
          <w:color w:val="auto"/>
        </w:rPr>
        <w:t>” and clause (i), an “</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or (iii) any liquidation, dissolution or winding up of the Corporation, whether voluntary or involuntary.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any transaction or series of related transactions as a liquidation, dissolution or winding up pursuant to clause (i) or (ii) of the preceding sentence may be waived by the consent or vote of the holders of a majority of the outstanding Preferred Stock, voting together as a single class and on an as-converted basis.</w:t>
      </w:r>
    </w:p>
    <w:p>
      <w:pPr>
        <w:spacing w:after="0" w:line="196" w:lineRule="exact"/>
        <w:rPr>
          <w:sz w:val="20"/>
          <w:szCs w:val="20"/>
          <w:color w:val="auto"/>
        </w:rPr>
      </w:pPr>
    </w:p>
    <w:p>
      <w:pPr>
        <w:ind w:right="20" w:firstLine="987"/>
        <w:spacing w:after="0" w:line="259" w:lineRule="auto"/>
        <w:tabs>
          <w:tab w:leader="none" w:pos="1426"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Non-Cash Consideration. </w:t>
      </w:r>
      <w:r>
        <w:rPr>
          <w:rFonts w:ascii="Arial" w:cs="Arial" w:eastAsia="Arial" w:hAnsi="Arial"/>
          <w:sz w:val="18"/>
          <w:szCs w:val="18"/>
          <w:color w:val="auto"/>
        </w:rPr>
        <w:t>If any assets of the Corporation distributed to stockholders in connection with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liquidation, dissolution, or winding up of the Corporation are other than cash, then the value of such assets shall be their fair market value as determined in good faith by the Board of Directors, </w:t>
      </w:r>
      <w:r>
        <w:rPr>
          <w:rFonts w:ascii="Arial" w:cs="Arial" w:eastAsia="Arial" w:hAnsi="Arial"/>
          <w:sz w:val="18"/>
          <w:szCs w:val="18"/>
          <w:i w:val="1"/>
          <w:iCs w:val="1"/>
          <w:color w:val="auto"/>
        </w:rPr>
        <w:t>except that</w:t>
      </w:r>
      <w:r>
        <w:rPr>
          <w:rFonts w:ascii="Arial" w:cs="Arial" w:eastAsia="Arial" w:hAnsi="Arial"/>
          <w:sz w:val="18"/>
          <w:szCs w:val="18"/>
          <w:color w:val="auto"/>
        </w:rPr>
        <w:t xml:space="preserve"> any publicly-traded securities to be distributed to stockholders in a liquidation, dissolution, or winding up of the Corporation shall be valued as follows:</w:t>
      </w:r>
    </w:p>
    <w:p>
      <w:pPr>
        <w:spacing w:after="0" w:line="186" w:lineRule="exact"/>
        <w:rPr>
          <w:rFonts w:ascii="Arial" w:cs="Arial" w:eastAsia="Arial" w:hAnsi="Arial"/>
          <w:sz w:val="18"/>
          <w:szCs w:val="18"/>
          <w:color w:val="auto"/>
        </w:rPr>
      </w:pPr>
    </w:p>
    <w:p>
      <w:pPr>
        <w:ind w:right="360" w:firstLine="1428"/>
        <w:spacing w:after="0" w:line="263" w:lineRule="auto"/>
        <w:tabs>
          <w:tab w:leader="none" w:pos="182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the securities are then traded on a national securities exchange, then the value of the securities shall be deemed to be the average of the closing prices of the securities on such exchange over the ten (10) trading day period ending five (5) trading days prior to the Distribution; and</w:t>
      </w:r>
    </w:p>
    <w:p>
      <w:pPr>
        <w:spacing w:after="0" w:line="183" w:lineRule="exact"/>
        <w:rPr>
          <w:rFonts w:ascii="Arial" w:cs="Arial" w:eastAsia="Arial" w:hAnsi="Arial"/>
          <w:sz w:val="18"/>
          <w:szCs w:val="18"/>
          <w:color w:val="auto"/>
        </w:rPr>
      </w:pPr>
    </w:p>
    <w:p>
      <w:pPr>
        <w:ind w:right="240" w:firstLine="1428"/>
        <w:spacing w:after="0" w:line="308" w:lineRule="auto"/>
        <w:tabs>
          <w:tab w:leader="none" w:pos="1832"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if the securities are actively traded over-the-counter, then the value of the securities shall be deemed to be the average of the closing bid prices of the securities over the ten (10) trading day period ending five (5) trading days prior to the Distribution.</w:t>
      </w:r>
    </w:p>
    <w:p>
      <w:pPr>
        <w:spacing w:after="0" w:line="146"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In the event of a merger or other acquisition of the Corporation by another entity, the Distribution date shall be deemed to be the date such transaction closes.</w:t>
      </w:r>
    </w:p>
    <w:p>
      <w:pPr>
        <w:spacing w:after="0" w:line="17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For the purposes of this subsection 3(d), “</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mean any day which the exchange or system on which the securities to be distributed are traded is open and “</w:t>
      </w:r>
      <w:r>
        <w:rPr>
          <w:rFonts w:ascii="Arial" w:cs="Arial" w:eastAsia="Arial" w:hAnsi="Arial"/>
          <w:sz w:val="17"/>
          <w:szCs w:val="17"/>
          <w:b w:val="1"/>
          <w:bCs w:val="1"/>
          <w:i w:val="1"/>
          <w:iCs w:val="1"/>
          <w:color w:val="auto"/>
        </w:rPr>
        <w:t>closing prices</w:t>
      </w:r>
      <w:r>
        <w:rPr>
          <w:rFonts w:ascii="Arial" w:cs="Arial" w:eastAsia="Arial" w:hAnsi="Arial"/>
          <w:sz w:val="17"/>
          <w:szCs w:val="17"/>
          <w:color w:val="auto"/>
        </w:rPr>
        <w:t>” or “</w:t>
      </w:r>
      <w:r>
        <w:rPr>
          <w:rFonts w:ascii="Arial" w:cs="Arial" w:eastAsia="Arial" w:hAnsi="Arial"/>
          <w:sz w:val="17"/>
          <w:szCs w:val="17"/>
          <w:b w:val="1"/>
          <w:bCs w:val="1"/>
          <w:i w:val="1"/>
          <w:iCs w:val="1"/>
          <w:color w:val="auto"/>
        </w:rPr>
        <w:t>closing bid prices</w:t>
      </w:r>
      <w:r>
        <w:rPr>
          <w:rFonts w:ascii="Arial" w:cs="Arial" w:eastAsia="Arial" w:hAnsi="Arial"/>
          <w:sz w:val="17"/>
          <w:szCs w:val="17"/>
          <w:color w:val="auto"/>
        </w:rPr>
        <w:t>” shall be deemed to be: (i) for securities traded primarily on the New York Stock Exchange, the NYSE American or a Nasdaq Stock Market,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177" w:lineRule="exact"/>
        <w:rPr>
          <w:sz w:val="20"/>
          <w:szCs w:val="20"/>
          <w:color w:val="auto"/>
        </w:rPr>
      </w:pPr>
    </w:p>
    <w:p>
      <w:pPr>
        <w:ind w:right="120" w:firstLine="987"/>
        <w:spacing w:after="0" w:line="291" w:lineRule="auto"/>
        <w:tabs>
          <w:tab w:leader="none" w:pos="1416" w:val="left"/>
        </w:tabs>
        <w:numPr>
          <w:ilvl w:val="0"/>
          <w:numId w:val="176"/>
        </w:numPr>
        <w:rPr>
          <w:rFonts w:ascii="Arial" w:cs="Arial" w:eastAsia="Arial" w:hAnsi="Arial"/>
          <w:sz w:val="16"/>
          <w:szCs w:val="16"/>
          <w:color w:val="auto"/>
        </w:rPr>
      </w:pPr>
      <w:r>
        <w:rPr>
          <w:rFonts w:ascii="Arial" w:cs="Arial" w:eastAsia="Arial" w:hAnsi="Arial"/>
          <w:sz w:val="16"/>
          <w:szCs w:val="16"/>
          <w:b w:val="1"/>
          <w:bCs w:val="1"/>
          <w:i w:val="1"/>
          <w:iCs w:val="1"/>
          <w:color w:val="auto"/>
        </w:rPr>
        <w:t>Allocation of Escrow and Contingent Consideration</w:t>
      </w:r>
      <w:r>
        <w:rPr>
          <w:rFonts w:ascii="Arial" w:cs="Arial" w:eastAsia="Arial" w:hAnsi="Arial"/>
          <w:sz w:val="16"/>
          <w:szCs w:val="16"/>
          <w:color w:val="auto"/>
        </w:rPr>
        <w:t>. In the event of a Deemed Liquidation Event, if any portion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payable to the stockholders of the Corporation is placed into escrow and/or is payable to the stockholders of the Corporation subject to contingencies, including but not limited to contingent payments, earn-outs or escrows (the “</w:t>
      </w:r>
      <w:r>
        <w:rPr>
          <w:rFonts w:ascii="Arial" w:cs="Arial" w:eastAsia="Arial" w:hAnsi="Arial"/>
          <w:sz w:val="16"/>
          <w:szCs w:val="16"/>
          <w:b w:val="1"/>
          <w:bCs w:val="1"/>
          <w:i w:val="1"/>
          <w:iCs w:val="1"/>
          <w:color w:val="auto"/>
        </w:rPr>
        <w:t>Additional Consideration</w:t>
      </w:r>
      <w:r>
        <w:rPr>
          <w:rFonts w:ascii="Arial" w:cs="Arial" w:eastAsia="Arial" w:hAnsi="Arial"/>
          <w:sz w:val="16"/>
          <w:szCs w:val="16"/>
          <w:color w:val="auto"/>
        </w:rPr>
        <w:t>”), the agreement governing the Deemed Liquidation Event shall provide that (i) the portion of such consideration that is actually paid to stockholders and not placed in escrow and not subject to any contingencies (the “</w:t>
      </w:r>
      <w:r>
        <w:rPr>
          <w:rFonts w:ascii="Arial" w:cs="Arial" w:eastAsia="Arial" w:hAnsi="Arial"/>
          <w:sz w:val="16"/>
          <w:szCs w:val="16"/>
          <w:b w:val="1"/>
          <w:bCs w:val="1"/>
          <w:i w:val="1"/>
          <w:iCs w:val="1"/>
          <w:color w:val="auto"/>
        </w:rPr>
        <w:t>Initial Consideration</w:t>
      </w:r>
      <w:r>
        <w:rPr>
          <w:rFonts w:ascii="Arial" w:cs="Arial" w:eastAsia="Arial" w:hAnsi="Arial"/>
          <w:sz w:val="16"/>
          <w:szCs w:val="16"/>
          <w:color w:val="auto"/>
        </w:rPr>
        <w:t>”) shall be allocated among the holders of capital stock of the Corporation in accordance with Section 3 hereof as if the Initial Consideration were the only consideration payable in connection with such Deemed Liquidation Event and (ii) any Additional Consideration that becomes payable to the stockholders of the Corporation upon release from escrow or satisfaction of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82" w:name="page283"/>
    <w:bookmarkEnd w:id="28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contingencies shall be allocated among the holders of capital stock of the Corporation in accordance with Section 3 hereof, after taking into account the previous payment of the Initial Consideration as part of the same transaction, with such calculation being performed each time Additional Consideration is paid in connection with such Deemed Liquidation Event. For purposes of this Section 3(e), consideration placed into escrow or retained as a holdback to be available for satisfaction of indemnification or similar obligations in connection with such Deemed Liquidation Event shall be deemed to be Additional Consideration.</w:t>
      </w:r>
    </w:p>
    <w:p>
      <w:pPr>
        <w:spacing w:after="0" w:line="188" w:lineRule="exact"/>
        <w:rPr>
          <w:sz w:val="20"/>
          <w:szCs w:val="20"/>
          <w:color w:val="auto"/>
        </w:rPr>
      </w:pPr>
    </w:p>
    <w:p>
      <w:pPr>
        <w:ind w:right="60" w:firstLine="987"/>
        <w:spacing w:after="0" w:line="293" w:lineRule="auto"/>
        <w:tabs>
          <w:tab w:leader="none" w:pos="1351" w:val="left"/>
        </w:tabs>
        <w:numPr>
          <w:ilvl w:val="1"/>
          <w:numId w:val="177"/>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3, upon any liquidation, dissolution or winding up (including a Deemed Liquidation Event), then each holder of Preferred Stock shall be entitled to receive, for each share of each series of Preferred Stock then held, out of the proceeds available for distribution, the greater of (i) the amount of cash, securities or other property to which such holder would be entitled to receive with respect to such shares pursuant to Section 3(a) (without giving effect to this Section 3(f)) and (ii) the amount of cash, securities or other property to which such holder would be entitled to receive with respect to such shares if such shares had been converted to Common Stock immediately prior to such liquidation, dissolution or winding up, giving effect to this Section 3(f) with respect to all series of Preferred Stock simultaneously.</w:t>
      </w:r>
    </w:p>
    <w:p>
      <w:pPr>
        <w:spacing w:after="0" w:line="268" w:lineRule="exact"/>
        <w:rPr>
          <w:rFonts w:ascii="Arial" w:cs="Arial" w:eastAsia="Arial" w:hAnsi="Arial"/>
          <w:sz w:val="16"/>
          <w:szCs w:val="16"/>
          <w:color w:val="auto"/>
        </w:rPr>
      </w:pPr>
    </w:p>
    <w:p>
      <w:pPr>
        <w:ind w:left="980" w:hanging="544"/>
        <w:spacing w:after="0"/>
        <w:tabs>
          <w:tab w:leader="none" w:pos="9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The holders of the Preferred Stock shall have conversion rights as follows:</w:t>
      </w:r>
    </w:p>
    <w:p>
      <w:pPr>
        <w:spacing w:after="0" w:line="121" w:lineRule="exact"/>
        <w:rPr>
          <w:rFonts w:ascii="Arial" w:cs="Arial" w:eastAsia="Arial" w:hAnsi="Arial"/>
          <w:sz w:val="18"/>
          <w:szCs w:val="18"/>
          <w:b w:val="1"/>
          <w:bCs w:val="1"/>
          <w:color w:val="auto"/>
        </w:rPr>
      </w:pPr>
    </w:p>
    <w:p>
      <w:pPr>
        <w:ind w:right="20" w:firstLine="987"/>
        <w:spacing w:after="0" w:line="293" w:lineRule="auto"/>
        <w:tabs>
          <w:tab w:leader="none" w:pos="1371" w:val="left"/>
        </w:tabs>
        <w:numPr>
          <w:ilvl w:val="1"/>
          <w:numId w:val="1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Convert. </w:t>
      </w:r>
      <w:r>
        <w:rPr>
          <w:rFonts w:ascii="Arial" w:cs="Arial" w:eastAsia="Arial" w:hAnsi="Arial"/>
          <w:sz w:val="16"/>
          <w:szCs w:val="16"/>
          <w:color w:val="auto"/>
        </w:rPr>
        <w:t>Each share of Preferred Stock shall be convertible, at the option of the holder thereof, at any time after the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 of such share at the office of the Corporation or any transfer agent for the Preferred Stock, into that number of fully-paid, nonassessable shares of Common Stock determined by dividing the Original Issue Price for the relevant series of Preferred Stock by the Conversion Price for such series of Preferred Stock. The number of shares of Common Stock into which each share of Preferred Stock of a series may be converted is hereinafter referred to as the “</w:t>
      </w:r>
      <w:r>
        <w:rPr>
          <w:rFonts w:ascii="Arial" w:cs="Arial" w:eastAsia="Arial" w:hAnsi="Arial"/>
          <w:sz w:val="16"/>
          <w:szCs w:val="16"/>
          <w:b w:val="1"/>
          <w:bCs w:val="1"/>
          <w:i w:val="1"/>
          <w:iCs w:val="1"/>
          <w:color w:val="auto"/>
        </w:rPr>
        <w:t>Conversion Rate</w:t>
      </w:r>
      <w:r>
        <w:rPr>
          <w:rFonts w:ascii="Arial" w:cs="Arial" w:eastAsia="Arial" w:hAnsi="Arial"/>
          <w:sz w:val="16"/>
          <w:szCs w:val="16"/>
          <w:color w:val="auto"/>
        </w:rPr>
        <w:t>” for each such series of Preferred Stock. Upon any decrease or increase in the Conversion Price for any series of Preferred Stock, as described in this Section 4, the Conversion Rate for such series of Preferred Stock shall be appropriately increased or decreased.</w:t>
      </w:r>
    </w:p>
    <w:p>
      <w:pPr>
        <w:spacing w:after="0" w:line="164" w:lineRule="exact"/>
        <w:rPr>
          <w:rFonts w:ascii="Arial" w:cs="Arial" w:eastAsia="Arial" w:hAnsi="Arial"/>
          <w:sz w:val="16"/>
          <w:szCs w:val="16"/>
          <w:color w:val="auto"/>
        </w:rPr>
      </w:pPr>
    </w:p>
    <w:p>
      <w:pPr>
        <w:ind w:firstLine="987"/>
        <w:spacing w:after="0" w:line="287" w:lineRule="auto"/>
        <w:tabs>
          <w:tab w:leader="none" w:pos="1381" w:val="left"/>
        </w:tabs>
        <w:numPr>
          <w:ilvl w:val="1"/>
          <w:numId w:val="1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Automatic Conversion. </w:t>
      </w:r>
      <w:r>
        <w:rPr>
          <w:rFonts w:ascii="Arial" w:cs="Arial" w:eastAsia="Arial" w:hAnsi="Arial"/>
          <w:sz w:val="16"/>
          <w:szCs w:val="16"/>
          <w:color w:val="auto"/>
        </w:rPr>
        <w:t>Each share of Preferred Stock shall automatically be converted into fully-paid, non-assessable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at the then effective Conversion Rate for such share (i) immediately prior to the closing of a firm commitment underwritten initial public offering pursuant to an effective registration statement filed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covering the offer and sale of the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gross proceeds to the Corporation are not less than $75,000,000 (a “</w:t>
      </w:r>
      <w:r>
        <w:rPr>
          <w:rFonts w:ascii="Arial" w:cs="Arial" w:eastAsia="Arial" w:hAnsi="Arial"/>
          <w:sz w:val="16"/>
          <w:szCs w:val="16"/>
          <w:b w:val="1"/>
          <w:bCs w:val="1"/>
          <w:i w:val="1"/>
          <w:iCs w:val="1"/>
          <w:color w:val="auto"/>
        </w:rPr>
        <w:t>Qualified IPO</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with respect to a Qualified IPO at which the price per share to the public of the Common Stock is less than $2.59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from time to time for Recapitalizations as set forth elsewhere herein), shall also require the written consent of the holders of a majority of the Series C Preferred Stock then outstanding, voting as a separate class; or (ii) upon the receipt by the Corporation of a written request for such conversion from the holders of a majority of the Preferred Stock then outstanding, voting together as a single class on an as-converted basis, or, if later, the effective date for conversion specified in such requests (each of the events referred to in (i) and (ii) are referred to herein as an “</w:t>
      </w:r>
      <w:r>
        <w:rPr>
          <w:rFonts w:ascii="Arial" w:cs="Arial" w:eastAsia="Arial" w:hAnsi="Arial"/>
          <w:sz w:val="16"/>
          <w:szCs w:val="16"/>
          <w:b w:val="1"/>
          <w:bCs w:val="1"/>
          <w:i w:val="1"/>
          <w:iCs w:val="1"/>
          <w:color w:val="auto"/>
        </w:rPr>
        <w:t>Automatic Conversion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 respect to subclause (ii), in the event that such consent to conversion is in connection with a firm commitment underwritten</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pursuant to an effective registration statement filed under the Securities Act, the consent of the holders of at least 75% of the shares of Preferred Stock then outstanding, voting together as a single class on an as-converted basis, shall also be required.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83" w:name="page284"/>
    <w:bookmarkEnd w:id="283"/>
    <w:p>
      <w:pPr>
        <w:ind w:left="1420" w:hanging="433"/>
        <w:spacing w:after="0"/>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Conversion.</w:t>
      </w:r>
    </w:p>
    <w:p>
      <w:pPr>
        <w:spacing w:after="0" w:line="117" w:lineRule="exact"/>
        <w:rPr>
          <w:rFonts w:ascii="Arial" w:cs="Arial" w:eastAsia="Arial" w:hAnsi="Arial"/>
          <w:sz w:val="18"/>
          <w:szCs w:val="18"/>
          <w:color w:val="auto"/>
        </w:rPr>
      </w:pPr>
    </w:p>
    <w:p>
      <w:pPr>
        <w:ind w:right="40" w:firstLine="1428"/>
        <w:spacing w:after="0" w:line="279" w:lineRule="auto"/>
        <w:tabs>
          <w:tab w:leader="none" w:pos="187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w:t>
      </w:r>
    </w:p>
    <w:p>
      <w:pPr>
        <w:spacing w:after="0" w:line="171" w:lineRule="exact"/>
        <w:rPr>
          <w:rFonts w:ascii="Arial" w:cs="Arial" w:eastAsia="Arial" w:hAnsi="Arial"/>
          <w:sz w:val="17"/>
          <w:szCs w:val="17"/>
          <w:color w:val="auto"/>
        </w:rPr>
      </w:pPr>
    </w:p>
    <w:p>
      <w:pPr>
        <w:ind w:firstLine="1428"/>
        <w:spacing w:after="0" w:line="284" w:lineRule="auto"/>
        <w:tabs>
          <w:tab w:leader="none" w:pos="187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Before any holder of Preferred Stock shall be entitled to convert the same into full shares of Common Stock, and to receive certificates therefor, the holder shall either (A) surrender the certificate or certificates therefor, duly endorsed, at the office of the Corporation or of any transfer agent for the Preferred Stock or (B) notify the Corporation or its transfer agent that such certificates have been lost, stolen or destroyed and execute an agreement satisfactory to the Corporation to indemnify the Corporation from any loss incurred by it in connection with such certificates, and shall give written notice to the Corporation at such office that the holder elects to convert the same;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on the date of an Automatic Conversion Event, the outstanding shares of Preferred Stock convertible into Common Stock in connection therewith shall be converted automatically without any further action by the holders of such shares and whether or not the certificates representing such shares are surrendered to the Corporation or its transfer agent;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The Corporation shall, as soon as practicable after such delivery, or after such agreement and indemnification, issue and deliver at such office to such holder of Preferred Stock, (i) a certificate or certificates for the number of shares of Common Stock to which the holder shall be entitled as aforesaid, (ii) a certificate for the number (if any) of the shares of Preferred Stock represented by the surrendered certificate that were not converted into Common Stock and (iii)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conversion is in connection with an underwritten offer of securities registered pursuant to the Securities Act or a merger, sale, financing, or liquidation of the Corporation or other event, the conversion may, at the option of any holder tendering Preferred Stock for conversion, be conditioned upon the closing of such transaction or upon the occurrence of such event, in which case the person(s) entitled to receive the Common Stock issuable upon such conversion of the Preferred Stock shall not be deemed to have converted such Preferred Stock until immediately prior to the closing of such transaction or the occurrence of such event.</w:t>
      </w:r>
    </w:p>
    <w:p>
      <w:pPr>
        <w:spacing w:after="0" w:line="176" w:lineRule="exact"/>
        <w:rPr>
          <w:rFonts w:ascii="Arial" w:cs="Arial" w:eastAsia="Arial" w:hAnsi="Arial"/>
          <w:sz w:val="16"/>
          <w:szCs w:val="16"/>
          <w:color w:val="auto"/>
        </w:rPr>
      </w:pPr>
    </w:p>
    <w:p>
      <w:pPr>
        <w:ind w:right="200" w:firstLine="1428"/>
        <w:spacing w:after="0" w:line="275" w:lineRule="auto"/>
        <w:tabs>
          <w:tab w:leader="none" w:pos="188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On the date of the occurrence of an Automatic Conversion Event, each holder of record of shares of Preferred Stock convertible into Common Stock in connection therewith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84" w:name="page285"/>
    <w:bookmarkEnd w:id="284"/>
    <w:p>
      <w:pPr>
        <w:ind w:left="1360" w:hanging="393"/>
        <w:spacing w:after="0"/>
        <w:tabs>
          <w:tab w:leader="none" w:pos="1360" w:val="left"/>
        </w:tabs>
        <w:numPr>
          <w:ilvl w:val="0"/>
          <w:numId w:val="18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 to Conversion Price for Diluting Issues.</w:t>
      </w:r>
    </w:p>
    <w:p>
      <w:pPr>
        <w:spacing w:after="0" w:line="117" w:lineRule="exact"/>
        <w:rPr>
          <w:rFonts w:ascii="Arial" w:cs="Arial" w:eastAsia="Arial" w:hAnsi="Arial"/>
          <w:sz w:val="18"/>
          <w:szCs w:val="18"/>
          <w:color w:val="auto"/>
        </w:rPr>
      </w:pPr>
    </w:p>
    <w:p>
      <w:pPr>
        <w:jc w:val="both"/>
        <w:ind w:left="-20" w:right="280" w:firstLine="1428"/>
        <w:spacing w:after="0" w:line="263" w:lineRule="auto"/>
        <w:tabs>
          <w:tab w:leader="none" w:pos="1762" w:val="left"/>
        </w:tabs>
        <w:numPr>
          <w:ilvl w:val="1"/>
          <w:numId w:val="1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Definition. </w:t>
      </w:r>
      <w:r>
        <w:rPr>
          <w:rFonts w:ascii="Arial" w:cs="Arial" w:eastAsia="Arial" w:hAnsi="Arial"/>
          <w:sz w:val="18"/>
          <w:szCs w:val="18"/>
          <w:color w:val="auto"/>
        </w:rPr>
        <w:t>For purposes of this paragraph 4(d), “</w:t>
      </w:r>
      <w:r>
        <w:rPr>
          <w:rFonts w:ascii="Arial" w:cs="Arial" w:eastAsia="Arial" w:hAnsi="Arial"/>
          <w:sz w:val="18"/>
          <w:szCs w:val="18"/>
          <w:b w:val="1"/>
          <w:bCs w:val="1"/>
          <w:i w:val="1"/>
          <w:iCs w:val="1"/>
          <w:color w:val="auto"/>
        </w:rPr>
        <w:t>Additional Shares of Common</w:t>
      </w:r>
      <w:r>
        <w:rPr>
          <w:rFonts w:ascii="Arial" w:cs="Arial" w:eastAsia="Arial" w:hAnsi="Arial"/>
          <w:sz w:val="18"/>
          <w:szCs w:val="18"/>
          <w:color w:val="auto"/>
        </w:rPr>
        <w:t>” shall mean all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issued (or, pursuant to paragraph 4(d)(iii), deemed to be issued) by the Corporation after the filing of this Amended and Restated Certificate of Incorporation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other than issuances or deemed issuances of:</w:t>
      </w:r>
    </w:p>
    <w:p>
      <w:pPr>
        <w:spacing w:after="0" w:line="183" w:lineRule="exact"/>
        <w:rPr>
          <w:rFonts w:ascii="Arial" w:cs="Arial" w:eastAsia="Arial" w:hAnsi="Arial"/>
          <w:sz w:val="18"/>
          <w:szCs w:val="18"/>
          <w:color w:val="auto"/>
        </w:rPr>
      </w:pPr>
    </w:p>
    <w:p>
      <w:pPr>
        <w:ind w:left="2120" w:hanging="382"/>
        <w:spacing w:after="0"/>
        <w:tabs>
          <w:tab w:leader="none" w:pos="212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shares of Common Stock upon the conversion of the Preferred Stock;</w:t>
      </w:r>
    </w:p>
    <w:p>
      <w:pPr>
        <w:spacing w:after="0" w:line="225" w:lineRule="exact"/>
        <w:rPr>
          <w:rFonts w:ascii="Arial" w:cs="Arial" w:eastAsia="Arial" w:hAnsi="Arial"/>
          <w:sz w:val="18"/>
          <w:szCs w:val="18"/>
          <w:color w:val="auto"/>
        </w:rPr>
      </w:pPr>
    </w:p>
    <w:p>
      <w:pPr>
        <w:ind w:left="-20" w:firstLine="1758"/>
        <w:spacing w:after="0" w:line="259" w:lineRule="auto"/>
        <w:tabs>
          <w:tab w:leader="none" w:pos="2132" w:val="left"/>
        </w:tabs>
        <w:numPr>
          <w:ilvl w:val="2"/>
          <w:numId w:val="180"/>
        </w:numPr>
        <w:rPr>
          <w:rFonts w:ascii="Arial" w:cs="Arial" w:eastAsia="Arial" w:hAnsi="Arial"/>
          <w:sz w:val="18"/>
          <w:szCs w:val="18"/>
          <w:color w:val="auto"/>
        </w:rPr>
      </w:pPr>
      <w:r>
        <w:rPr>
          <w:rFonts w:ascii="Arial" w:cs="Arial" w:eastAsia="Arial" w:hAnsi="Arial"/>
          <w:sz w:val="18"/>
          <w:szCs w:val="18"/>
          <w:color w:val="auto"/>
        </w:rPr>
        <w:t>shares of Common Stock and options, warrants or other rights to purchase Common Stock issued or issuable to employees, officers or directors of, or consultants or advisors to the Corporation or any subsidiary pursuant to stock grants, restricted stock purchase agreements, option plans, purchase plans or other equity incentive programs or arrangements approved by the Board of Directors, including the approval of a majority of the then-serving Preferred Directors;</w:t>
      </w:r>
    </w:p>
    <w:p>
      <w:pPr>
        <w:spacing w:after="0" w:line="186" w:lineRule="exact"/>
        <w:rPr>
          <w:rFonts w:ascii="Arial" w:cs="Arial" w:eastAsia="Arial" w:hAnsi="Arial"/>
          <w:sz w:val="18"/>
          <w:szCs w:val="18"/>
          <w:color w:val="auto"/>
        </w:rPr>
      </w:pPr>
    </w:p>
    <w:p>
      <w:pPr>
        <w:ind w:left="-20" w:right="160" w:firstLine="1758"/>
        <w:spacing w:after="0" w:line="277" w:lineRule="auto"/>
        <w:tabs>
          <w:tab w:leader="none" w:pos="2132" w:val="left"/>
        </w:tabs>
        <w:numPr>
          <w:ilvl w:val="2"/>
          <w:numId w:val="180"/>
        </w:numPr>
        <w:rPr>
          <w:rFonts w:ascii="Arial" w:cs="Arial" w:eastAsia="Arial" w:hAnsi="Arial"/>
          <w:sz w:val="18"/>
          <w:szCs w:val="18"/>
          <w:color w:val="auto"/>
        </w:rPr>
      </w:pPr>
      <w:r>
        <w:rPr>
          <w:rFonts w:ascii="Arial" w:cs="Arial" w:eastAsia="Arial" w:hAnsi="Arial"/>
          <w:sz w:val="18"/>
          <w:szCs w:val="18"/>
          <w:color w:val="auto"/>
        </w:rPr>
        <w:t>shares of Common Stock upon the exercise or conversion of Options or Convertible Securities outstanding as of the date of the filing of this Certificate of Incorporation;</w:t>
      </w:r>
    </w:p>
    <w:p>
      <w:pPr>
        <w:spacing w:after="0" w:line="170" w:lineRule="exact"/>
        <w:rPr>
          <w:rFonts w:ascii="Arial" w:cs="Arial" w:eastAsia="Arial" w:hAnsi="Arial"/>
          <w:sz w:val="18"/>
          <w:szCs w:val="18"/>
          <w:color w:val="auto"/>
        </w:rPr>
      </w:pPr>
    </w:p>
    <w:p>
      <w:pPr>
        <w:ind w:left="-20" w:right="220" w:firstLine="1758"/>
        <w:spacing w:after="0" w:line="277" w:lineRule="auto"/>
        <w:tabs>
          <w:tab w:leader="none" w:pos="2132" w:val="left"/>
        </w:tabs>
        <w:numPr>
          <w:ilvl w:val="2"/>
          <w:numId w:val="180"/>
        </w:numPr>
        <w:rPr>
          <w:rFonts w:ascii="Arial" w:cs="Arial" w:eastAsia="Arial" w:hAnsi="Arial"/>
          <w:sz w:val="18"/>
          <w:szCs w:val="18"/>
          <w:color w:val="auto"/>
        </w:rPr>
      </w:pPr>
      <w:r>
        <w:rPr>
          <w:rFonts w:ascii="Arial" w:cs="Arial" w:eastAsia="Arial" w:hAnsi="Arial"/>
          <w:sz w:val="18"/>
          <w:szCs w:val="18"/>
          <w:color w:val="auto"/>
        </w:rPr>
        <w:t>shares of Common Stock issued or issuable as a dividend or distribution on Preferred Stock or pursuant to any event for which adjustment is made pursuant to Section 4(e), 4(f) or 4(g) hereof;</w:t>
      </w:r>
    </w:p>
    <w:p>
      <w:pPr>
        <w:spacing w:after="0" w:line="170" w:lineRule="exact"/>
        <w:rPr>
          <w:rFonts w:ascii="Arial" w:cs="Arial" w:eastAsia="Arial" w:hAnsi="Arial"/>
          <w:sz w:val="18"/>
          <w:szCs w:val="18"/>
          <w:color w:val="auto"/>
        </w:rPr>
      </w:pPr>
    </w:p>
    <w:p>
      <w:pPr>
        <w:ind w:left="-20" w:right="200" w:firstLine="1758"/>
        <w:spacing w:after="0" w:line="263" w:lineRule="auto"/>
        <w:tabs>
          <w:tab w:leader="none" w:pos="2132" w:val="left"/>
        </w:tabs>
        <w:numPr>
          <w:ilvl w:val="2"/>
          <w:numId w:val="180"/>
        </w:numPr>
        <w:rPr>
          <w:rFonts w:ascii="Arial" w:cs="Arial" w:eastAsia="Arial" w:hAnsi="Arial"/>
          <w:sz w:val="18"/>
          <w:szCs w:val="18"/>
          <w:color w:val="auto"/>
        </w:rPr>
      </w:pPr>
      <w:r>
        <w:rPr>
          <w:rFonts w:ascii="Arial" w:cs="Arial" w:eastAsia="Arial" w:hAnsi="Arial"/>
          <w:sz w:val="18"/>
          <w:szCs w:val="18"/>
          <w:color w:val="auto"/>
        </w:rPr>
        <w:t>shares of Common Stock issued or issuable in an initial public offering of the Common Stock pursuant to an effective registration statement filed under the Securities Act prior to or in connection with which all outstanding shares of Preferred Stock will be converted to Common Stock;</w:t>
      </w:r>
    </w:p>
    <w:p>
      <w:pPr>
        <w:spacing w:after="0" w:line="183" w:lineRule="exact"/>
        <w:rPr>
          <w:rFonts w:ascii="Arial" w:cs="Arial" w:eastAsia="Arial" w:hAnsi="Arial"/>
          <w:sz w:val="18"/>
          <w:szCs w:val="18"/>
          <w:color w:val="auto"/>
        </w:rPr>
      </w:pPr>
    </w:p>
    <w:p>
      <w:pPr>
        <w:ind w:left="-20" w:right="420" w:firstLine="1758"/>
        <w:spacing w:after="0" w:line="286" w:lineRule="auto"/>
        <w:tabs>
          <w:tab w:leader="none" w:pos="2132" w:val="left"/>
        </w:tabs>
        <w:numPr>
          <w:ilvl w:val="2"/>
          <w:numId w:val="180"/>
        </w:numPr>
        <w:rPr>
          <w:rFonts w:ascii="Arial" w:cs="Arial" w:eastAsia="Arial" w:hAnsi="Arial"/>
          <w:sz w:val="17"/>
          <w:szCs w:val="17"/>
          <w:color w:val="auto"/>
        </w:rPr>
      </w:pPr>
      <w:r>
        <w:rPr>
          <w:rFonts w:ascii="Arial" w:cs="Arial" w:eastAsia="Arial" w:hAnsi="Arial"/>
          <w:sz w:val="17"/>
          <w:szCs w:val="17"/>
          <w:color w:val="auto"/>
        </w:rPr>
        <w:t xml:space="preserve">shares of Common Stock issued or issuable pursuant to the acquisition of another corporation by the Corporation by merger, purchase of substantially all of the assets or other reorganization or pursuant to a joint venture agreement, </w:t>
      </w:r>
      <w:r>
        <w:rPr>
          <w:rFonts w:ascii="Arial" w:cs="Arial" w:eastAsia="Arial" w:hAnsi="Arial"/>
          <w:sz w:val="17"/>
          <w:szCs w:val="17"/>
          <w:i w:val="1"/>
          <w:iCs w:val="1"/>
          <w:color w:val="auto"/>
        </w:rPr>
        <w:t>provided</w:t>
      </w:r>
      <w:r>
        <w:rPr>
          <w:rFonts w:ascii="Arial" w:cs="Arial" w:eastAsia="Arial" w:hAnsi="Arial"/>
          <w:sz w:val="17"/>
          <w:szCs w:val="17"/>
          <w:color w:val="auto"/>
        </w:rPr>
        <w:t>, that such issuances are approved by the Board of Directors, including the approval of a majority of the then-serving Preferred Directors;</w:t>
      </w:r>
    </w:p>
    <w:p>
      <w:pPr>
        <w:spacing w:after="0" w:line="165" w:lineRule="exact"/>
        <w:rPr>
          <w:rFonts w:ascii="Arial" w:cs="Arial" w:eastAsia="Arial" w:hAnsi="Arial"/>
          <w:sz w:val="17"/>
          <w:szCs w:val="17"/>
          <w:color w:val="auto"/>
        </w:rPr>
      </w:pPr>
    </w:p>
    <w:p>
      <w:pPr>
        <w:jc w:val="both"/>
        <w:ind w:left="-20" w:right="240" w:firstLine="1758"/>
        <w:spacing w:after="0" w:line="279" w:lineRule="auto"/>
        <w:tabs>
          <w:tab w:leader="none" w:pos="2132" w:val="left"/>
        </w:tabs>
        <w:numPr>
          <w:ilvl w:val="2"/>
          <w:numId w:val="180"/>
        </w:numPr>
        <w:rPr>
          <w:rFonts w:ascii="Arial" w:cs="Arial" w:eastAsia="Arial" w:hAnsi="Arial"/>
          <w:sz w:val="17"/>
          <w:szCs w:val="17"/>
          <w:color w:val="auto"/>
        </w:rPr>
      </w:pPr>
      <w:r>
        <w:rPr>
          <w:rFonts w:ascii="Arial" w:cs="Arial" w:eastAsia="Arial" w:hAnsi="Arial"/>
          <w:sz w:val="17"/>
          <w:szCs w:val="17"/>
          <w:color w:val="auto"/>
        </w:rPr>
        <w:t>shares of Common Stock issued or issuable to financial institutions, equipment lessors, real property lessors, brokers or similar entities in connection with commercial credit arrangements, equipment financings, commercial leasing or real property leasing transactions or similar transactions, approved by the Board of Directors, including the approval of a majority of the then-serving Preferred Directors, the principal purpose of which is other than the raising of capital through the sale of equity securities of the Corporation;</w:t>
      </w:r>
    </w:p>
    <w:p>
      <w:pPr>
        <w:spacing w:after="0" w:line="171" w:lineRule="exact"/>
        <w:rPr>
          <w:rFonts w:ascii="Arial" w:cs="Arial" w:eastAsia="Arial" w:hAnsi="Arial"/>
          <w:sz w:val="17"/>
          <w:szCs w:val="17"/>
          <w:color w:val="auto"/>
        </w:rPr>
      </w:pPr>
    </w:p>
    <w:p>
      <w:pPr>
        <w:jc w:val="both"/>
        <w:ind w:left="-20" w:right="20" w:firstLine="1758"/>
        <w:spacing w:after="0" w:line="259" w:lineRule="auto"/>
        <w:tabs>
          <w:tab w:leader="none" w:pos="2132" w:val="left"/>
        </w:tabs>
        <w:numPr>
          <w:ilvl w:val="2"/>
          <w:numId w:val="180"/>
        </w:numPr>
        <w:rPr>
          <w:rFonts w:ascii="Arial" w:cs="Arial" w:eastAsia="Arial" w:hAnsi="Arial"/>
          <w:sz w:val="18"/>
          <w:szCs w:val="18"/>
          <w:color w:val="auto"/>
        </w:rPr>
      </w:pPr>
      <w:r>
        <w:rPr>
          <w:rFonts w:ascii="Arial" w:cs="Arial" w:eastAsia="Arial" w:hAnsi="Arial"/>
          <w:sz w:val="18"/>
          <w:szCs w:val="18"/>
          <w:color w:val="auto"/>
        </w:rPr>
        <w:t>shares of Common Stock issued or issuable in connection with sponsored research, collaboration, technology license, development, OEM, marketing or other similar agreements or strategic partnerships approved by the Board of Directors, including the approval of a majority of the then-serving Preferred Directors, the principal purpose of which is other than the raising of capital through the sale of equity securities of the Corporation; and</w:t>
      </w:r>
    </w:p>
    <w:p>
      <w:pPr>
        <w:spacing w:after="0" w:line="186" w:lineRule="exact"/>
        <w:rPr>
          <w:rFonts w:ascii="Arial" w:cs="Arial" w:eastAsia="Arial" w:hAnsi="Arial"/>
          <w:sz w:val="18"/>
          <w:szCs w:val="18"/>
          <w:color w:val="auto"/>
        </w:rPr>
      </w:pPr>
    </w:p>
    <w:p>
      <w:pPr>
        <w:ind w:left="-20" w:right="720" w:firstLine="1758"/>
        <w:spacing w:after="0" w:line="277" w:lineRule="auto"/>
        <w:tabs>
          <w:tab w:leader="none" w:pos="2132" w:val="left"/>
        </w:tabs>
        <w:numPr>
          <w:ilvl w:val="2"/>
          <w:numId w:val="180"/>
        </w:numPr>
        <w:rPr>
          <w:rFonts w:ascii="Arial" w:cs="Arial" w:eastAsia="Arial" w:hAnsi="Arial"/>
          <w:sz w:val="18"/>
          <w:szCs w:val="18"/>
          <w:color w:val="auto"/>
        </w:rPr>
      </w:pPr>
      <w:r>
        <w:rPr>
          <w:rFonts w:ascii="Arial" w:cs="Arial" w:eastAsia="Arial" w:hAnsi="Arial"/>
          <w:sz w:val="18"/>
          <w:szCs w:val="18"/>
          <w:color w:val="auto"/>
        </w:rPr>
        <w:t>any right, option or warrant to acquire any security convertible into the securities excluded from the definition of Additional Shares of Common Stock pursuant to subsections (1) through (8)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285" w:name="page286"/>
    <w:bookmarkEnd w:id="285"/>
    <w:p>
      <w:pPr>
        <w:ind w:left="-40" w:firstLine="1428"/>
        <w:spacing w:after="0" w:line="259" w:lineRule="auto"/>
        <w:tabs>
          <w:tab w:leader="none" w:pos="1927" w:val="left"/>
        </w:tabs>
        <w:numPr>
          <w:ilvl w:val="0"/>
          <w:numId w:val="18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Adjustment of Conversion Price. </w:t>
      </w:r>
      <w:r>
        <w:rPr>
          <w:rFonts w:ascii="Arial" w:cs="Arial" w:eastAsia="Arial" w:hAnsi="Arial"/>
          <w:sz w:val="18"/>
          <w:szCs w:val="18"/>
          <w:color w:val="auto"/>
        </w:rPr>
        <w:t>No adjustment in the Conversion Price of a particular series of Preferred Stock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in respect of the issuance of Additional Shares of Common unless the consideration per share (as determined pursuant to Section 4(d)(v)) for an Additional Share of Common issued or deemed to be issued by the Corporation is less than the Conversion Price in effect on the date of, and immediately prior to, such issue for such series of Preferred Stock.</w:t>
      </w:r>
    </w:p>
    <w:p>
      <w:pPr>
        <w:spacing w:after="0" w:line="186" w:lineRule="exact"/>
        <w:rPr>
          <w:rFonts w:ascii="Arial" w:cs="Arial" w:eastAsia="Arial" w:hAnsi="Arial"/>
          <w:sz w:val="18"/>
          <w:szCs w:val="18"/>
          <w:color w:val="auto"/>
        </w:rPr>
      </w:pPr>
    </w:p>
    <w:p>
      <w:pPr>
        <w:ind w:left="-40" w:firstLine="1428"/>
        <w:spacing w:after="0" w:line="290" w:lineRule="auto"/>
        <w:tabs>
          <w:tab w:leader="none" w:pos="1932" w:val="left"/>
        </w:tabs>
        <w:numPr>
          <w:ilvl w:val="0"/>
          <w:numId w:val="1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Deemed Issue of Additional Shares of Common. </w:t>
      </w:r>
      <w:r>
        <w:rPr>
          <w:rFonts w:ascii="Arial" w:cs="Arial" w:eastAsia="Arial" w:hAnsi="Arial"/>
          <w:sz w:val="16"/>
          <w:szCs w:val="16"/>
          <w:color w:val="auto"/>
        </w:rPr>
        <w:t>In the event the Corporation at any time or from time to time after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filing of this Certificate of Incorporation shall issue any shares of Common Stock through a dividend or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such case in which shares are deemed to be issued:</w:t>
      </w:r>
    </w:p>
    <w:p>
      <w:pPr>
        <w:spacing w:after="0" w:line="165" w:lineRule="exact"/>
        <w:rPr>
          <w:rFonts w:ascii="Arial" w:cs="Arial" w:eastAsia="Arial" w:hAnsi="Arial"/>
          <w:sz w:val="16"/>
          <w:szCs w:val="16"/>
          <w:color w:val="auto"/>
        </w:rPr>
      </w:pPr>
    </w:p>
    <w:p>
      <w:pPr>
        <w:ind w:left="-40" w:right="40" w:firstLine="1979"/>
        <w:spacing w:after="0" w:line="263" w:lineRule="auto"/>
        <w:tabs>
          <w:tab w:leader="none" w:pos="233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no further adjustment in the Conversion Price of any series of Preferred Stock shall be made upon the subsequent issue of Convertible Securities or shares of Common Stock in connection with the exercise of such Options or conversion or exchange of such Convertible Securities;</w:t>
      </w:r>
    </w:p>
    <w:p>
      <w:pPr>
        <w:spacing w:after="0" w:line="183" w:lineRule="exact"/>
        <w:rPr>
          <w:rFonts w:ascii="Arial" w:cs="Arial" w:eastAsia="Arial" w:hAnsi="Arial"/>
          <w:sz w:val="18"/>
          <w:szCs w:val="18"/>
          <w:color w:val="auto"/>
        </w:rPr>
      </w:pPr>
    </w:p>
    <w:p>
      <w:pPr>
        <w:ind w:left="-40" w:firstLine="1979"/>
        <w:spacing w:after="0" w:line="273" w:lineRule="auto"/>
        <w:tabs>
          <w:tab w:leader="none" w:pos="2333" w:val="left"/>
        </w:tabs>
        <w:numPr>
          <w:ilvl w:val="1"/>
          <w:numId w:val="181"/>
        </w:numPr>
        <w:rPr>
          <w:rFonts w:ascii="Arial" w:cs="Arial" w:eastAsia="Arial" w:hAnsi="Arial"/>
          <w:sz w:val="17"/>
          <w:szCs w:val="17"/>
          <w:color w:val="auto"/>
        </w:rPr>
      </w:pPr>
      <w:r>
        <w:rPr>
          <w:rFonts w:ascii="Arial" w:cs="Arial" w:eastAsia="Arial" w:hAnsi="Arial"/>
          <w:sz w:val="17"/>
          <w:szCs w:val="17"/>
          <w:color w:val="auto"/>
        </w:rPr>
        <w:t>if such Options or Convertible Securities by their terms provide, with the passage of time or otherwise, for any change in the consideration payable to the Corporation or in the number of shares of Common Stock issuable upon the exercise, conversion or exchange thereof (other than a change pursuant to the anti-dilution provisions of such Options or Convertible Securities such as this Section 4(d) or pursuant to Recapitalization provisions of such Options or Convertible Securities such as Sections 4(e), 4(f) and 4(g) hereof), the Conversion Price of each series of Preferred Stock and any subsequent adjustments based thereon shall be recomputed to reflect such change as if such change had been in effect as of the original issue thereof (or upon the occurrence of the record date with respect thereto);</w:t>
      </w:r>
    </w:p>
    <w:p>
      <w:pPr>
        <w:spacing w:after="0" w:line="177" w:lineRule="exact"/>
        <w:rPr>
          <w:rFonts w:ascii="Arial" w:cs="Arial" w:eastAsia="Arial" w:hAnsi="Arial"/>
          <w:sz w:val="17"/>
          <w:szCs w:val="17"/>
          <w:color w:val="auto"/>
        </w:rPr>
      </w:pPr>
    </w:p>
    <w:p>
      <w:pPr>
        <w:ind w:left="-40" w:right="120" w:firstLine="1979"/>
        <w:spacing w:after="0" w:line="263" w:lineRule="auto"/>
        <w:tabs>
          <w:tab w:leader="none" w:pos="233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no readjustment pursuant to clause (2) above shall have the effect of increasing the Conversion Price of a series of Preferred Stock to an amount above the Conversion Price that would have resulted from any other issuances of Additional Shares of Common and any other adjustments provided for herein between the original adjustment date and such readjustment date;</w:t>
      </w:r>
    </w:p>
    <w:p>
      <w:pPr>
        <w:spacing w:after="0" w:line="183" w:lineRule="exact"/>
        <w:rPr>
          <w:rFonts w:ascii="Arial" w:cs="Arial" w:eastAsia="Arial" w:hAnsi="Arial"/>
          <w:sz w:val="18"/>
          <w:szCs w:val="18"/>
          <w:color w:val="auto"/>
        </w:rPr>
      </w:pPr>
    </w:p>
    <w:p>
      <w:pPr>
        <w:ind w:left="-40" w:right="320" w:firstLine="1979"/>
        <w:spacing w:after="0" w:line="311" w:lineRule="auto"/>
        <w:tabs>
          <w:tab w:leader="none" w:pos="2333" w:val="left"/>
        </w:tabs>
        <w:numPr>
          <w:ilvl w:val="1"/>
          <w:numId w:val="181"/>
        </w:numPr>
        <w:rPr>
          <w:rFonts w:ascii="Arial" w:cs="Arial" w:eastAsia="Arial" w:hAnsi="Arial"/>
          <w:sz w:val="16"/>
          <w:szCs w:val="16"/>
          <w:color w:val="auto"/>
        </w:rPr>
      </w:pPr>
      <w:r>
        <w:rPr>
          <w:rFonts w:ascii="Arial" w:cs="Arial" w:eastAsia="Arial" w:hAnsi="Arial"/>
          <w:sz w:val="16"/>
          <w:szCs w:val="16"/>
          <w:color w:val="auto"/>
        </w:rPr>
        <w:t>upon the expiration of any such Options or any rights of conversion or exchange under such Convertible Securities which shall not have been exercised, the Conversion Price of each series of Preferred Stock computed upon the original issue thereof (or upon the occurrence of a record date with respect thereto) and any subsequent adjustments based thereon shall, upon such expiration, be recomputed as if:</w:t>
      </w:r>
    </w:p>
    <w:p>
      <w:pPr>
        <w:spacing w:after="0" w:line="148" w:lineRule="exact"/>
        <w:rPr>
          <w:rFonts w:ascii="Arial" w:cs="Arial" w:eastAsia="Arial" w:hAnsi="Arial"/>
          <w:sz w:val="16"/>
          <w:szCs w:val="16"/>
          <w:color w:val="auto"/>
        </w:rPr>
      </w:pPr>
    </w:p>
    <w:p>
      <w:pPr>
        <w:ind w:left="-40" w:right="180" w:firstLine="2419"/>
        <w:spacing w:after="0" w:line="296" w:lineRule="auto"/>
        <w:tabs>
          <w:tab w:leader="none" w:pos="2763" w:val="left"/>
        </w:tabs>
        <w:numPr>
          <w:ilvl w:val="2"/>
          <w:numId w:val="181"/>
        </w:numPr>
        <w:rPr>
          <w:rFonts w:ascii="Arial" w:cs="Arial" w:eastAsia="Arial" w:hAnsi="Arial"/>
          <w:sz w:val="16"/>
          <w:szCs w:val="16"/>
          <w:color w:val="auto"/>
        </w:rPr>
      </w:pPr>
      <w:r>
        <w:rPr>
          <w:rFonts w:ascii="Arial" w:cs="Arial" w:eastAsia="Arial" w:hAnsi="Arial"/>
          <w:sz w:val="16"/>
          <w:szCs w:val="16"/>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4" w:right="499" w:bottom="1440" w:gutter="0" w:footer="0" w:header="0"/>
        </w:sectPr>
      </w:pPr>
    </w:p>
    <w:bookmarkStart w:id="286" w:name="page287"/>
    <w:bookmarkEnd w:id="286"/>
    <w:p>
      <w:pPr>
        <w:ind w:left="-60" w:right="20" w:firstLine="2419"/>
        <w:spacing w:after="0" w:line="257" w:lineRule="auto"/>
        <w:tabs>
          <w:tab w:leader="none" w:pos="2753" w:val="left"/>
        </w:tabs>
        <w:numPr>
          <w:ilvl w:val="2"/>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4(d)(v)) upon the issue of the Convertible Securities with respect to which such Options were actually exercised; and</w:t>
      </w:r>
    </w:p>
    <w:p>
      <w:pPr>
        <w:spacing w:after="0" w:line="187" w:lineRule="exact"/>
        <w:rPr>
          <w:rFonts w:ascii="Arial" w:cs="Arial" w:eastAsia="Arial" w:hAnsi="Arial"/>
          <w:sz w:val="18"/>
          <w:szCs w:val="18"/>
          <w:color w:val="auto"/>
        </w:rPr>
      </w:pPr>
    </w:p>
    <w:p>
      <w:pPr>
        <w:ind w:left="-60" w:right="240" w:firstLine="1979"/>
        <w:spacing w:after="0" w:line="259" w:lineRule="auto"/>
        <w:tabs>
          <w:tab w:leader="none" w:pos="231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paragraph 4(d)(iii) as of the actual date of their issuance.</w:t>
      </w:r>
    </w:p>
    <w:p>
      <w:pPr>
        <w:spacing w:after="0" w:line="186" w:lineRule="exact"/>
        <w:rPr>
          <w:rFonts w:ascii="Arial" w:cs="Arial" w:eastAsia="Arial" w:hAnsi="Arial"/>
          <w:sz w:val="18"/>
          <w:szCs w:val="18"/>
          <w:color w:val="auto"/>
        </w:rPr>
      </w:pPr>
    </w:p>
    <w:p>
      <w:pPr>
        <w:ind w:left="-60" w:firstLine="1428"/>
        <w:spacing w:after="0" w:line="268" w:lineRule="auto"/>
        <w:tabs>
          <w:tab w:leader="none" w:pos="1947" w:val="left"/>
        </w:tabs>
        <w:numPr>
          <w:ilvl w:val="0"/>
          <w:numId w:val="1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 of Conversion Price Upon Issuance of Additional Shares of Common. </w:t>
      </w:r>
      <w:r>
        <w:rPr>
          <w:rFonts w:ascii="Arial" w:cs="Arial" w:eastAsia="Arial" w:hAnsi="Arial"/>
          <w:sz w:val="17"/>
          <w:szCs w:val="17"/>
          <w:color w:val="auto"/>
        </w:rPr>
        <w:t>In the event this Corporation at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or from time to time after the date of the filing of this Certificate of Incorporation shall issue Additional Shares of Common (including Additional Shares of Common deemed to be issued pursuant to paragraph 4(d)(iii)) without consideration or for a consideration per share less than the applicable Conversion Price of a series of Preferred Stock in effect on the date of and immediately prior to such issue, then, the Conversion Price of the affected series of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Notwithstanding the foregoing, the Conversion Price shall not be reduced at such time if the amount of such reduction would be less than $0.01, but any such amount shall be carried forward, and a reduction will be made with respect to such amount at the time of, and together with, any subsequent reduction which, together with such amount and any other amounts so carried forward, equal $0.01 or more in the aggregate, provided that any adjustments carried forward and not yet applied shall be applied at the time such conversion takes place. For the purposes of this Subsection 4(d)(iv), all shares of Common Stock issuable upon conversion of all outstanding shares of Preferred Stock and the exercise and/or conversion of any other outstanding Convertible Securities and all outstanding Options shall be deemed to be outstanding.</w:t>
      </w:r>
    </w:p>
    <w:p>
      <w:pPr>
        <w:spacing w:after="0" w:line="181" w:lineRule="exact"/>
        <w:rPr>
          <w:rFonts w:ascii="Arial" w:cs="Arial" w:eastAsia="Arial" w:hAnsi="Arial"/>
          <w:sz w:val="17"/>
          <w:szCs w:val="17"/>
          <w:color w:val="auto"/>
        </w:rPr>
      </w:pPr>
    </w:p>
    <w:p>
      <w:pPr>
        <w:ind w:left="-60" w:firstLine="1428"/>
        <w:spacing w:after="0" w:line="277" w:lineRule="auto"/>
        <w:tabs>
          <w:tab w:leader="none" w:pos="1942" w:val="left"/>
        </w:tabs>
        <w:numPr>
          <w:ilvl w:val="0"/>
          <w:numId w:val="1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Determination of Consideration. </w:t>
      </w:r>
      <w:r>
        <w:rPr>
          <w:rFonts w:ascii="Arial" w:cs="Arial" w:eastAsia="Arial" w:hAnsi="Arial"/>
          <w:sz w:val="18"/>
          <w:szCs w:val="18"/>
          <w:color w:val="auto"/>
        </w:rPr>
        <w:t>For purposes of this subsection 4(d), the consideration received by the Corporation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(or deemed issue) of any Additional Shares of Common shall be computed as follows:</w:t>
      </w:r>
    </w:p>
    <w:p>
      <w:pPr>
        <w:spacing w:after="0" w:line="170" w:lineRule="exact"/>
        <w:rPr>
          <w:rFonts w:ascii="Arial" w:cs="Arial" w:eastAsia="Arial" w:hAnsi="Arial"/>
          <w:sz w:val="18"/>
          <w:szCs w:val="18"/>
          <w:color w:val="auto"/>
        </w:rPr>
      </w:pPr>
    </w:p>
    <w:p>
      <w:pPr>
        <w:ind w:left="2300" w:hanging="381"/>
        <w:spacing w:after="0"/>
        <w:tabs>
          <w:tab w:leader="none" w:pos="2300" w:val="left"/>
        </w:tabs>
        <w:numPr>
          <w:ilvl w:val="1"/>
          <w:numId w:val="1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and Property. </w:t>
      </w:r>
      <w:r>
        <w:rPr>
          <w:rFonts w:ascii="Arial" w:cs="Arial" w:eastAsia="Arial" w:hAnsi="Arial"/>
          <w:sz w:val="18"/>
          <w:szCs w:val="18"/>
          <w:color w:val="auto"/>
        </w:rPr>
        <w:t>Such consideration shall:</w:t>
      </w:r>
    </w:p>
    <w:p>
      <w:pPr>
        <w:spacing w:after="0" w:line="225" w:lineRule="exact"/>
        <w:rPr>
          <w:rFonts w:ascii="Arial" w:cs="Arial" w:eastAsia="Arial" w:hAnsi="Arial"/>
          <w:sz w:val="18"/>
          <w:szCs w:val="18"/>
          <w:color w:val="auto"/>
        </w:rPr>
      </w:pPr>
    </w:p>
    <w:p>
      <w:pPr>
        <w:ind w:left="-60" w:right="140" w:firstLine="2419"/>
        <w:spacing w:after="0" w:line="263" w:lineRule="auto"/>
        <w:tabs>
          <w:tab w:leader="none" w:pos="2743" w:val="left"/>
        </w:tabs>
        <w:numPr>
          <w:ilvl w:val="2"/>
          <w:numId w:val="184"/>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before deducting any reasonable discounts, commissions or other expenses allowed, paid or incurred by the Corporation for any underwriting or otherwise in connection with such issuance;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500" w:top="274" w:right="519" w:bottom="1440" w:gutter="0" w:footer="0" w:header="0"/>
        </w:sectPr>
      </w:pPr>
    </w:p>
    <w:bookmarkStart w:id="287" w:name="page288"/>
    <w:bookmarkEnd w:id="287"/>
    <w:p>
      <w:pPr>
        <w:ind w:left="4" w:right="100" w:firstLine="2419"/>
        <w:spacing w:after="0" w:line="277" w:lineRule="auto"/>
        <w:tabs>
          <w:tab w:leader="none" w:pos="2817" w:val="left"/>
        </w:tabs>
        <w:numPr>
          <w:ilvl w:val="3"/>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it consists of property other than cash, be computed at the fair market value thereof at the time of such issue, as determined in good faith by the Board of Directors; and</w:t>
      </w:r>
    </w:p>
    <w:p>
      <w:pPr>
        <w:spacing w:after="0" w:line="170" w:lineRule="exact"/>
        <w:rPr>
          <w:rFonts w:ascii="Arial" w:cs="Arial" w:eastAsia="Arial" w:hAnsi="Arial"/>
          <w:sz w:val="18"/>
          <w:szCs w:val="18"/>
          <w:color w:val="auto"/>
        </w:rPr>
      </w:pPr>
    </w:p>
    <w:p>
      <w:pPr>
        <w:ind w:left="4" w:firstLine="2419"/>
        <w:spacing w:after="0" w:line="291" w:lineRule="auto"/>
        <w:tabs>
          <w:tab w:leader="none" w:pos="2807" w:val="left"/>
        </w:tabs>
        <w:numPr>
          <w:ilvl w:val="3"/>
          <w:numId w:val="185"/>
        </w:numPr>
        <w:rPr>
          <w:rFonts w:ascii="Arial" w:cs="Arial" w:eastAsia="Arial" w:hAnsi="Arial"/>
          <w:sz w:val="16"/>
          <w:szCs w:val="16"/>
          <w:color w:val="auto"/>
        </w:rPr>
      </w:pPr>
      <w:r>
        <w:rPr>
          <w:rFonts w:ascii="Arial" w:cs="Arial" w:eastAsia="Arial" w:hAnsi="Arial"/>
          <w:sz w:val="16"/>
          <w:szCs w:val="16"/>
          <w:color w:val="auto"/>
        </w:rPr>
        <w:t>in the event Additional Shares of Common are issued together with other shares or securities or other assets of the Corporation for consideration which covers both, be the proportion of such consideration so received, computed as provided in clauses (a) and</w:t>
      </w:r>
    </w:p>
    <w:p>
      <w:pPr>
        <w:ind w:left="264" w:hanging="264"/>
        <w:spacing w:after="0"/>
        <w:tabs>
          <w:tab w:leader="none" w:pos="26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above, as reasonably determined in good faith by the Board of Directors.</w:t>
      </w:r>
    </w:p>
    <w:p>
      <w:pPr>
        <w:spacing w:after="0" w:line="210" w:lineRule="exact"/>
        <w:rPr>
          <w:rFonts w:ascii="Arial" w:cs="Arial" w:eastAsia="Arial" w:hAnsi="Arial"/>
          <w:sz w:val="18"/>
          <w:szCs w:val="18"/>
          <w:color w:val="auto"/>
        </w:rPr>
      </w:pPr>
    </w:p>
    <w:p>
      <w:pPr>
        <w:ind w:left="4" w:right="120" w:firstLine="1979"/>
        <w:spacing w:after="0" w:line="277" w:lineRule="auto"/>
        <w:tabs>
          <w:tab w:leader="none" w:pos="2376" w:val="left"/>
        </w:tabs>
        <w:numPr>
          <w:ilvl w:val="2"/>
          <w:numId w:val="1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Options and Convertible Securities. </w:t>
      </w:r>
      <w:r>
        <w:rPr>
          <w:rFonts w:ascii="Arial" w:cs="Arial" w:eastAsia="Arial" w:hAnsi="Arial"/>
          <w:sz w:val="18"/>
          <w:szCs w:val="18"/>
          <w:color w:val="auto"/>
        </w:rPr>
        <w:t>The consideration per share received by the Corporation for Additional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deemed to have been issued pursuant to paragraph 4(d)(iii) shall be determined by dividing:</w:t>
      </w:r>
    </w:p>
    <w:p>
      <w:pPr>
        <w:spacing w:after="0" w:line="170" w:lineRule="exact"/>
        <w:rPr>
          <w:rFonts w:ascii="Arial" w:cs="Arial" w:eastAsia="Arial" w:hAnsi="Arial"/>
          <w:sz w:val="18"/>
          <w:szCs w:val="18"/>
          <w:color w:val="auto"/>
        </w:rPr>
      </w:pPr>
    </w:p>
    <w:p>
      <w:pPr>
        <w:ind w:left="4" w:firstLine="2419"/>
        <w:spacing w:after="0" w:line="296" w:lineRule="auto"/>
        <w:tabs>
          <w:tab w:leader="none" w:pos="2817" w:val="left"/>
        </w:tabs>
        <w:numPr>
          <w:ilvl w:val="3"/>
          <w:numId w:val="186"/>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including pursuant to Section 4(d)(v)(1)(c),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61" w:lineRule="exact"/>
        <w:rPr>
          <w:rFonts w:ascii="Arial" w:cs="Arial" w:eastAsia="Arial" w:hAnsi="Arial"/>
          <w:sz w:val="16"/>
          <w:szCs w:val="16"/>
          <w:color w:val="auto"/>
        </w:rPr>
      </w:pPr>
    </w:p>
    <w:p>
      <w:pPr>
        <w:ind w:left="4" w:right="40" w:firstLine="2419"/>
        <w:spacing w:after="0" w:line="263" w:lineRule="auto"/>
        <w:tabs>
          <w:tab w:leader="none" w:pos="2817" w:val="left"/>
        </w:tabs>
        <w:numPr>
          <w:ilvl w:val="3"/>
          <w:numId w:val="186"/>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83" w:lineRule="exact"/>
        <w:rPr>
          <w:rFonts w:ascii="Arial" w:cs="Arial" w:eastAsia="Arial" w:hAnsi="Arial"/>
          <w:sz w:val="18"/>
          <w:szCs w:val="18"/>
          <w:color w:val="auto"/>
        </w:rPr>
      </w:pPr>
    </w:p>
    <w:p>
      <w:pPr>
        <w:ind w:left="4" w:right="60" w:firstLine="987"/>
        <w:spacing w:after="0" w:line="255" w:lineRule="auto"/>
        <w:tabs>
          <w:tab w:leader="none" w:pos="1375" w:val="left"/>
        </w:tabs>
        <w:numPr>
          <w:ilvl w:val="1"/>
          <w:numId w:val="1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for Subdivisions or Combinations of Common Stock. </w:t>
      </w:r>
      <w:r>
        <w:rPr>
          <w:rFonts w:ascii="Arial" w:cs="Arial" w:eastAsia="Arial" w:hAnsi="Arial"/>
          <w:sz w:val="18"/>
          <w:szCs w:val="18"/>
          <w:color w:val="auto"/>
        </w:rPr>
        <w:t>In the event the outstanding shares of Common Stock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192" w:lineRule="exact"/>
        <w:rPr>
          <w:rFonts w:ascii="Arial" w:cs="Arial" w:eastAsia="Arial" w:hAnsi="Arial"/>
          <w:sz w:val="18"/>
          <w:szCs w:val="18"/>
          <w:color w:val="auto"/>
        </w:rPr>
      </w:pPr>
    </w:p>
    <w:p>
      <w:pPr>
        <w:ind w:left="4" w:right="60" w:firstLine="987"/>
        <w:spacing w:after="0" w:line="272" w:lineRule="auto"/>
        <w:tabs>
          <w:tab w:leader="none" w:pos="1355" w:val="left"/>
        </w:tabs>
        <w:numPr>
          <w:ilvl w:val="1"/>
          <w:numId w:val="1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Adjustments for Subdivisions or Combinations of Preferred Stock. </w:t>
      </w:r>
      <w:r>
        <w:rPr>
          <w:rFonts w:ascii="Arial" w:cs="Arial" w:eastAsia="Arial" w:hAnsi="Arial"/>
          <w:sz w:val="17"/>
          <w:szCs w:val="17"/>
          <w:color w:val="auto"/>
        </w:rPr>
        <w:t>In the event the outstanding shares of Preferred Stock or a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177" w:lineRule="exact"/>
        <w:rPr>
          <w:rFonts w:ascii="Arial" w:cs="Arial" w:eastAsia="Arial" w:hAnsi="Arial"/>
          <w:sz w:val="17"/>
          <w:szCs w:val="17"/>
          <w:color w:val="auto"/>
        </w:rPr>
      </w:pPr>
    </w:p>
    <w:p>
      <w:pPr>
        <w:ind w:left="4" w:right="220" w:firstLine="987"/>
        <w:spacing w:after="0" w:line="286" w:lineRule="auto"/>
        <w:tabs>
          <w:tab w:leader="none" w:pos="1385" w:val="left"/>
        </w:tabs>
        <w:numPr>
          <w:ilvl w:val="1"/>
          <w:numId w:val="1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Adjustments for Reclassification, Exchange and Substitution. </w:t>
      </w:r>
      <w:r>
        <w:rPr>
          <w:rFonts w:ascii="Arial" w:cs="Arial" w:eastAsia="Arial" w:hAnsi="Arial"/>
          <w:sz w:val="17"/>
          <w:szCs w:val="17"/>
          <w:color w:val="auto"/>
        </w:rPr>
        <w:t>Subject to Section 3 (“</w:t>
      </w:r>
      <w:r>
        <w:rPr>
          <w:rFonts w:ascii="Arial" w:cs="Arial" w:eastAsia="Arial" w:hAnsi="Arial"/>
          <w:sz w:val="17"/>
          <w:szCs w:val="17"/>
          <w:b w:val="1"/>
          <w:bCs w:val="1"/>
          <w:i w:val="1"/>
          <w:iCs w:val="1"/>
          <w:color w:val="auto"/>
        </w:rPr>
        <w:t>Liquidation Rights</w:t>
      </w:r>
      <w:r>
        <w:rPr>
          <w:rFonts w:ascii="Arial" w:cs="Arial" w:eastAsia="Arial" w:hAnsi="Arial"/>
          <w:sz w:val="17"/>
          <w:szCs w:val="17"/>
          <w:color w:val="auto"/>
        </w:rPr>
        <w:t>”), if the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issuable upon conversion of the Preferred Stock shall be changed into the same or a different number of shares of any other class or classes of stock, whether by capital reorganization, reclassification or otherwise (other than a subdivision or combination of shares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88" w:name="page289"/>
    <w:bookmarkEnd w:id="28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188" w:lineRule="exact"/>
        <w:rPr>
          <w:sz w:val="20"/>
          <w:szCs w:val="20"/>
          <w:color w:val="auto"/>
        </w:rPr>
      </w:pPr>
    </w:p>
    <w:p>
      <w:pPr>
        <w:ind w:right="80" w:firstLine="987"/>
        <w:spacing w:after="0" w:line="293" w:lineRule="auto"/>
        <w:tabs>
          <w:tab w:leader="none" w:pos="1426" w:val="left"/>
        </w:tabs>
        <w:numPr>
          <w:ilvl w:val="0"/>
          <w:numId w:val="1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Certificate as to Adjustments. </w:t>
      </w:r>
      <w:r>
        <w:rPr>
          <w:rFonts w:ascii="Arial" w:cs="Arial" w:eastAsia="Arial" w:hAnsi="Arial"/>
          <w:sz w:val="16"/>
          <w:szCs w:val="16"/>
          <w:color w:val="auto"/>
        </w:rPr>
        <w:t>Upon the occurrence of each adjustment or readjustment of the Conversion Price pursuant to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164" w:lineRule="exact"/>
        <w:rPr>
          <w:rFonts w:ascii="Arial" w:cs="Arial" w:eastAsia="Arial" w:hAnsi="Arial"/>
          <w:sz w:val="16"/>
          <w:szCs w:val="16"/>
          <w:color w:val="auto"/>
        </w:rPr>
      </w:pPr>
    </w:p>
    <w:p>
      <w:pPr>
        <w:ind w:right="260" w:firstLine="987"/>
        <w:spacing w:after="0" w:line="259" w:lineRule="auto"/>
        <w:tabs>
          <w:tab w:leader="none" w:pos="1431" w:val="left"/>
        </w:tabs>
        <w:numPr>
          <w:ilvl w:val="0"/>
          <w:numId w:val="1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Waiver of Adjustment of Conversion Price. </w:t>
      </w:r>
      <w:r>
        <w:rPr>
          <w:rFonts w:ascii="Arial" w:cs="Arial" w:eastAsia="Arial" w:hAnsi="Arial"/>
          <w:sz w:val="18"/>
          <w:szCs w:val="18"/>
          <w:color w:val="auto"/>
        </w:rPr>
        <w:t>Notwithstanding anything herein to the contrary, any downward adjustment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Price of any series of Preferred Stock may be waived by the consent or vote of the holders of a majority of the outstanding shares of such series, voting as a separate class, either before or after the issuance causing the adjustment. Any such waiver will bind all future holders of shares of such series of Preferred Stock.</w:t>
      </w:r>
    </w:p>
    <w:p>
      <w:pPr>
        <w:spacing w:after="0" w:line="186" w:lineRule="exact"/>
        <w:rPr>
          <w:rFonts w:ascii="Arial" w:cs="Arial" w:eastAsia="Arial" w:hAnsi="Arial"/>
          <w:sz w:val="18"/>
          <w:szCs w:val="18"/>
          <w:color w:val="auto"/>
        </w:rPr>
      </w:pPr>
    </w:p>
    <w:p>
      <w:pPr>
        <w:ind w:left="1420" w:hanging="433"/>
        <w:spacing w:after="0"/>
        <w:tabs>
          <w:tab w:leader="none" w:pos="1420" w:val="left"/>
        </w:tabs>
        <w:numPr>
          <w:ilvl w:val="0"/>
          <w:numId w:val="1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of Record Date. </w:t>
      </w:r>
      <w:r>
        <w:rPr>
          <w:rFonts w:ascii="Arial" w:cs="Arial" w:eastAsia="Arial" w:hAnsi="Arial"/>
          <w:sz w:val="18"/>
          <w:szCs w:val="18"/>
          <w:color w:val="auto"/>
        </w:rPr>
        <w:t>In the event that this Corporation shall propose at any time:</w:t>
      </w:r>
    </w:p>
    <w:p>
      <w:pPr>
        <w:spacing w:after="0" w:line="225" w:lineRule="exact"/>
        <w:rPr>
          <w:rFonts w:ascii="Arial" w:cs="Arial" w:eastAsia="Arial" w:hAnsi="Arial"/>
          <w:sz w:val="18"/>
          <w:szCs w:val="18"/>
          <w:color w:val="auto"/>
        </w:rPr>
      </w:pPr>
    </w:p>
    <w:p>
      <w:pPr>
        <w:ind w:right="440" w:firstLine="1428"/>
        <w:spacing w:after="0" w:line="277" w:lineRule="auto"/>
        <w:tabs>
          <w:tab w:leader="none" w:pos="187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to declare any Distribution upon its Common Stock, whether in cash, property, stock or other securities, whether or not a regular cash dividend and whether or not out of earnings or earned surplus;</w:t>
      </w:r>
    </w:p>
    <w:p>
      <w:pPr>
        <w:spacing w:after="0" w:line="170" w:lineRule="exact"/>
        <w:rPr>
          <w:rFonts w:ascii="Arial" w:cs="Arial" w:eastAsia="Arial" w:hAnsi="Arial"/>
          <w:sz w:val="18"/>
          <w:szCs w:val="18"/>
          <w:color w:val="auto"/>
        </w:rPr>
      </w:pPr>
    </w:p>
    <w:p>
      <w:pPr>
        <w:ind w:left="1880" w:hanging="452"/>
        <w:spacing w:after="0"/>
        <w:tabs>
          <w:tab w:leader="none" w:pos="18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to effect any reclassification or recapitalization of its Common Stock outstanding involving a change in the Common Stock; or</w:t>
      </w:r>
    </w:p>
    <w:p>
      <w:pPr>
        <w:spacing w:after="0" w:line="248" w:lineRule="exact"/>
        <w:rPr>
          <w:rFonts w:ascii="Arial" w:cs="Arial" w:eastAsia="Arial" w:hAnsi="Arial"/>
          <w:sz w:val="16"/>
          <w:szCs w:val="16"/>
          <w:color w:val="auto"/>
        </w:rPr>
      </w:pPr>
    </w:p>
    <w:p>
      <w:pPr>
        <w:ind w:right="40" w:firstLine="1428"/>
        <w:spacing w:after="0" w:line="277" w:lineRule="auto"/>
        <w:tabs>
          <w:tab w:leader="none" w:pos="188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to voluntarily liquidate or dissolve or to enter into any transaction deemed to be a liquidation, dissolution or winding up of the corporation pursuant to Section 3(c);</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then, in connection with each such event, this Corporation shall send to the holders of the Preferred Stock at least 10 days’ prior written notice of the date on which a record shall be taken for such Distribution (and specifying the date on which the holders of Common Stock shall be entitled thereto and, if applicable, the amount and character of such Distribution) or for determining rights to vote in respect of the matters referred to in (ii) and (iii) above.</w:t>
      </w:r>
    </w:p>
    <w:p>
      <w:pPr>
        <w:spacing w:after="0" w:line="149"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Such written notice shall be given by first class mail (or express courier), postage prepaid, addressed to the holders of Preferred Stock at the address for each such holder as shown on the books of the Corporation and shall be deemed given on the date such notice is mailed.</w:t>
      </w:r>
    </w:p>
    <w:p>
      <w:pPr>
        <w:spacing w:after="0" w:line="12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notice provisions set forth in this section may be shortened or waived prospectively or retrospectively by the consent or vote of the holders of a majority of the outstanding shares of Preferred Stock, voting together as a single class on an as-converted basis.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89" w:name="page290"/>
    <w:bookmarkEnd w:id="289"/>
    <w:p>
      <w:pPr>
        <w:ind w:firstLine="987"/>
        <w:spacing w:after="0" w:line="273" w:lineRule="auto"/>
        <w:tabs>
          <w:tab w:leader="none" w:pos="1381" w:val="left"/>
        </w:tabs>
        <w:numPr>
          <w:ilvl w:val="1"/>
          <w:numId w:val="18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Reservation of Stock Issuable Upon Conversion. </w:t>
      </w:r>
      <w:r>
        <w:rPr>
          <w:rFonts w:ascii="Arial" w:cs="Arial" w:eastAsia="Arial" w:hAnsi="Arial"/>
          <w:sz w:val="17"/>
          <w:szCs w:val="17"/>
          <w:color w:val="auto"/>
        </w:rPr>
        <w:t>The Corporation shall at all times reserve and keep available out of its authorized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but unissued shares of Common Stock solely 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281" w:lineRule="exact"/>
        <w:rPr>
          <w:rFonts w:ascii="Arial" w:cs="Arial" w:eastAsia="Arial" w:hAnsi="Arial"/>
          <w:sz w:val="17"/>
          <w:szCs w:val="17"/>
          <w:color w:val="auto"/>
        </w:rPr>
      </w:pPr>
    </w:p>
    <w:p>
      <w:pPr>
        <w:ind w:left="980" w:hanging="544"/>
        <w:spacing w:after="0"/>
        <w:tabs>
          <w:tab w:leader="none" w:pos="9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Voting.</w:t>
      </w:r>
    </w:p>
    <w:p>
      <w:pPr>
        <w:spacing w:after="0" w:line="121" w:lineRule="exact"/>
        <w:rPr>
          <w:rFonts w:ascii="Arial" w:cs="Arial" w:eastAsia="Arial" w:hAnsi="Arial"/>
          <w:sz w:val="18"/>
          <w:szCs w:val="18"/>
          <w:b w:val="1"/>
          <w:bCs w:val="1"/>
          <w:color w:val="auto"/>
        </w:rPr>
      </w:pPr>
    </w:p>
    <w:p>
      <w:pPr>
        <w:ind w:right="140" w:firstLine="987"/>
        <w:spacing w:after="0" w:line="277" w:lineRule="auto"/>
        <w:tabs>
          <w:tab w:leader="none" w:pos="1371" w:val="left"/>
        </w:tabs>
        <w:numPr>
          <w:ilvl w:val="1"/>
          <w:numId w:val="1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Restricted Class Voting. </w:t>
      </w:r>
      <w:r>
        <w:rPr>
          <w:rFonts w:ascii="Arial" w:cs="Arial" w:eastAsia="Arial" w:hAnsi="Arial"/>
          <w:sz w:val="18"/>
          <w:szCs w:val="18"/>
          <w:color w:val="auto"/>
        </w:rPr>
        <w:t>Except as otherwise expressly provided herein or as required by law, the holders of Preferred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Common Stock shall vote together and not as separate classes.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1"/>
          <w:numId w:val="1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Series Voting. </w:t>
      </w:r>
      <w:r>
        <w:rPr>
          <w:rFonts w:ascii="Arial" w:cs="Arial" w:eastAsia="Arial" w:hAnsi="Arial"/>
          <w:sz w:val="18"/>
          <w:szCs w:val="18"/>
          <w:color w:val="auto"/>
        </w:rPr>
        <w:t>Other than as provided herein or required by law, there shall be no series voting.</w:t>
      </w:r>
    </w:p>
    <w:p>
      <w:pPr>
        <w:spacing w:after="0" w:line="225" w:lineRule="exact"/>
        <w:rPr>
          <w:rFonts w:ascii="Arial" w:cs="Arial" w:eastAsia="Arial" w:hAnsi="Arial"/>
          <w:sz w:val="18"/>
          <w:szCs w:val="18"/>
          <w:color w:val="auto"/>
        </w:rPr>
      </w:pPr>
    </w:p>
    <w:p>
      <w:pPr>
        <w:ind w:right="20" w:firstLine="987"/>
        <w:spacing w:after="0" w:line="273" w:lineRule="auto"/>
        <w:tabs>
          <w:tab w:leader="none" w:pos="1371" w:val="left"/>
        </w:tabs>
        <w:numPr>
          <w:ilvl w:val="1"/>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Each holder of Preferred Stock shall be entitled to the number of votes equal to the number of shares of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into which the shares of Preferred Stock held by such holder could be converted as of the record date. Fractional votes shall not be permitted and any fractional voting rights resulting from the above formula (after aggregating all shares into which shares of Preferred Stock held by each holder could be converted) shall be disregarded. Except as otherwise expressly provided herein or as required by law, the holders of shares of the Preferred Stock shall be entitled to vote on all matters on which the Common Stock shall be entitled to vote. Holders of Preferred Stock shall be entitled to notice of any stockholders’ meeting in accordance with the Bylaws of the Corporation.</w:t>
      </w:r>
    </w:p>
    <w:p>
      <w:pPr>
        <w:spacing w:after="0" w:line="177" w:lineRule="exact"/>
        <w:rPr>
          <w:rFonts w:ascii="Arial" w:cs="Arial" w:eastAsia="Arial" w:hAnsi="Arial"/>
          <w:sz w:val="17"/>
          <w:szCs w:val="17"/>
          <w:color w:val="auto"/>
        </w:rPr>
      </w:pPr>
    </w:p>
    <w:p>
      <w:pPr>
        <w:ind w:right="60" w:firstLine="987"/>
        <w:spacing w:after="0" w:line="296" w:lineRule="auto"/>
        <w:tabs>
          <w:tab w:leader="none" w:pos="1381" w:val="left"/>
        </w:tabs>
        <w:numPr>
          <w:ilvl w:val="1"/>
          <w:numId w:val="1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Election of Directors. </w:t>
      </w:r>
      <w:r>
        <w:rPr>
          <w:rFonts w:ascii="Arial" w:cs="Arial" w:eastAsia="Arial" w:hAnsi="Arial"/>
          <w:sz w:val="16"/>
          <w:szCs w:val="16"/>
          <w:color w:val="auto"/>
        </w:rPr>
        <w:t>The holders of Preferred Stock, voting together as a single class on an as converted basis,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 three members of the Board of Directors (the “</w:t>
      </w:r>
      <w:r>
        <w:rPr>
          <w:rFonts w:ascii="Arial" w:cs="Arial" w:eastAsia="Arial" w:hAnsi="Arial"/>
          <w:sz w:val="16"/>
          <w:szCs w:val="16"/>
          <w:b w:val="1"/>
          <w:bCs w:val="1"/>
          <w:i w:val="1"/>
          <w:iCs w:val="1"/>
          <w:color w:val="auto"/>
        </w:rPr>
        <w:t>Preferred Directors</w:t>
      </w:r>
      <w:r>
        <w:rPr>
          <w:rFonts w:ascii="Arial" w:cs="Arial" w:eastAsia="Arial" w:hAnsi="Arial"/>
          <w:sz w:val="16"/>
          <w:szCs w:val="16"/>
          <w:color w:val="auto"/>
        </w:rPr>
        <w:t>”) at each meeting or pursuant to each consent of the Corporation’s stockholders for the election of directors. The holders of Common Stock, voting as a separate class, shall be entitled to elect one member of the Board of Directors at each meeting or pursuant to each consent of the Corporation’s stockholders for the election of directors. Any additional members of the Corporation’s Board of Directors shall be elected by the holders of Common Stock and Preferred Stock, voting together as a single class on an as converted basis.</w:t>
      </w:r>
    </w:p>
    <w:p>
      <w:pPr>
        <w:spacing w:after="0" w:line="161" w:lineRule="exact"/>
        <w:rPr>
          <w:rFonts w:ascii="Arial" w:cs="Arial" w:eastAsia="Arial" w:hAnsi="Arial"/>
          <w:sz w:val="16"/>
          <w:szCs w:val="16"/>
          <w:color w:val="auto"/>
        </w:rPr>
      </w:pPr>
    </w:p>
    <w:p>
      <w:pPr>
        <w:ind w:right="160" w:firstLine="987"/>
        <w:spacing w:after="0" w:line="263" w:lineRule="auto"/>
        <w:tabs>
          <w:tab w:leader="none" w:pos="1371" w:val="left"/>
        </w:tabs>
        <w:numPr>
          <w:ilvl w:val="1"/>
          <w:numId w:val="1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in Authorized Common Stock. </w:t>
      </w:r>
      <w:r>
        <w:rPr>
          <w:rFonts w:ascii="Arial" w:cs="Arial" w:eastAsia="Arial" w:hAnsi="Arial"/>
          <w:sz w:val="18"/>
          <w:szCs w:val="18"/>
          <w:color w:val="auto"/>
        </w:rPr>
        <w:t>The number of authorized shares of Common Stock may be increased or decreased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below the number of shares of Common Stock then outstanding) by an affirmative vote of the holders of a majority of the capital stock of the Corporation, voting together as a single class on an as converted basis.</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1"/>
          <w:numId w:val="1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Each holder of shares of Common Stock shall be entitled to one vote for each share thereof held.</w:t>
      </w:r>
    </w:p>
    <w:p>
      <w:pPr>
        <w:spacing w:after="0" w:line="221" w:lineRule="exact"/>
        <w:rPr>
          <w:rFonts w:ascii="Arial" w:cs="Arial" w:eastAsia="Arial" w:hAnsi="Arial"/>
          <w:sz w:val="18"/>
          <w:szCs w:val="18"/>
          <w:color w:val="auto"/>
        </w:rPr>
      </w:pPr>
    </w:p>
    <w:p>
      <w:pPr>
        <w:ind w:right="20" w:firstLine="436"/>
        <w:spacing w:after="0" w:line="261" w:lineRule="auto"/>
        <w:tabs>
          <w:tab w:leader="none" w:pos="9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and Changes. </w:t>
      </w:r>
      <w:r>
        <w:rPr>
          <w:rFonts w:ascii="Arial" w:cs="Arial" w:eastAsia="Arial" w:hAnsi="Arial"/>
          <w:sz w:val="18"/>
          <w:szCs w:val="18"/>
          <w:color w:val="auto"/>
        </w:rPr>
        <w:t>As long as any shares of Preferred Stock are issued and outstanding, the Corporation shall not (whether by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to this Certificate of Incorporation, by merger or consolidation, or otherwise), without first obtaining the approval (by vote or written consent as provided by law) of the holders of a majority of the outstanding shares of Preferred Stock, voting together as a single class on an as-converted basis: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90" w:name="page291"/>
    <w:bookmarkEnd w:id="290"/>
    <w:p>
      <w:pPr>
        <w:ind w:left="-20" w:right="80" w:firstLine="987"/>
        <w:spacing w:after="0" w:line="263" w:lineRule="auto"/>
        <w:tabs>
          <w:tab w:leader="none" w:pos="1351"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alter or repeal any provision of the Certificate of Incorporation or bylaws of the Corporation if such action would adversely alter the rights, preferences, privileges or powers of, or restrictions provided for the benefit of, or the obligation in respect of, the Preferred Stock or any series thereof;</w:t>
      </w:r>
    </w:p>
    <w:p>
      <w:pPr>
        <w:spacing w:after="0" w:line="183" w:lineRule="exact"/>
        <w:rPr>
          <w:rFonts w:ascii="Arial" w:cs="Arial" w:eastAsia="Arial" w:hAnsi="Arial"/>
          <w:sz w:val="18"/>
          <w:szCs w:val="18"/>
          <w:color w:val="auto"/>
        </w:rPr>
      </w:pPr>
    </w:p>
    <w:p>
      <w:pPr>
        <w:ind w:left="-20" w:right="140" w:firstLine="987"/>
        <w:spacing w:after="0" w:line="277" w:lineRule="auto"/>
        <w:tabs>
          <w:tab w:leader="none" w:pos="13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take any action that would alter or change the rights, preferences, privileges or powers of, or restrictions provided for the benefit of, or the obligation in respect of, the Preferred Stock so as to adversely affect the Preferred Stock;</w:t>
      </w:r>
    </w:p>
    <w:p>
      <w:pPr>
        <w:spacing w:after="0" w:line="170" w:lineRule="exact"/>
        <w:rPr>
          <w:rFonts w:ascii="Arial" w:cs="Arial" w:eastAsia="Arial" w:hAnsi="Arial"/>
          <w:sz w:val="18"/>
          <w:szCs w:val="18"/>
          <w:color w:val="auto"/>
        </w:rPr>
      </w:pPr>
    </w:p>
    <w:p>
      <w:pPr>
        <w:ind w:left="-20" w:right="220" w:firstLine="987"/>
        <w:spacing w:after="0" w:line="277" w:lineRule="auto"/>
        <w:tabs>
          <w:tab w:leader="none" w:pos="135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increase or decrease (other than for decreases resulting from conversion of the Preferred Stock) the authorized number of shares of Common Stock or Preferred Stock or any series thereof;</w:t>
      </w:r>
    </w:p>
    <w:p>
      <w:pPr>
        <w:spacing w:after="0" w:line="170" w:lineRule="exact"/>
        <w:rPr>
          <w:rFonts w:ascii="Arial" w:cs="Arial" w:eastAsia="Arial" w:hAnsi="Arial"/>
          <w:sz w:val="18"/>
          <w:szCs w:val="18"/>
          <w:color w:val="auto"/>
        </w:rPr>
      </w:pPr>
    </w:p>
    <w:p>
      <w:pPr>
        <w:ind w:left="-20" w:right="160" w:firstLine="987"/>
        <w:spacing w:after="0" w:line="277" w:lineRule="auto"/>
        <w:tabs>
          <w:tab w:leader="none" w:pos="13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authorize or create (by reclassification, merger or otherwise) any new class or series of equity security having rights, preferences or privileges senior to or on a parity with any series of Preferred Stock;</w:t>
      </w:r>
    </w:p>
    <w:p>
      <w:pPr>
        <w:spacing w:after="0" w:line="170" w:lineRule="exact"/>
        <w:rPr>
          <w:rFonts w:ascii="Arial" w:cs="Arial" w:eastAsia="Arial" w:hAnsi="Arial"/>
          <w:sz w:val="18"/>
          <w:szCs w:val="18"/>
          <w:color w:val="auto"/>
        </w:rPr>
      </w:pPr>
    </w:p>
    <w:p>
      <w:pPr>
        <w:ind w:left="-20" w:right="240" w:firstLine="987"/>
        <w:spacing w:after="0" w:line="277" w:lineRule="auto"/>
        <w:tabs>
          <w:tab w:leader="none" w:pos="135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enter into any transaction or series of related transactions that is, or is deemed to be, a liquidation, dissolution or winding up of the Corporation pursuant to Section 3(c);</w:t>
      </w:r>
    </w:p>
    <w:p>
      <w:pPr>
        <w:spacing w:after="0" w:line="170" w:lineRule="exact"/>
        <w:rPr>
          <w:rFonts w:ascii="Arial" w:cs="Arial" w:eastAsia="Arial" w:hAnsi="Arial"/>
          <w:sz w:val="18"/>
          <w:szCs w:val="18"/>
          <w:color w:val="auto"/>
        </w:rPr>
      </w:pPr>
    </w:p>
    <w:p>
      <w:pPr>
        <w:ind w:left="1320" w:hanging="353"/>
        <w:spacing w:after="0"/>
        <w:tabs>
          <w:tab w:leader="none" w:pos="13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increase or decrease the authorized size of the Board of Directors;</w:t>
      </w:r>
    </w:p>
    <w:p>
      <w:pPr>
        <w:spacing w:after="0" w:line="225" w:lineRule="exact"/>
        <w:rPr>
          <w:rFonts w:ascii="Arial" w:cs="Arial" w:eastAsia="Arial" w:hAnsi="Arial"/>
          <w:sz w:val="18"/>
          <w:szCs w:val="18"/>
          <w:color w:val="auto"/>
        </w:rPr>
      </w:pPr>
    </w:p>
    <w:p>
      <w:pPr>
        <w:ind w:left="-20" w:firstLine="987"/>
        <w:spacing w:after="0" w:line="277" w:lineRule="auto"/>
        <w:tabs>
          <w:tab w:leader="none" w:pos="13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declare or pay a dividend or otherwise make any Distribution with respect to the Common Stock (other than as expressly permitted in the Certificate of Incorporation);</w:t>
      </w:r>
    </w:p>
    <w:p>
      <w:pPr>
        <w:spacing w:after="0" w:line="170" w:lineRule="exact"/>
        <w:rPr>
          <w:rFonts w:ascii="Arial" w:cs="Arial" w:eastAsia="Arial" w:hAnsi="Arial"/>
          <w:sz w:val="18"/>
          <w:szCs w:val="18"/>
          <w:color w:val="auto"/>
        </w:rPr>
      </w:pPr>
    </w:p>
    <w:p>
      <w:pPr>
        <w:jc w:val="both"/>
        <w:ind w:left="-20" w:right="100" w:firstLine="987"/>
        <w:spacing w:after="0" w:line="263" w:lineRule="auto"/>
        <w:tabs>
          <w:tab w:leader="none" w:pos="13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encumber or grant a security interest in all or substantially all of the assets of the Corporation or assign or grant an exclusive license to any material intellectual property asset of the Corporation or its subsidiaries, unless the same has been approved by the Board of Directors, including the approval of a majority of the then-serving Preferred Directors;</w:t>
      </w:r>
    </w:p>
    <w:p>
      <w:pPr>
        <w:spacing w:after="0" w:line="183" w:lineRule="exact"/>
        <w:rPr>
          <w:rFonts w:ascii="Arial" w:cs="Arial" w:eastAsia="Arial" w:hAnsi="Arial"/>
          <w:sz w:val="18"/>
          <w:szCs w:val="18"/>
          <w:color w:val="auto"/>
        </w:rPr>
      </w:pPr>
    </w:p>
    <w:p>
      <w:pPr>
        <w:ind w:left="-20" w:right="360" w:firstLine="987"/>
        <w:spacing w:after="0" w:line="277" w:lineRule="auto"/>
        <w:tabs>
          <w:tab w:leader="none" w:pos="132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incur any indebtedness for borrowed money in excess of $1,000,000 in the aggregate, unless approved by the Board of Directors, including the approval of a majority of the then-serving Preferred Directors;</w:t>
      </w:r>
    </w:p>
    <w:p>
      <w:pPr>
        <w:spacing w:after="0" w:line="170" w:lineRule="exact"/>
        <w:rPr>
          <w:rFonts w:ascii="Arial" w:cs="Arial" w:eastAsia="Arial" w:hAnsi="Arial"/>
          <w:sz w:val="18"/>
          <w:szCs w:val="18"/>
          <w:color w:val="auto"/>
        </w:rPr>
      </w:pPr>
    </w:p>
    <w:p>
      <w:pPr>
        <w:ind w:left="-20" w:right="320" w:firstLine="987"/>
        <w:spacing w:after="0" w:line="263" w:lineRule="auto"/>
        <w:tabs>
          <w:tab w:leader="none" w:pos="132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acquire, or permit any subsidiary to acquire, by merger, purchase of stock or assets, any other business combination transaction or otherwise, any assets or equity interests of any person or entity for consideration in excess of $1,000,000, other than investments pursuant to an investment policy approved by the Board of Directors;</w:t>
      </w:r>
    </w:p>
    <w:p>
      <w:pPr>
        <w:spacing w:after="0" w:line="183" w:lineRule="exact"/>
        <w:rPr>
          <w:rFonts w:ascii="Arial" w:cs="Arial" w:eastAsia="Arial" w:hAnsi="Arial"/>
          <w:sz w:val="18"/>
          <w:szCs w:val="18"/>
          <w:color w:val="auto"/>
        </w:rPr>
      </w:pPr>
    </w:p>
    <w:p>
      <w:pPr>
        <w:ind w:left="-20" w:right="80" w:firstLine="987"/>
        <w:spacing w:after="0" w:line="277" w:lineRule="auto"/>
        <w:tabs>
          <w:tab w:leader="none" w:pos="13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increase the number of shares authorized for issuance under any existing stock or option plan or create any new stock or option plan, unless approved by the Board of Directors, including the approval of a majority of the then-serving Preferred Directors;</w:t>
      </w:r>
    </w:p>
    <w:p>
      <w:pPr>
        <w:spacing w:after="0" w:line="170" w:lineRule="exact"/>
        <w:rPr>
          <w:rFonts w:ascii="Arial" w:cs="Arial" w:eastAsia="Arial" w:hAnsi="Arial"/>
          <w:sz w:val="18"/>
          <w:szCs w:val="18"/>
          <w:color w:val="auto"/>
        </w:rPr>
      </w:pPr>
    </w:p>
    <w:p>
      <w:pPr>
        <w:ind w:left="-20" w:right="20" w:firstLine="987"/>
        <w:spacing w:after="0" w:line="255" w:lineRule="auto"/>
        <w:tabs>
          <w:tab w:leader="none" w:pos="132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authorize the redemption of any capital stock of the Corporation other than (i) repurchases of Common Stock issued to or held by employees, directors or consultants of the Corporation upon termination of their employment or services pursuant to agreements providing for the right of said repurchase, approved by the Board of Directors, including the approval of a majority of the then-serving Preferred Directors, and (ii) repurchases of Common Stock issued to or held by employees, officers, directors or consultants of the Corporation pursuant to rights of first refusal contained in agreements providing for such rights, approved by the Board of Directors, including the approval of a majority of the then-serving Preferred Directors;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291" w:name="page292"/>
    <w:bookmarkEnd w:id="291"/>
    <w:p>
      <w:pPr>
        <w:ind w:left="1424" w:hanging="433"/>
        <w:spacing w:after="0"/>
        <w:tabs>
          <w:tab w:leader="none" w:pos="1424" w:val="left"/>
        </w:tabs>
        <w:numPr>
          <w:ilvl w:val="2"/>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this Section 6.</w:t>
      </w:r>
    </w:p>
    <w:p>
      <w:pPr>
        <w:spacing w:after="0" w:line="221" w:lineRule="exact"/>
        <w:rPr>
          <w:rFonts w:ascii="Arial" w:cs="Arial" w:eastAsia="Arial" w:hAnsi="Arial"/>
          <w:sz w:val="18"/>
          <w:szCs w:val="18"/>
          <w:color w:val="auto"/>
        </w:rPr>
      </w:pPr>
    </w:p>
    <w:p>
      <w:pPr>
        <w:jc w:val="both"/>
        <w:ind w:left="4" w:right="40" w:firstLine="436"/>
        <w:spacing w:after="0" w:line="314" w:lineRule="auto"/>
        <w:tabs>
          <w:tab w:leader="none" w:pos="984"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Series B Protective Provisions</w:t>
      </w:r>
      <w:r>
        <w:rPr>
          <w:rFonts w:ascii="Arial" w:cs="Arial" w:eastAsia="Arial" w:hAnsi="Arial"/>
          <w:sz w:val="16"/>
          <w:szCs w:val="16"/>
          <w:color w:val="auto"/>
        </w:rPr>
        <w:t>. As long as any shares of Series B Preferred Stock are issued and outstanding, the Corporation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by amendment to this Certificate of Incorporation, by merger or consolidation, or otherwise), without first obtaining the approval (by vote or written consent as provided by law) of the holders of a majority of the outstanding shares of Series B Preferred Stock voting as a separate series:</w:t>
      </w:r>
    </w:p>
    <w:p>
      <w:pPr>
        <w:spacing w:after="0" w:line="145" w:lineRule="exact"/>
        <w:rPr>
          <w:rFonts w:ascii="Arial" w:cs="Arial" w:eastAsia="Arial" w:hAnsi="Arial"/>
          <w:sz w:val="16"/>
          <w:szCs w:val="16"/>
          <w:b w:val="1"/>
          <w:bCs w:val="1"/>
          <w:color w:val="auto"/>
        </w:rPr>
      </w:pPr>
    </w:p>
    <w:p>
      <w:pPr>
        <w:ind w:left="4" w:firstLine="987"/>
        <w:spacing w:after="0" w:line="286" w:lineRule="auto"/>
        <w:tabs>
          <w:tab w:leader="none" w:pos="1375" w:val="left"/>
        </w:tabs>
        <w:numPr>
          <w:ilvl w:val="2"/>
          <w:numId w:val="192"/>
        </w:numPr>
        <w:rPr>
          <w:rFonts w:ascii="Arial" w:cs="Arial" w:eastAsia="Arial" w:hAnsi="Arial"/>
          <w:sz w:val="17"/>
          <w:szCs w:val="17"/>
          <w:color w:val="auto"/>
        </w:rPr>
      </w:pPr>
      <w:r>
        <w:rPr>
          <w:rFonts w:ascii="Arial" w:cs="Arial" w:eastAsia="Arial" w:hAnsi="Arial"/>
          <w:sz w:val="17"/>
          <w:szCs w:val="17"/>
          <w:color w:val="auto"/>
        </w:rPr>
        <w:t>take any action that would adversely alter the rights, preferences, privileges or powers of, or restrictions provided for the benefit of, or the obligations in respect of, the Series B Preferred Stock but shall not so affect the entire class of Preferred Stock (provided that, for clarity, the creation or issuance of a new series of senior Preferred Stock shall not, in and of itself, trigger this Section 7(a));</w:t>
      </w:r>
    </w:p>
    <w:p>
      <w:pPr>
        <w:spacing w:after="0" w:line="165" w:lineRule="exact"/>
        <w:rPr>
          <w:rFonts w:ascii="Arial" w:cs="Arial" w:eastAsia="Arial" w:hAnsi="Arial"/>
          <w:sz w:val="17"/>
          <w:szCs w:val="17"/>
          <w:color w:val="auto"/>
        </w:rPr>
      </w:pPr>
    </w:p>
    <w:p>
      <w:pPr>
        <w:ind w:left="4" w:right="60" w:firstLine="987"/>
        <w:spacing w:after="0" w:line="277" w:lineRule="auto"/>
        <w:tabs>
          <w:tab w:leader="none" w:pos="1385"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increase or decrease (other than for decreases resulting from conversion of the Preferred Stock) the authorized number of shares of Series B Preferred Stock;</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2"/>
          <w:numId w:val="192"/>
        </w:numPr>
        <w:rPr>
          <w:rFonts w:ascii="Arial" w:cs="Arial" w:eastAsia="Arial" w:hAnsi="Arial"/>
          <w:sz w:val="16"/>
          <w:szCs w:val="16"/>
          <w:color w:val="auto"/>
        </w:rPr>
      </w:pPr>
      <w:r>
        <w:rPr>
          <w:rFonts w:ascii="Arial" w:cs="Arial" w:eastAsia="Arial" w:hAnsi="Arial"/>
          <w:sz w:val="16"/>
          <w:szCs w:val="16"/>
          <w:color w:val="auto"/>
        </w:rPr>
        <w:t>require (i) the conversion of Series B Preferred Stock held by a holder into Common Stock or another class or series of stock or</w:t>
      </w:r>
    </w:p>
    <w:p>
      <w:pPr>
        <w:spacing w:after="0" w:line="46" w:lineRule="exact"/>
        <w:rPr>
          <w:rFonts w:ascii="Arial" w:cs="Arial" w:eastAsia="Arial" w:hAnsi="Arial"/>
          <w:sz w:val="16"/>
          <w:szCs w:val="16"/>
          <w:color w:val="auto"/>
        </w:rPr>
      </w:pPr>
    </w:p>
    <w:p>
      <w:pPr>
        <w:ind w:left="4" w:hanging="4"/>
        <w:spacing w:after="0" w:line="281" w:lineRule="auto"/>
        <w:tabs>
          <w:tab w:leader="none" w:pos="26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termination or waiver of any rights of a holder with respect to such holder’s shares of Series B Preferred Stock; in each case as a result of such holder’s failure to purchase securities or other instruments of the Corporation sold by the Corporation in a transaction or series of transactions undertaken principally for the purpose of raising capital pursuant to the terms of the agreement(s) under which such securities or other instruments are issued and sold (provided that, for clarity, the automatic conversion of shares of Preferred Stock into shares of Common Stock pursuant to clause (i)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of Section 4(b) shall not, in and of itself, trigger this Section 7(c)); or</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amend this Section 7.</w:t>
      </w:r>
    </w:p>
    <w:p>
      <w:pPr>
        <w:spacing w:after="0" w:line="221" w:lineRule="exact"/>
        <w:rPr>
          <w:rFonts w:ascii="Arial" w:cs="Arial" w:eastAsia="Arial" w:hAnsi="Arial"/>
          <w:sz w:val="18"/>
          <w:szCs w:val="18"/>
          <w:color w:val="auto"/>
        </w:rPr>
      </w:pPr>
    </w:p>
    <w:p>
      <w:pPr>
        <w:jc w:val="both"/>
        <w:ind w:left="4" w:right="40" w:firstLine="436"/>
        <w:spacing w:after="0" w:line="314" w:lineRule="auto"/>
        <w:tabs>
          <w:tab w:leader="none" w:pos="984" w:val="left"/>
        </w:tabs>
        <w:numPr>
          <w:ilvl w:val="1"/>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Series C Protective Provisions</w:t>
      </w:r>
      <w:r>
        <w:rPr>
          <w:rFonts w:ascii="Arial" w:cs="Arial" w:eastAsia="Arial" w:hAnsi="Arial"/>
          <w:sz w:val="16"/>
          <w:szCs w:val="16"/>
          <w:color w:val="auto"/>
        </w:rPr>
        <w:t>. As long as any shares of Series C Preferred Stock are issued and outstanding, the Corporation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by amendment to this Certificate of Incorporation, by merger or consolidation, or otherwise), without first obtaining the approval (by vote or written consent as provided by law) of the holders of a majority of the outstanding shares of Series C Preferred Stock voting as a separate series:</w:t>
      </w:r>
    </w:p>
    <w:p>
      <w:pPr>
        <w:spacing w:after="0" w:line="145" w:lineRule="exact"/>
        <w:rPr>
          <w:rFonts w:ascii="Arial" w:cs="Arial" w:eastAsia="Arial" w:hAnsi="Arial"/>
          <w:sz w:val="16"/>
          <w:szCs w:val="16"/>
          <w:b w:val="1"/>
          <w:bCs w:val="1"/>
          <w:color w:val="auto"/>
        </w:rPr>
      </w:pPr>
    </w:p>
    <w:p>
      <w:pPr>
        <w:ind w:left="4" w:firstLine="987"/>
        <w:spacing w:after="0" w:line="286" w:lineRule="auto"/>
        <w:tabs>
          <w:tab w:leader="none" w:pos="1375" w:val="left"/>
        </w:tabs>
        <w:numPr>
          <w:ilvl w:val="2"/>
          <w:numId w:val="195"/>
        </w:numPr>
        <w:rPr>
          <w:rFonts w:ascii="Arial" w:cs="Arial" w:eastAsia="Arial" w:hAnsi="Arial"/>
          <w:sz w:val="17"/>
          <w:szCs w:val="17"/>
          <w:color w:val="auto"/>
        </w:rPr>
      </w:pPr>
      <w:r>
        <w:rPr>
          <w:rFonts w:ascii="Arial" w:cs="Arial" w:eastAsia="Arial" w:hAnsi="Arial"/>
          <w:sz w:val="17"/>
          <w:szCs w:val="17"/>
          <w:color w:val="auto"/>
        </w:rPr>
        <w:t>take any action that would adversely alter the rights, preferences, privileges or powers of, or restrictions provided for the benefit of, or the obligations in respect of, the Series C Preferred Stock but shall not so affect the entire class of Preferred Stock (provided that, for clarity, the creation or issuance of a new series of senior Preferred Stock shall not, in and of itself, trigger this Section 8(a));</w:t>
      </w:r>
    </w:p>
    <w:p>
      <w:pPr>
        <w:spacing w:after="0" w:line="165" w:lineRule="exact"/>
        <w:rPr>
          <w:rFonts w:ascii="Arial" w:cs="Arial" w:eastAsia="Arial" w:hAnsi="Arial"/>
          <w:sz w:val="17"/>
          <w:szCs w:val="17"/>
          <w:color w:val="auto"/>
        </w:rPr>
      </w:pPr>
    </w:p>
    <w:p>
      <w:pPr>
        <w:ind w:left="4" w:right="60" w:firstLine="987"/>
        <w:spacing w:after="0" w:line="277" w:lineRule="auto"/>
        <w:tabs>
          <w:tab w:leader="none" w:pos="1385" w:val="left"/>
        </w:tabs>
        <w:numPr>
          <w:ilvl w:val="2"/>
          <w:numId w:val="195"/>
        </w:numPr>
        <w:rPr>
          <w:rFonts w:ascii="Arial" w:cs="Arial" w:eastAsia="Arial" w:hAnsi="Arial"/>
          <w:sz w:val="18"/>
          <w:szCs w:val="18"/>
          <w:color w:val="auto"/>
        </w:rPr>
      </w:pPr>
      <w:r>
        <w:rPr>
          <w:rFonts w:ascii="Arial" w:cs="Arial" w:eastAsia="Arial" w:hAnsi="Arial"/>
          <w:sz w:val="18"/>
          <w:szCs w:val="18"/>
          <w:color w:val="auto"/>
        </w:rPr>
        <w:t>increase or decrease (other than for decreases resulting from conversion of the Preferred Stock) the authorized number of shares of Series C Preferred Stock;</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2"/>
          <w:numId w:val="195"/>
        </w:numPr>
        <w:rPr>
          <w:rFonts w:ascii="Arial" w:cs="Arial" w:eastAsia="Arial" w:hAnsi="Arial"/>
          <w:sz w:val="16"/>
          <w:szCs w:val="16"/>
          <w:color w:val="auto"/>
        </w:rPr>
      </w:pPr>
      <w:r>
        <w:rPr>
          <w:rFonts w:ascii="Arial" w:cs="Arial" w:eastAsia="Arial" w:hAnsi="Arial"/>
          <w:sz w:val="16"/>
          <w:szCs w:val="16"/>
          <w:color w:val="auto"/>
        </w:rPr>
        <w:t>require (i) the conversion of Series C Preferred Stock held by a holder into Common Stock or another class or series of stock or</w:t>
      </w:r>
    </w:p>
    <w:p>
      <w:pPr>
        <w:spacing w:after="0" w:line="46" w:lineRule="exact"/>
        <w:rPr>
          <w:sz w:val="20"/>
          <w:szCs w:val="20"/>
          <w:color w:val="auto"/>
        </w:rPr>
      </w:pPr>
    </w:p>
    <w:p>
      <w:pPr>
        <w:ind w:left="4" w:hanging="4"/>
        <w:spacing w:after="0" w:line="281" w:lineRule="auto"/>
        <w:tabs>
          <w:tab w:leader="none" w:pos="26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termination or waiver of any rights of a holder with respect to such holder’s shares of Series C Preferred Stock; in each case as a result of such holder’s failure to purchase securities or other instruments of the Corporation sold by the Corporation in a transaction or series of transactions undertaken principally for the purpose of raising capital pursuant to the terms of the agreement(s) under which such securities or other instruments are issued and sold (provided that, for clarity, the automatic conversion of shares of Preferred Stock into shares of Common Stock pursuant to clause (i)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of Section 4(b) shall not, in and of itself, trigger this Section 8(c)); or</w:t>
      </w:r>
    </w:p>
    <w:p>
      <w:pPr>
        <w:spacing w:after="0" w:line="211" w:lineRule="exact"/>
        <w:rPr>
          <w:sz w:val="20"/>
          <w:szCs w:val="20"/>
          <w:color w:val="auto"/>
        </w:rPr>
      </w:pPr>
    </w:p>
    <w:p>
      <w:pPr>
        <w:ind w:left="1384" w:hanging="393"/>
        <w:spacing w:after="0"/>
        <w:tabs>
          <w:tab w:leader="none" w:pos="138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amend this Section 8.</w:t>
      </w:r>
    </w:p>
    <w:p>
      <w:pPr>
        <w:spacing w:after="0" w:line="158"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4"/>
          </w:cols>
          <w:pgMar w:left="436" w:top="274" w:right="619" w:bottom="1440" w:gutter="0" w:footer="0" w:header="0"/>
        </w:sectPr>
      </w:pPr>
    </w:p>
    <w:bookmarkStart w:id="292" w:name="page293"/>
    <w:bookmarkEnd w:id="292"/>
    <w:p>
      <w:pPr>
        <w:ind w:right="440" w:firstLine="436"/>
        <w:spacing w:after="0" w:line="347" w:lineRule="auto"/>
        <w:tabs>
          <w:tab w:leader="none" w:pos="980"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Reissuance of Preferred Stock. </w:t>
      </w:r>
      <w:r>
        <w:rPr>
          <w:rFonts w:ascii="Arial" w:cs="Arial" w:eastAsia="Arial" w:hAnsi="Arial"/>
          <w:sz w:val="16"/>
          <w:szCs w:val="16"/>
          <w:color w:val="auto"/>
        </w:rPr>
        <w:t>In the event that any shares of Preferred Stock shall be converted pursuant to Section 4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 by the Corporation, the shares so converted or repurchased shall be cancelled and shall not be issuable by this Corporation.</w:t>
      </w:r>
    </w:p>
    <w:p>
      <w:pPr>
        <w:spacing w:after="0" w:line="115" w:lineRule="exact"/>
        <w:rPr>
          <w:rFonts w:ascii="Arial" w:cs="Arial" w:eastAsia="Arial" w:hAnsi="Arial"/>
          <w:sz w:val="16"/>
          <w:szCs w:val="16"/>
          <w:b w:val="1"/>
          <w:bCs w:val="1"/>
          <w:color w:val="auto"/>
        </w:rPr>
      </w:pPr>
    </w:p>
    <w:p>
      <w:pPr>
        <w:ind w:right="140" w:firstLine="436"/>
        <w:spacing w:after="0" w:line="266" w:lineRule="auto"/>
        <w:tabs>
          <w:tab w:leader="none" w:pos="9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by the provisions of this ARTICLE V to be given to the holders of Preferred Stock shall be deemed given if</w:t>
      </w:r>
      <w:r>
        <w:rPr>
          <w:rFonts w:ascii="Arial" w:cs="Arial" w:eastAsia="Arial" w:hAnsi="Arial"/>
          <w:sz w:val="18"/>
          <w:szCs w:val="18"/>
          <w:b w:val="1"/>
          <w:bCs w:val="1"/>
          <w:color w:val="auto"/>
        </w:rPr>
        <w:t xml:space="preserve"> </w:t>
      </w:r>
      <w:r>
        <w:rPr>
          <w:rFonts w:ascii="Arial" w:cs="Arial" w:eastAsia="Arial" w:hAnsi="Arial"/>
          <w:sz w:val="18"/>
          <w:szCs w:val="18"/>
          <w:color w:val="auto"/>
        </w:rPr>
        <w:t>deposited in the United States mail, postage prepaid, and addressed to each holder of record at such holder’s address appearing on the books of the Corporation.</w:t>
      </w:r>
    </w:p>
    <w:p>
      <w:pPr>
        <w:spacing w:after="0" w:line="175" w:lineRule="exact"/>
        <w:rPr>
          <w:rFonts w:ascii="Arial" w:cs="Arial" w:eastAsia="Arial" w:hAnsi="Arial"/>
          <w:sz w:val="18"/>
          <w:szCs w:val="18"/>
          <w:b w:val="1"/>
          <w:bCs w:val="1"/>
          <w:color w:val="auto"/>
        </w:rPr>
      </w:pPr>
    </w:p>
    <w:p>
      <w:pPr>
        <w:ind w:right="60" w:firstLine="436"/>
        <w:spacing w:after="0" w:line="258" w:lineRule="auto"/>
        <w:tabs>
          <w:tab w:leader="none" w:pos="97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The word “including” shall mean including without limitation regardless of whether such words are included in some</w:t>
      </w:r>
      <w:r>
        <w:rPr>
          <w:rFonts w:ascii="Arial" w:cs="Arial" w:eastAsia="Arial" w:hAnsi="Arial"/>
          <w:sz w:val="18"/>
          <w:szCs w:val="18"/>
          <w:b w:val="1"/>
          <w:bCs w:val="1"/>
          <w:color w:val="auto"/>
        </w:rPr>
        <w:t xml:space="preserve"> </w:t>
      </w:r>
      <w:r>
        <w:rPr>
          <w:rFonts w:ascii="Arial" w:cs="Arial" w:eastAsia="Arial" w:hAnsi="Arial"/>
          <w:sz w:val="18"/>
          <w:szCs w:val="18"/>
          <w:color w:val="auto"/>
        </w:rPr>
        <w:t>contexts but not others. The words “herein,” “hereof,” “hereby,” “hereto,” “hereinafter,” and other words of similar import refer to this Certificate of Incorporation as a whole, and not to any particular article, section, subsection, paragraph, subparagraph or clause contained in this Certificate of Incorporation. The defined terms herein shall apply equally to both the singular and plural forms of such terms and “or” is used in the inclusive sense of “and/or”.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is to have perpetual existence.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Unless otherwise set forth herein, the number of directors that constitute the Board of Directors shall be fixed by, or in the manner provided in, the Bylaws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is expressly authorized to adopt, amend or repeal the Bylaws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140" w:firstLine="436"/>
        <w:spacing w:after="0" w:line="257" w:lineRule="auto"/>
        <w:tabs>
          <w:tab w:leader="none" w:pos="977"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the Delaware General Corporation Law as the same exists or as may hereafter be amended from time to time, a director of the Corporation shall not be personally liable to the Corporation or its stockholders for monetary damages for a breach of fiduciary duty as a director.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187" w:lineRule="exact"/>
        <w:rPr>
          <w:rFonts w:ascii="Arial" w:cs="Arial" w:eastAsia="Arial" w:hAnsi="Arial"/>
          <w:sz w:val="18"/>
          <w:szCs w:val="18"/>
          <w:b w:val="1"/>
          <w:bCs w:val="1"/>
          <w:color w:val="auto"/>
        </w:rPr>
      </w:pPr>
    </w:p>
    <w:p>
      <w:pPr>
        <w:ind w:right="40" w:firstLine="436"/>
        <w:spacing w:after="0" w:line="254" w:lineRule="auto"/>
        <w:tabs>
          <w:tab w:leader="none" w:pos="977"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The Corporation shall have the power to indemnify, to the fullest extent permitted by the Delaware General Corporation Law, as it presently exists or may hereafter be amended from time to time, any person who was or is a party or is threatened to be made a party to any threatened, pending or completed action, suit or proceeding, whether civil, criminal, administrative or investigative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93" w:name="page294"/>
    <w:bookmarkEnd w:id="293"/>
    <w:p>
      <w:pPr>
        <w:jc w:val="both"/>
        <w:ind w:right="20" w:firstLine="436"/>
        <w:spacing w:after="0" w:line="311" w:lineRule="auto"/>
        <w:tabs>
          <w:tab w:leader="none" w:pos="980" w:val="left"/>
        </w:tabs>
        <w:numPr>
          <w:ilvl w:val="0"/>
          <w:numId w:val="20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any amendment nor repeal of this ARTICLE X, nor the adoption of any provision of this Certificate of Incorporation inconsistent with this ARTICLE X, shall eliminate or reduce the effect of this ARTICLE X, in respect of any matter occurring, or any action or proceeding accruing or arising or that, but for this ARTICLE X, would accrue or arise, prior to such amendment, repeal or adoption of an inconsistent provision.</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Meetings of stockholders may be held within or without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Corporation renounces any interest or expectancy of the Corporation in, or in being offered an opportunity to participate in, any Excluded Opportunity. An “</w:t>
      </w:r>
      <w:r>
        <w:rPr>
          <w:rFonts w:ascii="Arial" w:cs="Arial" w:eastAsia="Arial" w:hAnsi="Arial"/>
          <w:sz w:val="18"/>
          <w:szCs w:val="18"/>
          <w:b w:val="1"/>
          <w:bCs w:val="1"/>
          <w:i w:val="1"/>
          <w:i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any stockholder or director of the Corporation who, in either case, is not an employee of the Corporation or any of its subsidiaries, (collectively, “</w:t>
      </w:r>
      <w:r>
        <w:rPr>
          <w:rFonts w:ascii="Arial" w:cs="Arial" w:eastAsia="Arial" w:hAnsi="Arial"/>
          <w:sz w:val="18"/>
          <w:szCs w:val="18"/>
          <w:b w:val="1"/>
          <w:bCs w:val="1"/>
          <w:i w:val="1"/>
          <w:iCs w:val="1"/>
          <w:color w:val="auto"/>
        </w:rPr>
        <w:t>Covered Persons</w:t>
      </w:r>
      <w:r>
        <w:rPr>
          <w:rFonts w:ascii="Arial" w:cs="Arial" w:eastAsia="Arial" w:hAnsi="Arial"/>
          <w:sz w:val="18"/>
          <w:szCs w:val="18"/>
          <w:color w:val="auto"/>
        </w:rPr>
        <w:t>”), unless in either case such matter, transaction or interest is presented to, or acquired, created or developed by, or otherwise comes into the possession of, a Covered Person expressly and solely in such Covered Person’s capacity as a director of the Corporation.</w:t>
      </w:r>
    </w:p>
    <w:p>
      <w:pPr>
        <w:spacing w:after="0" w:line="192" w:lineRule="exact"/>
        <w:rPr>
          <w:sz w:val="20"/>
          <w:szCs w:val="20"/>
          <w:color w:val="auto"/>
        </w:rPr>
      </w:pPr>
    </w:p>
    <w:p>
      <w:pPr>
        <w:ind w:left="4800"/>
        <w:spacing w:after="0"/>
        <w:tabs>
          <w:tab w:leader="none" w:pos="542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40" w:top="274" w:right="5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BYLAWS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TENAYA THERAPEUTICS, INC.</w:t>
      </w:r>
    </w:p>
    <w:p>
      <w:pPr>
        <w:spacing w:after="0" w:line="23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Adopted August 18, 2016</w:t>
      </w:r>
    </w:p>
    <w:p>
      <w:pPr>
        <w:sectPr>
          <w:pgSz w:w="11900" w:h="16838" w:orient="portrait"/>
          <w:cols w:equalWidth="0" w:num="1">
            <w:col w:w="10020"/>
          </w:cols>
          <w:pgMar w:left="1440" w:top="121" w:right="4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66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74"/>
        </w:trPr>
        <w:tc>
          <w:tcPr>
            <w:tcW w:w="9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Page</w:t>
            </w:r>
          </w:p>
        </w:tc>
      </w:tr>
      <w:tr>
        <w:trPr>
          <w:trHeight w:val="309"/>
        </w:trPr>
        <w:tc>
          <w:tcPr>
            <w:tcW w:w="8560" w:type="dxa"/>
            <w:vAlign w:val="bottom"/>
            <w:gridSpan w:val="2"/>
          </w:tcPr>
          <w:p>
            <w:pPr>
              <w:spacing w:after="0"/>
              <w:rPr>
                <w:sz w:val="20"/>
                <w:szCs w:val="20"/>
                <w:color w:val="auto"/>
              </w:rPr>
            </w:pPr>
            <w:r>
              <w:rPr>
                <w:rFonts w:ascii="Arial" w:cs="Arial" w:eastAsia="Arial" w:hAnsi="Arial"/>
                <w:sz w:val="18"/>
                <w:szCs w:val="18"/>
                <w:color w:val="auto"/>
              </w:rPr>
              <w:t>ARTICLE I — MEETINGS OF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1.1</w:t>
            </w:r>
          </w:p>
        </w:tc>
        <w:tc>
          <w:tcPr>
            <w:tcW w:w="7660" w:type="dxa"/>
            <w:vAlign w:val="bottom"/>
          </w:tcPr>
          <w:p>
            <w:pPr>
              <w:ind w:left="220"/>
              <w:spacing w:after="0"/>
              <w:rPr>
                <w:sz w:val="20"/>
                <w:szCs w:val="20"/>
                <w:color w:val="auto"/>
              </w:rPr>
            </w:pPr>
            <w:r>
              <w:rPr>
                <w:rFonts w:ascii="Arial" w:cs="Arial" w:eastAsia="Arial" w:hAnsi="Arial"/>
                <w:sz w:val="18"/>
                <w:szCs w:val="18"/>
                <w:color w:val="auto"/>
              </w:rPr>
              <w:t>Place of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w:t>
            </w:r>
          </w:p>
        </w:tc>
        <w:tc>
          <w:tcPr>
            <w:tcW w:w="7660" w:type="dxa"/>
            <w:vAlign w:val="bottom"/>
          </w:tcPr>
          <w:p>
            <w:pPr>
              <w:ind w:left="220"/>
              <w:spacing w:after="0"/>
              <w:rPr>
                <w:sz w:val="20"/>
                <w:szCs w:val="20"/>
                <w:color w:val="auto"/>
              </w:rPr>
            </w:pPr>
            <w:r>
              <w:rPr>
                <w:rFonts w:ascii="Arial" w:cs="Arial" w:eastAsia="Arial" w:hAnsi="Arial"/>
                <w:sz w:val="18"/>
                <w:szCs w:val="18"/>
                <w:color w:val="auto"/>
              </w:rPr>
              <w:t>Annual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1.3</w:t>
            </w:r>
          </w:p>
        </w:tc>
        <w:tc>
          <w:tcPr>
            <w:tcW w:w="7660" w:type="dxa"/>
            <w:vAlign w:val="bottom"/>
          </w:tcPr>
          <w:p>
            <w:pPr>
              <w:ind w:left="220"/>
              <w:spacing w:after="0"/>
              <w:rPr>
                <w:sz w:val="20"/>
                <w:szCs w:val="20"/>
                <w:color w:val="auto"/>
              </w:rPr>
            </w:pPr>
            <w:r>
              <w:rPr>
                <w:rFonts w:ascii="Arial" w:cs="Arial" w:eastAsia="Arial" w:hAnsi="Arial"/>
                <w:sz w:val="18"/>
                <w:szCs w:val="18"/>
                <w:color w:val="auto"/>
              </w:rPr>
              <w:t>Special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1.4</w:t>
            </w:r>
          </w:p>
        </w:tc>
        <w:tc>
          <w:tcPr>
            <w:tcW w:w="7660" w:type="dxa"/>
            <w:vAlign w:val="bottom"/>
          </w:tcPr>
          <w:p>
            <w:pPr>
              <w:ind w:left="220"/>
              <w:spacing w:after="0"/>
              <w:rPr>
                <w:sz w:val="20"/>
                <w:szCs w:val="20"/>
                <w:color w:val="auto"/>
              </w:rPr>
            </w:pPr>
            <w:r>
              <w:rPr>
                <w:rFonts w:ascii="Arial" w:cs="Arial" w:eastAsia="Arial" w:hAnsi="Arial"/>
                <w:sz w:val="18"/>
                <w:szCs w:val="18"/>
                <w:color w:val="auto"/>
              </w:rPr>
              <w:t>Notice of Stockholders’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1.5</w:t>
            </w:r>
          </w:p>
        </w:tc>
        <w:tc>
          <w:tcPr>
            <w:tcW w:w="7660" w:type="dxa"/>
            <w:vAlign w:val="bottom"/>
          </w:tcPr>
          <w:p>
            <w:pPr>
              <w:ind w:left="220"/>
              <w:spacing w:after="0"/>
              <w:rPr>
                <w:sz w:val="20"/>
                <w:szCs w:val="20"/>
                <w:color w:val="auto"/>
              </w:rPr>
            </w:pPr>
            <w:r>
              <w:rPr>
                <w:rFonts w:ascii="Arial" w:cs="Arial" w:eastAsia="Arial" w:hAnsi="Arial"/>
                <w:sz w:val="18"/>
                <w:szCs w:val="18"/>
                <w:color w:val="auto"/>
              </w:rPr>
              <w:t>Quorum</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1.6</w:t>
            </w:r>
          </w:p>
        </w:tc>
        <w:tc>
          <w:tcPr>
            <w:tcW w:w="7660" w:type="dxa"/>
            <w:vAlign w:val="bottom"/>
          </w:tcPr>
          <w:p>
            <w:pPr>
              <w:ind w:left="220"/>
              <w:spacing w:after="0"/>
              <w:rPr>
                <w:sz w:val="20"/>
                <w:szCs w:val="20"/>
                <w:color w:val="auto"/>
              </w:rPr>
            </w:pPr>
            <w:r>
              <w:rPr>
                <w:rFonts w:ascii="Arial" w:cs="Arial" w:eastAsia="Arial" w:hAnsi="Arial"/>
                <w:sz w:val="18"/>
                <w:szCs w:val="18"/>
                <w:color w:val="auto"/>
              </w:rPr>
              <w:t>Adjourned Meeting;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1.7</w:t>
            </w:r>
          </w:p>
        </w:tc>
        <w:tc>
          <w:tcPr>
            <w:tcW w:w="7660" w:type="dxa"/>
            <w:vAlign w:val="bottom"/>
          </w:tcPr>
          <w:p>
            <w:pPr>
              <w:ind w:left="220"/>
              <w:spacing w:after="0"/>
              <w:rPr>
                <w:sz w:val="20"/>
                <w:szCs w:val="20"/>
                <w:color w:val="auto"/>
              </w:rPr>
            </w:pPr>
            <w:r>
              <w:rPr>
                <w:rFonts w:ascii="Arial" w:cs="Arial" w:eastAsia="Arial" w:hAnsi="Arial"/>
                <w:sz w:val="18"/>
                <w:szCs w:val="18"/>
                <w:color w:val="auto"/>
              </w:rPr>
              <w:t>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1.8</w:t>
            </w:r>
          </w:p>
        </w:tc>
        <w:tc>
          <w:tcPr>
            <w:tcW w:w="7660" w:type="dxa"/>
            <w:vAlign w:val="bottom"/>
          </w:tcPr>
          <w:p>
            <w:pPr>
              <w:ind w:left="220"/>
              <w:spacing w:after="0"/>
              <w:rPr>
                <w:sz w:val="20"/>
                <w:szCs w:val="20"/>
                <w:color w:val="auto"/>
              </w:rPr>
            </w:pPr>
            <w:r>
              <w:rPr>
                <w:rFonts w:ascii="Arial" w:cs="Arial" w:eastAsia="Arial" w:hAnsi="Arial"/>
                <w:sz w:val="18"/>
                <w:szCs w:val="18"/>
                <w:color w:val="auto"/>
              </w:rPr>
              <w:t>Voting</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1.9</w:t>
            </w:r>
          </w:p>
        </w:tc>
        <w:tc>
          <w:tcPr>
            <w:tcW w:w="7660" w:type="dxa"/>
            <w:vAlign w:val="bottom"/>
          </w:tcPr>
          <w:p>
            <w:pPr>
              <w:ind w:left="220"/>
              <w:spacing w:after="0"/>
              <w:rPr>
                <w:sz w:val="20"/>
                <w:szCs w:val="20"/>
                <w:color w:val="auto"/>
              </w:rPr>
            </w:pPr>
            <w:r>
              <w:rPr>
                <w:rFonts w:ascii="Arial" w:cs="Arial" w:eastAsia="Arial" w:hAnsi="Arial"/>
                <w:sz w:val="18"/>
                <w:szCs w:val="18"/>
                <w:color w:val="auto"/>
              </w:rPr>
              <w:t>Stockholder Action by Written Consent Without a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1.10</w:t>
            </w:r>
          </w:p>
        </w:tc>
        <w:tc>
          <w:tcPr>
            <w:tcW w:w="7660" w:type="dxa"/>
            <w:vAlign w:val="bottom"/>
          </w:tcPr>
          <w:p>
            <w:pPr>
              <w:ind w:left="220"/>
              <w:spacing w:after="0"/>
              <w:rPr>
                <w:sz w:val="20"/>
                <w:szCs w:val="20"/>
                <w:color w:val="auto"/>
              </w:rPr>
            </w:pPr>
            <w:r>
              <w:rPr>
                <w:rFonts w:ascii="Arial" w:cs="Arial" w:eastAsia="Arial" w:hAnsi="Arial"/>
                <w:sz w:val="18"/>
                <w:szCs w:val="18"/>
                <w:color w:val="auto"/>
              </w:rPr>
              <w:t>Record Dates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1.11</w:t>
            </w:r>
          </w:p>
        </w:tc>
        <w:tc>
          <w:tcPr>
            <w:tcW w:w="7660" w:type="dxa"/>
            <w:vAlign w:val="bottom"/>
          </w:tcPr>
          <w:p>
            <w:pPr>
              <w:ind w:left="220"/>
              <w:spacing w:after="0"/>
              <w:rPr>
                <w:sz w:val="20"/>
                <w:szCs w:val="20"/>
                <w:color w:val="auto"/>
              </w:rPr>
            </w:pPr>
            <w:r>
              <w:rPr>
                <w:rFonts w:ascii="Arial" w:cs="Arial" w:eastAsia="Arial" w:hAnsi="Arial"/>
                <w:sz w:val="18"/>
                <w:szCs w:val="18"/>
                <w:color w:val="auto"/>
              </w:rPr>
              <w:t>Proxies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1.12</w:t>
            </w:r>
          </w:p>
        </w:tc>
        <w:tc>
          <w:tcPr>
            <w:tcW w:w="7660" w:type="dxa"/>
            <w:vAlign w:val="bottom"/>
          </w:tcPr>
          <w:p>
            <w:pPr>
              <w:ind w:left="220"/>
              <w:spacing w:after="0"/>
              <w:rPr>
                <w:sz w:val="20"/>
                <w:szCs w:val="20"/>
                <w:color w:val="auto"/>
              </w:rPr>
            </w:pPr>
            <w:r>
              <w:rPr>
                <w:rFonts w:ascii="Arial" w:cs="Arial" w:eastAsia="Arial" w:hAnsi="Arial"/>
                <w:sz w:val="18"/>
                <w:szCs w:val="18"/>
                <w:color w:val="auto"/>
              </w:rPr>
              <w:t>List of Stockholders Entitled to Vote</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2.1</w:t>
            </w:r>
          </w:p>
        </w:tc>
        <w:tc>
          <w:tcPr>
            <w:tcW w:w="7660" w:type="dxa"/>
            <w:vAlign w:val="bottom"/>
          </w:tcPr>
          <w:p>
            <w:pPr>
              <w:ind w:left="220"/>
              <w:spacing w:after="0"/>
              <w:rPr>
                <w:sz w:val="20"/>
                <w:szCs w:val="20"/>
                <w:color w:val="auto"/>
              </w:rPr>
            </w:pPr>
            <w:r>
              <w:rPr>
                <w:rFonts w:ascii="Arial" w:cs="Arial" w:eastAsia="Arial" w:hAnsi="Arial"/>
                <w:sz w:val="18"/>
                <w:szCs w:val="18"/>
                <w:color w:val="auto"/>
              </w:rPr>
              <w:t>Powers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2.2</w:t>
            </w:r>
          </w:p>
        </w:tc>
        <w:tc>
          <w:tcPr>
            <w:tcW w:w="7660" w:type="dxa"/>
            <w:vAlign w:val="bottom"/>
          </w:tcPr>
          <w:p>
            <w:pPr>
              <w:ind w:left="220"/>
              <w:spacing w:after="0"/>
              <w:rPr>
                <w:sz w:val="20"/>
                <w:szCs w:val="20"/>
                <w:color w:val="auto"/>
              </w:rPr>
            </w:pPr>
            <w:r>
              <w:rPr>
                <w:rFonts w:ascii="Arial" w:cs="Arial" w:eastAsia="Arial" w:hAnsi="Arial"/>
                <w:sz w:val="18"/>
                <w:szCs w:val="18"/>
                <w:color w:val="auto"/>
              </w:rPr>
              <w:t>Number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2.3</w:t>
            </w:r>
          </w:p>
        </w:tc>
        <w:tc>
          <w:tcPr>
            <w:tcW w:w="7660" w:type="dxa"/>
            <w:vAlign w:val="bottom"/>
          </w:tcPr>
          <w:p>
            <w:pPr>
              <w:ind w:left="220"/>
              <w:spacing w:after="0"/>
              <w:rPr>
                <w:sz w:val="20"/>
                <w:szCs w:val="20"/>
                <w:color w:val="auto"/>
              </w:rPr>
            </w:pPr>
            <w:r>
              <w:rPr>
                <w:rFonts w:ascii="Arial" w:cs="Arial" w:eastAsia="Arial" w:hAnsi="Arial"/>
                <w:sz w:val="18"/>
                <w:szCs w:val="18"/>
                <w:color w:val="auto"/>
              </w:rPr>
              <w:t>Election, Qualification and Term of Office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2.4</w:t>
            </w:r>
          </w:p>
        </w:tc>
        <w:tc>
          <w:tcPr>
            <w:tcW w:w="7660" w:type="dxa"/>
            <w:vAlign w:val="bottom"/>
          </w:tcPr>
          <w:p>
            <w:pPr>
              <w:ind w:left="220"/>
              <w:spacing w:after="0"/>
              <w:rPr>
                <w:sz w:val="20"/>
                <w:szCs w:val="20"/>
                <w:color w:val="auto"/>
              </w:rPr>
            </w:pPr>
            <w:r>
              <w:rPr>
                <w:rFonts w:ascii="Arial" w:cs="Arial" w:eastAsia="Arial" w:hAnsi="Arial"/>
                <w:sz w:val="18"/>
                <w:szCs w:val="18"/>
                <w:color w:val="auto"/>
              </w:rPr>
              <w:t>Resignation and Vacancies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2.5</w:t>
            </w:r>
          </w:p>
        </w:tc>
        <w:tc>
          <w:tcPr>
            <w:tcW w:w="7660" w:type="dxa"/>
            <w:vAlign w:val="bottom"/>
          </w:tcPr>
          <w:p>
            <w:pPr>
              <w:ind w:left="220"/>
              <w:spacing w:after="0"/>
              <w:rPr>
                <w:sz w:val="20"/>
                <w:szCs w:val="20"/>
                <w:color w:val="auto"/>
              </w:rPr>
            </w:pPr>
            <w:r>
              <w:rPr>
                <w:rFonts w:ascii="Arial" w:cs="Arial" w:eastAsia="Arial" w:hAnsi="Arial"/>
                <w:sz w:val="18"/>
                <w:szCs w:val="18"/>
                <w:color w:val="auto"/>
              </w:rPr>
              <w:t>Place of Meetings; Meetings by Telephone</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2.6</w:t>
            </w:r>
          </w:p>
        </w:tc>
        <w:tc>
          <w:tcPr>
            <w:tcW w:w="7660" w:type="dxa"/>
            <w:vAlign w:val="bottom"/>
          </w:tcPr>
          <w:p>
            <w:pPr>
              <w:ind w:left="220"/>
              <w:spacing w:after="0"/>
              <w:rPr>
                <w:sz w:val="20"/>
                <w:szCs w:val="20"/>
                <w:color w:val="auto"/>
              </w:rPr>
            </w:pPr>
            <w:r>
              <w:rPr>
                <w:rFonts w:ascii="Arial" w:cs="Arial" w:eastAsia="Arial" w:hAnsi="Arial"/>
                <w:sz w:val="18"/>
                <w:szCs w:val="18"/>
                <w:color w:val="auto"/>
              </w:rPr>
              <w:t>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2.7</w:t>
            </w:r>
          </w:p>
        </w:tc>
        <w:tc>
          <w:tcPr>
            <w:tcW w:w="7660" w:type="dxa"/>
            <w:vAlign w:val="bottom"/>
          </w:tcPr>
          <w:p>
            <w:pPr>
              <w:ind w:left="220"/>
              <w:spacing w:after="0"/>
              <w:rPr>
                <w:sz w:val="20"/>
                <w:szCs w:val="20"/>
                <w:color w:val="auto"/>
              </w:rPr>
            </w:pPr>
            <w:r>
              <w:rPr>
                <w:rFonts w:ascii="Arial" w:cs="Arial" w:eastAsia="Arial" w:hAnsi="Arial"/>
                <w:sz w:val="18"/>
                <w:szCs w:val="18"/>
                <w:color w:val="auto"/>
              </w:rPr>
              <w:t>Regular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2.8</w:t>
            </w:r>
          </w:p>
        </w:tc>
        <w:tc>
          <w:tcPr>
            <w:tcW w:w="7660" w:type="dxa"/>
            <w:vAlign w:val="bottom"/>
          </w:tcPr>
          <w:p>
            <w:pPr>
              <w:ind w:left="220"/>
              <w:spacing w:after="0"/>
              <w:rPr>
                <w:sz w:val="20"/>
                <w:szCs w:val="20"/>
                <w:color w:val="auto"/>
              </w:rPr>
            </w:pPr>
            <w:r>
              <w:rPr>
                <w:rFonts w:ascii="Arial" w:cs="Arial" w:eastAsia="Arial" w:hAnsi="Arial"/>
                <w:sz w:val="18"/>
                <w:szCs w:val="18"/>
                <w:color w:val="auto"/>
              </w:rPr>
              <w:t>Special Meetings;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2.9</w:t>
            </w:r>
          </w:p>
        </w:tc>
        <w:tc>
          <w:tcPr>
            <w:tcW w:w="7660" w:type="dxa"/>
            <w:vAlign w:val="bottom"/>
          </w:tcPr>
          <w:p>
            <w:pPr>
              <w:ind w:left="220"/>
              <w:spacing w:after="0"/>
              <w:rPr>
                <w:sz w:val="20"/>
                <w:szCs w:val="20"/>
                <w:color w:val="auto"/>
              </w:rPr>
            </w:pPr>
            <w:r>
              <w:rPr>
                <w:rFonts w:ascii="Arial" w:cs="Arial" w:eastAsia="Arial" w:hAnsi="Arial"/>
                <w:sz w:val="18"/>
                <w:szCs w:val="18"/>
                <w:color w:val="auto"/>
              </w:rPr>
              <w:t>Quorum; Voting</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2.10</w:t>
            </w:r>
          </w:p>
        </w:tc>
        <w:tc>
          <w:tcPr>
            <w:tcW w:w="7660" w:type="dxa"/>
            <w:vAlign w:val="bottom"/>
          </w:tcPr>
          <w:p>
            <w:pPr>
              <w:ind w:left="220"/>
              <w:spacing w:after="0"/>
              <w:rPr>
                <w:sz w:val="20"/>
                <w:szCs w:val="20"/>
                <w:color w:val="auto"/>
              </w:rPr>
            </w:pPr>
            <w:r>
              <w:rPr>
                <w:rFonts w:ascii="Arial" w:cs="Arial" w:eastAsia="Arial" w:hAnsi="Arial"/>
                <w:sz w:val="18"/>
                <w:szCs w:val="18"/>
                <w:color w:val="auto"/>
              </w:rPr>
              <w:t>Board Action by Written Consent Without a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2.11</w:t>
            </w:r>
          </w:p>
        </w:tc>
        <w:tc>
          <w:tcPr>
            <w:tcW w:w="7660" w:type="dxa"/>
            <w:vAlign w:val="bottom"/>
          </w:tcPr>
          <w:p>
            <w:pPr>
              <w:ind w:left="220"/>
              <w:spacing w:after="0"/>
              <w:rPr>
                <w:sz w:val="20"/>
                <w:szCs w:val="20"/>
                <w:color w:val="auto"/>
              </w:rPr>
            </w:pPr>
            <w:r>
              <w:rPr>
                <w:rFonts w:ascii="Arial" w:cs="Arial" w:eastAsia="Arial" w:hAnsi="Arial"/>
                <w:sz w:val="18"/>
                <w:szCs w:val="18"/>
                <w:color w:val="auto"/>
              </w:rPr>
              <w:t>Fees and Compensation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2.12</w:t>
            </w:r>
          </w:p>
        </w:tc>
        <w:tc>
          <w:tcPr>
            <w:tcW w:w="7660" w:type="dxa"/>
            <w:vAlign w:val="bottom"/>
          </w:tcPr>
          <w:p>
            <w:pPr>
              <w:ind w:left="220"/>
              <w:spacing w:after="0"/>
              <w:rPr>
                <w:sz w:val="20"/>
                <w:szCs w:val="20"/>
                <w:color w:val="auto"/>
              </w:rPr>
            </w:pPr>
            <w:r>
              <w:rPr>
                <w:rFonts w:ascii="Arial" w:cs="Arial" w:eastAsia="Arial" w:hAnsi="Arial"/>
                <w:sz w:val="18"/>
                <w:szCs w:val="18"/>
                <w:color w:val="auto"/>
              </w:rPr>
              <w:t>Removal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3.1</w:t>
            </w:r>
          </w:p>
        </w:tc>
        <w:tc>
          <w:tcPr>
            <w:tcW w:w="7660" w:type="dxa"/>
            <w:vAlign w:val="bottom"/>
          </w:tcPr>
          <w:p>
            <w:pPr>
              <w:ind w:left="220"/>
              <w:spacing w:after="0"/>
              <w:rPr>
                <w:sz w:val="20"/>
                <w:szCs w:val="20"/>
                <w:color w:val="auto"/>
              </w:rPr>
            </w:pPr>
            <w:r>
              <w:rPr>
                <w:rFonts w:ascii="Arial" w:cs="Arial" w:eastAsia="Arial" w:hAnsi="Arial"/>
                <w:sz w:val="18"/>
                <w:szCs w:val="18"/>
                <w:color w:val="auto"/>
              </w:rPr>
              <w:t>Committees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3.2</w:t>
            </w:r>
          </w:p>
        </w:tc>
        <w:tc>
          <w:tcPr>
            <w:tcW w:w="7660" w:type="dxa"/>
            <w:vAlign w:val="bottom"/>
          </w:tcPr>
          <w:p>
            <w:pPr>
              <w:ind w:left="220"/>
              <w:spacing w:after="0"/>
              <w:rPr>
                <w:sz w:val="20"/>
                <w:szCs w:val="20"/>
                <w:color w:val="auto"/>
              </w:rPr>
            </w:pPr>
            <w:r>
              <w:rPr>
                <w:rFonts w:ascii="Arial" w:cs="Arial" w:eastAsia="Arial" w:hAnsi="Arial"/>
                <w:sz w:val="18"/>
                <w:szCs w:val="18"/>
                <w:color w:val="auto"/>
              </w:rPr>
              <w:t>Committee Minutes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3.3</w:t>
            </w:r>
          </w:p>
        </w:tc>
        <w:tc>
          <w:tcPr>
            <w:tcW w:w="7660" w:type="dxa"/>
            <w:vAlign w:val="bottom"/>
          </w:tcPr>
          <w:p>
            <w:pPr>
              <w:ind w:left="220"/>
              <w:spacing w:after="0"/>
              <w:rPr>
                <w:sz w:val="20"/>
                <w:szCs w:val="20"/>
                <w:color w:val="auto"/>
              </w:rPr>
            </w:pPr>
            <w:r>
              <w:rPr>
                <w:rFonts w:ascii="Arial" w:cs="Arial" w:eastAsia="Arial" w:hAnsi="Arial"/>
                <w:sz w:val="18"/>
                <w:szCs w:val="18"/>
                <w:color w:val="auto"/>
              </w:rPr>
              <w:t>Meetings and Actions of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3.4</w:t>
            </w:r>
          </w:p>
        </w:tc>
        <w:tc>
          <w:tcPr>
            <w:tcW w:w="7660" w:type="dxa"/>
            <w:vAlign w:val="bottom"/>
          </w:tcPr>
          <w:p>
            <w:pPr>
              <w:ind w:left="220"/>
              <w:spacing w:after="0"/>
              <w:rPr>
                <w:sz w:val="20"/>
                <w:szCs w:val="20"/>
                <w:color w:val="auto"/>
              </w:rPr>
            </w:pPr>
            <w:r>
              <w:rPr>
                <w:rFonts w:ascii="Arial" w:cs="Arial" w:eastAsia="Arial" w:hAnsi="Arial"/>
                <w:sz w:val="18"/>
                <w:szCs w:val="18"/>
                <w:color w:val="auto"/>
              </w:rPr>
              <w:t>Subcommittees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4.1</w:t>
            </w:r>
          </w:p>
        </w:tc>
        <w:tc>
          <w:tcPr>
            <w:tcW w:w="7660" w:type="dxa"/>
            <w:vAlign w:val="bottom"/>
          </w:tcPr>
          <w:p>
            <w:pPr>
              <w:ind w:left="220"/>
              <w:spacing w:after="0"/>
              <w:rPr>
                <w:sz w:val="20"/>
                <w:szCs w:val="20"/>
                <w:color w:val="auto"/>
              </w:rPr>
            </w:pPr>
            <w:r>
              <w:rPr>
                <w:rFonts w:ascii="Arial" w:cs="Arial" w:eastAsia="Arial" w:hAnsi="Arial"/>
                <w:sz w:val="18"/>
                <w:szCs w:val="18"/>
                <w:color w:val="auto"/>
              </w:rPr>
              <w:t>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4.2</w:t>
            </w:r>
          </w:p>
        </w:tc>
        <w:tc>
          <w:tcPr>
            <w:tcW w:w="7660" w:type="dxa"/>
            <w:vAlign w:val="bottom"/>
          </w:tcPr>
          <w:p>
            <w:pPr>
              <w:ind w:left="220"/>
              <w:spacing w:after="0"/>
              <w:rPr>
                <w:sz w:val="20"/>
                <w:szCs w:val="20"/>
                <w:color w:val="auto"/>
              </w:rPr>
            </w:pPr>
            <w:r>
              <w:rPr>
                <w:rFonts w:ascii="Arial" w:cs="Arial" w:eastAsia="Arial" w:hAnsi="Arial"/>
                <w:sz w:val="18"/>
                <w:szCs w:val="18"/>
                <w:color w:val="auto"/>
              </w:rPr>
              <w:t>Appointment of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4.3</w:t>
            </w:r>
          </w:p>
        </w:tc>
        <w:tc>
          <w:tcPr>
            <w:tcW w:w="7660" w:type="dxa"/>
            <w:vAlign w:val="bottom"/>
          </w:tcPr>
          <w:p>
            <w:pPr>
              <w:ind w:left="220"/>
              <w:spacing w:after="0"/>
              <w:rPr>
                <w:sz w:val="20"/>
                <w:szCs w:val="20"/>
                <w:color w:val="auto"/>
              </w:rPr>
            </w:pPr>
            <w:r>
              <w:rPr>
                <w:rFonts w:ascii="Arial" w:cs="Arial" w:eastAsia="Arial" w:hAnsi="Arial"/>
                <w:sz w:val="18"/>
                <w:szCs w:val="18"/>
                <w:color w:val="auto"/>
              </w:rPr>
              <w:t>Subordinate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4.4</w:t>
            </w:r>
          </w:p>
        </w:tc>
        <w:tc>
          <w:tcPr>
            <w:tcW w:w="7660" w:type="dxa"/>
            <w:vAlign w:val="bottom"/>
          </w:tcPr>
          <w:p>
            <w:pPr>
              <w:ind w:left="220"/>
              <w:spacing w:after="0"/>
              <w:rPr>
                <w:sz w:val="20"/>
                <w:szCs w:val="20"/>
                <w:color w:val="auto"/>
              </w:rPr>
            </w:pPr>
            <w:r>
              <w:rPr>
                <w:rFonts w:ascii="Arial" w:cs="Arial" w:eastAsia="Arial" w:hAnsi="Arial"/>
                <w:sz w:val="18"/>
                <w:szCs w:val="18"/>
                <w:color w:val="auto"/>
              </w:rPr>
              <w:t>Removal and Resignation of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4.5</w:t>
            </w:r>
          </w:p>
        </w:tc>
        <w:tc>
          <w:tcPr>
            <w:tcW w:w="7660" w:type="dxa"/>
            <w:vAlign w:val="bottom"/>
          </w:tcPr>
          <w:p>
            <w:pPr>
              <w:ind w:left="220"/>
              <w:spacing w:after="0"/>
              <w:rPr>
                <w:sz w:val="20"/>
                <w:szCs w:val="20"/>
                <w:color w:val="auto"/>
              </w:rPr>
            </w:pPr>
            <w:r>
              <w:rPr>
                <w:rFonts w:ascii="Arial" w:cs="Arial" w:eastAsia="Arial" w:hAnsi="Arial"/>
                <w:sz w:val="18"/>
                <w:szCs w:val="18"/>
                <w:color w:val="auto"/>
              </w:rPr>
              <w:t>Vacancies in Offices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4.6</w:t>
            </w:r>
          </w:p>
        </w:tc>
        <w:tc>
          <w:tcPr>
            <w:tcW w:w="7660" w:type="dxa"/>
            <w:vAlign w:val="bottom"/>
          </w:tcPr>
          <w:p>
            <w:pPr>
              <w:ind w:left="220"/>
              <w:spacing w:after="0"/>
              <w:rPr>
                <w:sz w:val="20"/>
                <w:szCs w:val="20"/>
                <w:color w:val="auto"/>
              </w:rPr>
            </w:pPr>
            <w:r>
              <w:rPr>
                <w:rFonts w:ascii="Arial" w:cs="Arial" w:eastAsia="Arial" w:hAnsi="Arial"/>
                <w:sz w:val="18"/>
                <w:szCs w:val="18"/>
                <w:color w:val="auto"/>
              </w:rPr>
              <w:t>Representation of Shares of Other Corporations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4.7</w:t>
            </w:r>
          </w:p>
        </w:tc>
        <w:tc>
          <w:tcPr>
            <w:tcW w:w="7660" w:type="dxa"/>
            <w:vAlign w:val="bottom"/>
          </w:tcPr>
          <w:p>
            <w:pPr>
              <w:ind w:left="220"/>
              <w:spacing w:after="0"/>
              <w:rPr>
                <w:sz w:val="20"/>
                <w:szCs w:val="20"/>
                <w:color w:val="auto"/>
              </w:rPr>
            </w:pPr>
            <w:r>
              <w:rPr>
                <w:rFonts w:ascii="Arial" w:cs="Arial" w:eastAsia="Arial" w:hAnsi="Arial"/>
                <w:sz w:val="18"/>
                <w:szCs w:val="18"/>
                <w:color w:val="auto"/>
              </w:rPr>
              <w:t>Authority and Duties of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6" w:name="page297"/>
    <w:bookmarkEnd w:id="29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Page</w:t>
            </w:r>
          </w:p>
        </w:tc>
      </w:tr>
      <w:tr>
        <w:trPr>
          <w:trHeight w:val="309"/>
        </w:trPr>
        <w:tc>
          <w:tcPr>
            <w:tcW w:w="9040" w:type="dxa"/>
            <w:vAlign w:val="bottom"/>
            <w:gridSpan w:val="2"/>
          </w:tcPr>
          <w:p>
            <w:pPr>
              <w:spacing w:after="0"/>
              <w:rPr>
                <w:sz w:val="20"/>
                <w:szCs w:val="20"/>
                <w:color w:val="auto"/>
              </w:rPr>
            </w:pPr>
            <w:r>
              <w:rPr>
                <w:rFonts w:ascii="Arial" w:cs="Arial" w:eastAsia="Arial" w:hAnsi="Arial"/>
                <w:sz w:val="18"/>
                <w:szCs w:val="18"/>
                <w:color w:val="auto"/>
              </w:rPr>
              <w:t>ARTICLE V — INDEMNIFICATION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5.1</w:t>
            </w:r>
          </w:p>
        </w:tc>
        <w:tc>
          <w:tcPr>
            <w:tcW w:w="8140" w:type="dxa"/>
            <w:vAlign w:val="bottom"/>
          </w:tcPr>
          <w:p>
            <w:pPr>
              <w:ind w:left="22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5.2</w:t>
            </w:r>
          </w:p>
        </w:tc>
        <w:tc>
          <w:tcPr>
            <w:tcW w:w="8140" w:type="dxa"/>
            <w:vAlign w:val="bottom"/>
          </w:tcPr>
          <w:p>
            <w:pPr>
              <w:ind w:left="220"/>
              <w:spacing w:after="0"/>
              <w:rPr>
                <w:sz w:val="20"/>
                <w:szCs w:val="20"/>
                <w:color w:val="auto"/>
              </w:rPr>
            </w:pPr>
            <w:r>
              <w:rPr>
                <w:rFonts w:ascii="Arial" w:cs="Arial" w:eastAsia="Arial" w:hAnsi="Arial"/>
                <w:sz w:val="18"/>
                <w:szCs w:val="18"/>
                <w:color w:val="auto"/>
              </w:rPr>
              <w:t>Indemnification of Directors and Officers in Actions by or in the Right of the Company</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5.3</w:t>
            </w:r>
          </w:p>
        </w:tc>
        <w:tc>
          <w:tcPr>
            <w:tcW w:w="8140" w:type="dxa"/>
            <w:vAlign w:val="bottom"/>
          </w:tcPr>
          <w:p>
            <w:pPr>
              <w:ind w:left="220"/>
              <w:spacing w:after="0"/>
              <w:rPr>
                <w:sz w:val="20"/>
                <w:szCs w:val="20"/>
                <w:color w:val="auto"/>
              </w:rPr>
            </w:pPr>
            <w:r>
              <w:rPr>
                <w:rFonts w:ascii="Arial" w:cs="Arial" w:eastAsia="Arial" w:hAnsi="Arial"/>
                <w:sz w:val="18"/>
                <w:szCs w:val="18"/>
                <w:color w:val="auto"/>
              </w:rPr>
              <w:t>Successful Defense</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5.4</w:t>
            </w:r>
          </w:p>
        </w:tc>
        <w:tc>
          <w:tcPr>
            <w:tcW w:w="8140" w:type="dxa"/>
            <w:vAlign w:val="bottom"/>
          </w:tcPr>
          <w:p>
            <w:pPr>
              <w:ind w:left="220"/>
              <w:spacing w:after="0"/>
              <w:rPr>
                <w:sz w:val="20"/>
                <w:szCs w:val="20"/>
                <w:color w:val="auto"/>
              </w:rPr>
            </w:pPr>
            <w:r>
              <w:rPr>
                <w:rFonts w:ascii="Arial" w:cs="Arial" w:eastAsia="Arial" w:hAnsi="Arial"/>
                <w:sz w:val="18"/>
                <w:szCs w:val="18"/>
                <w:color w:val="auto"/>
              </w:rPr>
              <w:t>Indemnification of Others</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5.5</w:t>
            </w:r>
          </w:p>
        </w:tc>
        <w:tc>
          <w:tcPr>
            <w:tcW w:w="8140" w:type="dxa"/>
            <w:vAlign w:val="bottom"/>
          </w:tcPr>
          <w:p>
            <w:pPr>
              <w:ind w:left="220"/>
              <w:spacing w:after="0"/>
              <w:rPr>
                <w:sz w:val="20"/>
                <w:szCs w:val="20"/>
                <w:color w:val="auto"/>
              </w:rPr>
            </w:pPr>
            <w:r>
              <w:rPr>
                <w:rFonts w:ascii="Arial" w:cs="Arial" w:eastAsia="Arial" w:hAnsi="Arial"/>
                <w:sz w:val="18"/>
                <w:szCs w:val="18"/>
                <w:color w:val="auto"/>
              </w:rPr>
              <w:t>Advanced Payment of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5.6</w:t>
            </w:r>
          </w:p>
        </w:tc>
        <w:tc>
          <w:tcPr>
            <w:tcW w:w="8140" w:type="dxa"/>
            <w:vAlign w:val="bottom"/>
          </w:tcPr>
          <w:p>
            <w:pPr>
              <w:ind w:left="220"/>
              <w:spacing w:after="0"/>
              <w:rPr>
                <w:sz w:val="20"/>
                <w:szCs w:val="20"/>
                <w:color w:val="auto"/>
              </w:rPr>
            </w:pPr>
            <w:r>
              <w:rPr>
                <w:rFonts w:ascii="Arial" w:cs="Arial" w:eastAsia="Arial" w:hAnsi="Arial"/>
                <w:sz w:val="18"/>
                <w:szCs w:val="18"/>
                <w:color w:val="auto"/>
              </w:rPr>
              <w:t>Limitation on Indemnification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5.7</w:t>
            </w:r>
          </w:p>
        </w:tc>
        <w:tc>
          <w:tcPr>
            <w:tcW w:w="8140" w:type="dxa"/>
            <w:vAlign w:val="bottom"/>
          </w:tcPr>
          <w:p>
            <w:pPr>
              <w:ind w:left="220"/>
              <w:spacing w:after="0"/>
              <w:rPr>
                <w:sz w:val="20"/>
                <w:szCs w:val="20"/>
                <w:color w:val="auto"/>
              </w:rPr>
            </w:pPr>
            <w:r>
              <w:rPr>
                <w:rFonts w:ascii="Arial" w:cs="Arial" w:eastAsia="Arial" w:hAnsi="Arial"/>
                <w:sz w:val="18"/>
                <w:szCs w:val="18"/>
                <w:color w:val="auto"/>
              </w:rPr>
              <w:t>Determination; Claim</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5.8</w:t>
            </w:r>
          </w:p>
        </w:tc>
        <w:tc>
          <w:tcPr>
            <w:tcW w:w="8140" w:type="dxa"/>
            <w:vAlign w:val="bottom"/>
          </w:tcPr>
          <w:p>
            <w:pPr>
              <w:ind w:left="220"/>
              <w:spacing w:after="0"/>
              <w:rPr>
                <w:sz w:val="20"/>
                <w:szCs w:val="20"/>
                <w:color w:val="auto"/>
              </w:rPr>
            </w:pPr>
            <w:r>
              <w:rPr>
                <w:rFonts w:ascii="Arial" w:cs="Arial" w:eastAsia="Arial" w:hAnsi="Arial"/>
                <w:sz w:val="18"/>
                <w:szCs w:val="18"/>
                <w:color w:val="auto"/>
              </w:rPr>
              <w:t>Non-Exclusivity of Rights</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5.9</w:t>
            </w:r>
          </w:p>
        </w:tc>
        <w:tc>
          <w:tcPr>
            <w:tcW w:w="814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5.10</w:t>
            </w:r>
          </w:p>
        </w:tc>
        <w:tc>
          <w:tcPr>
            <w:tcW w:w="8140" w:type="dxa"/>
            <w:vAlign w:val="bottom"/>
          </w:tcPr>
          <w:p>
            <w:pPr>
              <w:ind w:left="220"/>
              <w:spacing w:after="0"/>
              <w:rPr>
                <w:sz w:val="20"/>
                <w:szCs w:val="20"/>
                <w:color w:val="auto"/>
              </w:rPr>
            </w:pPr>
            <w:r>
              <w:rPr>
                <w:rFonts w:ascii="Arial" w:cs="Arial" w:eastAsia="Arial" w:hAnsi="Arial"/>
                <w:sz w:val="18"/>
                <w:szCs w:val="18"/>
                <w:color w:val="auto"/>
              </w:rPr>
              <w:t>Survival</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5.11</w:t>
            </w:r>
          </w:p>
        </w:tc>
        <w:tc>
          <w:tcPr>
            <w:tcW w:w="8140" w:type="dxa"/>
            <w:vAlign w:val="bottom"/>
          </w:tcPr>
          <w:p>
            <w:pPr>
              <w:ind w:left="220"/>
              <w:spacing w:after="0"/>
              <w:rPr>
                <w:sz w:val="20"/>
                <w:szCs w:val="20"/>
                <w:color w:val="auto"/>
              </w:rPr>
            </w:pPr>
            <w:r>
              <w:rPr>
                <w:rFonts w:ascii="Arial" w:cs="Arial" w:eastAsia="Arial" w:hAnsi="Arial"/>
                <w:sz w:val="18"/>
                <w:szCs w:val="18"/>
                <w:color w:val="auto"/>
              </w:rPr>
              <w:t>Effect of Repeal or Modification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5.12</w:t>
            </w:r>
          </w:p>
        </w:tc>
        <w:tc>
          <w:tcPr>
            <w:tcW w:w="8140" w:type="dxa"/>
            <w:vAlign w:val="bottom"/>
          </w:tcPr>
          <w:p>
            <w:pPr>
              <w:ind w:left="220"/>
              <w:spacing w:after="0"/>
              <w:rPr>
                <w:sz w:val="20"/>
                <w:szCs w:val="20"/>
                <w:color w:val="auto"/>
              </w:rPr>
            </w:pPr>
            <w:r>
              <w:rPr>
                <w:rFonts w:ascii="Arial" w:cs="Arial" w:eastAsia="Arial" w:hAnsi="Arial"/>
                <w:sz w:val="18"/>
                <w:szCs w:val="18"/>
                <w:color w:val="auto"/>
              </w:rPr>
              <w:t>Certain 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1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6.1</w:t>
            </w:r>
          </w:p>
        </w:tc>
        <w:tc>
          <w:tcPr>
            <w:tcW w:w="8140" w:type="dxa"/>
            <w:vAlign w:val="bottom"/>
          </w:tcPr>
          <w:p>
            <w:pPr>
              <w:ind w:left="220"/>
              <w:spacing w:after="0"/>
              <w:rPr>
                <w:sz w:val="20"/>
                <w:szCs w:val="20"/>
                <w:color w:val="auto"/>
              </w:rPr>
            </w:pPr>
            <w:r>
              <w:rPr>
                <w:rFonts w:ascii="Arial" w:cs="Arial" w:eastAsia="Arial" w:hAnsi="Arial"/>
                <w:sz w:val="18"/>
                <w:szCs w:val="18"/>
                <w:color w:val="auto"/>
              </w:rPr>
              <w:t>Stock Certificates; Partly Paid Shares</w:t>
            </w:r>
          </w:p>
        </w:tc>
        <w:tc>
          <w:tcPr>
            <w:tcW w:w="1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6.2</w:t>
            </w:r>
          </w:p>
        </w:tc>
        <w:tc>
          <w:tcPr>
            <w:tcW w:w="8140" w:type="dxa"/>
            <w:vAlign w:val="bottom"/>
          </w:tcPr>
          <w:p>
            <w:pPr>
              <w:ind w:left="220"/>
              <w:spacing w:after="0"/>
              <w:rPr>
                <w:sz w:val="20"/>
                <w:szCs w:val="20"/>
                <w:color w:val="auto"/>
              </w:rPr>
            </w:pPr>
            <w:r>
              <w:rPr>
                <w:rFonts w:ascii="Arial" w:cs="Arial" w:eastAsia="Arial" w:hAnsi="Arial"/>
                <w:sz w:val="18"/>
                <w:szCs w:val="18"/>
                <w:color w:val="auto"/>
              </w:rPr>
              <w:t>Special Designation on Certificates</w:t>
            </w:r>
          </w:p>
        </w:tc>
        <w:tc>
          <w:tcPr>
            <w:tcW w:w="1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6.3</w:t>
            </w:r>
          </w:p>
        </w:tc>
        <w:tc>
          <w:tcPr>
            <w:tcW w:w="8140" w:type="dxa"/>
            <w:vAlign w:val="bottom"/>
          </w:tcPr>
          <w:p>
            <w:pPr>
              <w:ind w:left="220"/>
              <w:spacing w:after="0"/>
              <w:rPr>
                <w:sz w:val="20"/>
                <w:szCs w:val="20"/>
                <w:color w:val="auto"/>
              </w:rPr>
            </w:pPr>
            <w:r>
              <w:rPr>
                <w:rFonts w:ascii="Arial" w:cs="Arial" w:eastAsia="Arial" w:hAnsi="Arial"/>
                <w:sz w:val="18"/>
                <w:szCs w:val="18"/>
                <w:color w:val="auto"/>
              </w:rPr>
              <w:t>Lost Certificates</w:t>
            </w:r>
          </w:p>
        </w:tc>
        <w:tc>
          <w:tcPr>
            <w:tcW w:w="1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6.4</w:t>
            </w:r>
          </w:p>
        </w:tc>
        <w:tc>
          <w:tcPr>
            <w:tcW w:w="814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1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6.5</w:t>
            </w:r>
          </w:p>
        </w:tc>
        <w:tc>
          <w:tcPr>
            <w:tcW w:w="8140" w:type="dxa"/>
            <w:vAlign w:val="bottom"/>
          </w:tcPr>
          <w:p>
            <w:pPr>
              <w:ind w:left="220"/>
              <w:spacing w:after="0"/>
              <w:rPr>
                <w:sz w:val="20"/>
                <w:szCs w:val="20"/>
                <w:color w:val="auto"/>
              </w:rPr>
            </w:pPr>
            <w:r>
              <w:rPr>
                <w:rFonts w:ascii="Arial" w:cs="Arial" w:eastAsia="Arial" w:hAnsi="Arial"/>
                <w:sz w:val="18"/>
                <w:szCs w:val="18"/>
                <w:color w:val="auto"/>
              </w:rPr>
              <w:t>Stock Transfer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6.6</w:t>
            </w:r>
          </w:p>
        </w:tc>
        <w:tc>
          <w:tcPr>
            <w:tcW w:w="8140" w:type="dxa"/>
            <w:vAlign w:val="bottom"/>
          </w:tcPr>
          <w:p>
            <w:pPr>
              <w:ind w:left="220"/>
              <w:spacing w:after="0"/>
              <w:rPr>
                <w:sz w:val="20"/>
                <w:szCs w:val="20"/>
                <w:color w:val="auto"/>
              </w:rPr>
            </w:pPr>
            <w:r>
              <w:rPr>
                <w:rFonts w:ascii="Arial" w:cs="Arial" w:eastAsia="Arial" w:hAnsi="Arial"/>
                <w:sz w:val="18"/>
                <w:szCs w:val="18"/>
                <w:color w:val="auto"/>
              </w:rPr>
              <w:t>Registered Stockholders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6.7</w:t>
            </w:r>
          </w:p>
        </w:tc>
        <w:tc>
          <w:tcPr>
            <w:tcW w:w="8140" w:type="dxa"/>
            <w:vAlign w:val="bottom"/>
          </w:tcPr>
          <w:p>
            <w:pPr>
              <w:ind w:left="220"/>
              <w:spacing w:after="0"/>
              <w:rPr>
                <w:sz w:val="20"/>
                <w:szCs w:val="20"/>
                <w:color w:val="auto"/>
              </w:rPr>
            </w:pPr>
            <w:r>
              <w:rPr>
                <w:rFonts w:ascii="Arial" w:cs="Arial" w:eastAsia="Arial" w:hAnsi="Arial"/>
                <w:sz w:val="18"/>
                <w:szCs w:val="18"/>
                <w:color w:val="auto"/>
              </w:rPr>
              <w:t>Transfers</w:t>
            </w:r>
          </w:p>
        </w:tc>
        <w:tc>
          <w:tcPr>
            <w:tcW w:w="1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1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7.1</w:t>
            </w:r>
          </w:p>
        </w:tc>
        <w:tc>
          <w:tcPr>
            <w:tcW w:w="8140" w:type="dxa"/>
            <w:vAlign w:val="bottom"/>
          </w:tcPr>
          <w:p>
            <w:pPr>
              <w:ind w:left="220"/>
              <w:spacing w:after="0"/>
              <w:rPr>
                <w:sz w:val="20"/>
                <w:szCs w:val="20"/>
                <w:color w:val="auto"/>
              </w:rPr>
            </w:pPr>
            <w:r>
              <w:rPr>
                <w:rFonts w:ascii="Arial" w:cs="Arial" w:eastAsia="Arial" w:hAnsi="Arial"/>
                <w:sz w:val="18"/>
                <w:szCs w:val="18"/>
                <w:color w:val="auto"/>
              </w:rPr>
              <w:t>Notice of Stockholder Meetings</w:t>
            </w:r>
          </w:p>
        </w:tc>
        <w:tc>
          <w:tcPr>
            <w:tcW w:w="1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7.2</w:t>
            </w:r>
          </w:p>
        </w:tc>
        <w:tc>
          <w:tcPr>
            <w:tcW w:w="8140" w:type="dxa"/>
            <w:vAlign w:val="bottom"/>
          </w:tcPr>
          <w:p>
            <w:pPr>
              <w:ind w:left="220"/>
              <w:spacing w:after="0"/>
              <w:rPr>
                <w:sz w:val="20"/>
                <w:szCs w:val="20"/>
                <w:color w:val="auto"/>
              </w:rPr>
            </w:pPr>
            <w:r>
              <w:rPr>
                <w:rFonts w:ascii="Arial" w:cs="Arial" w:eastAsia="Arial" w:hAnsi="Arial"/>
                <w:sz w:val="18"/>
                <w:szCs w:val="18"/>
                <w:color w:val="auto"/>
              </w:rPr>
              <w:t>Notice by Electronic Transmission</w:t>
            </w:r>
          </w:p>
        </w:tc>
        <w:tc>
          <w:tcPr>
            <w:tcW w:w="1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7.3</w:t>
            </w:r>
          </w:p>
        </w:tc>
        <w:tc>
          <w:tcPr>
            <w:tcW w:w="8140" w:type="dxa"/>
            <w:vAlign w:val="bottom"/>
          </w:tcPr>
          <w:p>
            <w:pPr>
              <w:ind w:left="220"/>
              <w:spacing w:after="0"/>
              <w:rPr>
                <w:sz w:val="20"/>
                <w:szCs w:val="20"/>
                <w:color w:val="auto"/>
              </w:rPr>
            </w:pPr>
            <w:r>
              <w:rPr>
                <w:rFonts w:ascii="Arial" w:cs="Arial" w:eastAsia="Arial" w:hAnsi="Arial"/>
                <w:sz w:val="18"/>
                <w:szCs w:val="18"/>
                <w:color w:val="auto"/>
              </w:rPr>
              <w:t>Notice to Stockholders Sharing an Address</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7.4</w:t>
            </w:r>
          </w:p>
        </w:tc>
        <w:tc>
          <w:tcPr>
            <w:tcW w:w="8140" w:type="dxa"/>
            <w:vAlign w:val="bottom"/>
          </w:tcPr>
          <w:p>
            <w:pPr>
              <w:ind w:left="220"/>
              <w:spacing w:after="0"/>
              <w:rPr>
                <w:sz w:val="20"/>
                <w:szCs w:val="20"/>
                <w:color w:val="auto"/>
              </w:rPr>
            </w:pPr>
            <w:r>
              <w:rPr>
                <w:rFonts w:ascii="Arial" w:cs="Arial" w:eastAsia="Arial" w:hAnsi="Arial"/>
                <w:sz w:val="18"/>
                <w:szCs w:val="18"/>
                <w:color w:val="auto"/>
              </w:rPr>
              <w:t>Notice to Person with Whom Communication is Unlawful</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7.5</w:t>
            </w:r>
          </w:p>
        </w:tc>
        <w:tc>
          <w:tcPr>
            <w:tcW w:w="8140" w:type="dxa"/>
            <w:vAlign w:val="bottom"/>
          </w:tcPr>
          <w:p>
            <w:pPr>
              <w:ind w:left="220"/>
              <w:spacing w:after="0"/>
              <w:rPr>
                <w:sz w:val="20"/>
                <w:szCs w:val="20"/>
                <w:color w:val="auto"/>
              </w:rPr>
            </w:pPr>
            <w:r>
              <w:rPr>
                <w:rFonts w:ascii="Arial" w:cs="Arial" w:eastAsia="Arial" w:hAnsi="Arial"/>
                <w:sz w:val="18"/>
                <w:szCs w:val="18"/>
                <w:color w:val="auto"/>
              </w:rPr>
              <w:t>Waiver of Notice</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VIII — GENERAL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8.1</w:t>
            </w:r>
          </w:p>
        </w:tc>
        <w:tc>
          <w:tcPr>
            <w:tcW w:w="8140" w:type="dxa"/>
            <w:vAlign w:val="bottom"/>
          </w:tcPr>
          <w:p>
            <w:pPr>
              <w:ind w:left="220"/>
              <w:spacing w:after="0"/>
              <w:rPr>
                <w:sz w:val="20"/>
                <w:szCs w:val="20"/>
                <w:color w:val="auto"/>
              </w:rPr>
            </w:pPr>
            <w:r>
              <w:rPr>
                <w:rFonts w:ascii="Arial" w:cs="Arial" w:eastAsia="Arial" w:hAnsi="Arial"/>
                <w:sz w:val="18"/>
                <w:szCs w:val="18"/>
                <w:color w:val="auto"/>
              </w:rPr>
              <w:t>Fiscal Year</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8.2</w:t>
            </w:r>
          </w:p>
        </w:tc>
        <w:tc>
          <w:tcPr>
            <w:tcW w:w="8140" w:type="dxa"/>
            <w:vAlign w:val="bottom"/>
          </w:tcPr>
          <w:p>
            <w:pPr>
              <w:ind w:left="220"/>
              <w:spacing w:after="0"/>
              <w:rPr>
                <w:sz w:val="20"/>
                <w:szCs w:val="20"/>
                <w:color w:val="auto"/>
              </w:rPr>
            </w:pPr>
            <w:r>
              <w:rPr>
                <w:rFonts w:ascii="Arial" w:cs="Arial" w:eastAsia="Arial" w:hAnsi="Arial"/>
                <w:sz w:val="18"/>
                <w:szCs w:val="18"/>
                <w:color w:val="auto"/>
              </w:rPr>
              <w:t>Seal</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8.3</w:t>
            </w:r>
          </w:p>
        </w:tc>
        <w:tc>
          <w:tcPr>
            <w:tcW w:w="8140" w:type="dxa"/>
            <w:vAlign w:val="bottom"/>
          </w:tcPr>
          <w:p>
            <w:pPr>
              <w:ind w:left="220"/>
              <w:spacing w:after="0"/>
              <w:rPr>
                <w:sz w:val="20"/>
                <w:szCs w:val="20"/>
                <w:color w:val="auto"/>
              </w:rPr>
            </w:pPr>
            <w:r>
              <w:rPr>
                <w:rFonts w:ascii="Arial" w:cs="Arial" w:eastAsia="Arial" w:hAnsi="Arial"/>
                <w:sz w:val="18"/>
                <w:szCs w:val="18"/>
                <w:color w:val="auto"/>
              </w:rPr>
              <w:t>Annual Report</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8.4</w:t>
            </w:r>
          </w:p>
        </w:tc>
        <w:tc>
          <w:tcPr>
            <w:tcW w:w="8140" w:type="dxa"/>
            <w:vAlign w:val="bottom"/>
          </w:tcPr>
          <w:p>
            <w:pPr>
              <w:ind w:left="220"/>
              <w:spacing w:after="0"/>
              <w:rPr>
                <w:sz w:val="20"/>
                <w:szCs w:val="20"/>
                <w:color w:val="auto"/>
              </w:rPr>
            </w:pPr>
            <w:r>
              <w:rPr>
                <w:rFonts w:ascii="Arial" w:cs="Arial" w:eastAsia="Arial" w:hAnsi="Arial"/>
                <w:sz w:val="18"/>
                <w:szCs w:val="18"/>
                <w:color w:val="auto"/>
              </w:rPr>
              <w:t>Construction; Definitions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IX — AMENDMENTS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65"/>
        </w:trPr>
        <w:tc>
          <w:tcPr>
            <w:tcW w:w="900" w:type="dxa"/>
            <w:vAlign w:val="bottom"/>
          </w:tcPr>
          <w:p>
            <w:pPr>
              <w:spacing w:after="0"/>
              <w:rPr>
                <w:sz w:val="24"/>
                <w:szCs w:val="24"/>
                <w:color w:val="auto"/>
              </w:rPr>
            </w:pPr>
          </w:p>
        </w:tc>
        <w:tc>
          <w:tcPr>
            <w:tcW w:w="8140" w:type="dxa"/>
            <w:vAlign w:val="bottom"/>
          </w:tcPr>
          <w:p>
            <w:pPr>
              <w:ind w:left="4560"/>
              <w:spacing w:after="0"/>
              <w:rPr>
                <w:sz w:val="20"/>
                <w:szCs w:val="20"/>
                <w:color w:val="auto"/>
              </w:rPr>
            </w:pPr>
            <w:r>
              <w:rPr>
                <w:rFonts w:ascii="Arial" w:cs="Arial" w:eastAsia="Arial" w:hAnsi="Arial"/>
                <w:sz w:val="18"/>
                <w:szCs w:val="18"/>
                <w:color w:val="auto"/>
              </w:rPr>
              <w:t>ii</w:t>
            </w:r>
          </w:p>
        </w:tc>
        <w:tc>
          <w:tcPr>
            <w:tcW w:w="19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2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Place of Meetings</w:t>
      </w:r>
      <w:r>
        <w:rPr>
          <w:rFonts w:ascii="Arial" w:cs="Arial" w:eastAsia="Arial" w:hAnsi="Arial"/>
          <w:sz w:val="18"/>
          <w:szCs w:val="18"/>
          <w:color w:val="auto"/>
        </w:rPr>
        <w:t>. Meetings of stockholders of Tenaya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held at any place, within or outside the State of Delaware, determined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Company’s principal executive office.</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Unless directors are elected by written consent in lieu of an annual meeting as permitted by Section 211(b) of the DGCL, an annual meeting of stockholders shall be held for the election of directors at such date and time as may be designated by resolution of the Board from time to time. Stockholders may, unless the certificate of incorporation otherwise provides, act by written consent to elect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 Any other proper business may be transacted at the annual meeting.</w:t>
      </w:r>
    </w:p>
    <w:p>
      <w:pPr>
        <w:spacing w:after="0" w:line="192"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225" w:lineRule="exact"/>
        <w:rPr>
          <w:sz w:val="20"/>
          <w:szCs w:val="20"/>
          <w:color w:val="auto"/>
        </w:rPr>
      </w:pPr>
    </w:p>
    <w:p>
      <w:pPr>
        <w:ind w:left="1340" w:hanging="353"/>
        <w:spacing w:after="0"/>
        <w:tabs>
          <w:tab w:leader="none" w:pos="13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225" w:lineRule="exact"/>
        <w:rPr>
          <w:rFonts w:ascii="Arial" w:cs="Arial" w:eastAsia="Arial" w:hAnsi="Arial"/>
          <w:sz w:val="18"/>
          <w:szCs w:val="18"/>
          <w:color w:val="auto"/>
        </w:rPr>
      </w:pPr>
    </w:p>
    <w:p>
      <w:pPr>
        <w:ind w:right="80" w:firstLine="987"/>
        <w:spacing w:after="0" w:line="277" w:lineRule="auto"/>
        <w:tabs>
          <w:tab w:leader="none" w:pos="144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7"/>
          <w:szCs w:val="17"/>
          <w:b w:val="1"/>
          <w:bCs w:val="1"/>
          <w:color w:val="auto"/>
        </w:rPr>
        <w:t>section 1.3</w:t>
      </w:r>
      <w:r>
        <w:rPr>
          <w:rFonts w:ascii="Arial" w:cs="Arial" w:eastAsia="Arial" w:hAnsi="Arial"/>
          <w:sz w:val="17"/>
          <w:szCs w:val="17"/>
          <w:color w:val="auto"/>
        </w:rPr>
        <w:t xml:space="preserve"> shall be construed as limiting, fixing, or affecting the time when a meeting of stockholders called by action of the Board may be held.</w:t>
      </w:r>
    </w:p>
    <w:p>
      <w:pPr>
        <w:spacing w:after="0" w:line="171"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Notice of Stockholders’ Meetings</w:t>
      </w:r>
      <w:r>
        <w:rPr>
          <w:rFonts w:ascii="Arial" w:cs="Arial" w:eastAsia="Arial" w:hAnsi="Arial"/>
          <w:sz w:val="16"/>
          <w:szCs w:val="16"/>
          <w:color w:val="auto"/>
        </w:rPr>
        <w:t>.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w:t>
      </w:r>
    </w:p>
    <w:p>
      <w:pPr>
        <w:sectPr>
          <w:pgSz w:w="11900" w:h="16838" w:orient="portrait"/>
          <w:cols w:equalWidth="0" w:num="1">
            <w:col w:w="10980"/>
          </w:cols>
          <w:pgMar w:left="440" w:top="270" w:right="479" w:bottom="1440" w:gutter="0" w:footer="0" w:header="0"/>
        </w:sectPr>
      </w:pPr>
    </w:p>
    <w:bookmarkStart w:id="298" w:name="page299"/>
    <w:bookmarkEnd w:id="298"/>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60 days before the date of the meeting to each stockholder entitled to vote at such meeting as of the record date for determining the stockholders entitled to notice of the meeting.</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i w:val="1"/>
          <w:iCs w:val="1"/>
          <w:color w:val="auto"/>
        </w:rPr>
        <w:t>Quorum</w:t>
      </w:r>
      <w:r>
        <w:rPr>
          <w:rFonts w:ascii="Arial" w:cs="Arial" w:eastAsia="Arial" w:hAnsi="Arial"/>
          <w:sz w:val="18"/>
          <w:szCs w:val="18"/>
          <w:color w:val="auto"/>
        </w:rPr>
        <w:t>.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92"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8"/>
          <w:szCs w:val="18"/>
          <w:b w:val="1"/>
          <w:bCs w:val="1"/>
          <w:color w:val="auto"/>
        </w:rPr>
        <w:t>section 1.6</w:t>
      </w:r>
      <w:r>
        <w:rPr>
          <w:rFonts w:ascii="Arial" w:cs="Arial" w:eastAsia="Arial" w:hAnsi="Arial"/>
          <w:sz w:val="18"/>
          <w:szCs w:val="18"/>
          <w:color w:val="auto"/>
        </w:rPr>
        <w:t>, until a quorum is present or represented.</w:t>
      </w:r>
    </w:p>
    <w:p>
      <w:pPr>
        <w:spacing w:after="0" w:line="18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i w:val="1"/>
          <w:iCs w:val="1"/>
          <w:color w:val="auto"/>
        </w:rPr>
        <w:t>Adjourned Meeting; Notice</w:t>
      </w:r>
      <w:r>
        <w:rPr>
          <w:rFonts w:ascii="Arial" w:cs="Arial" w:eastAsia="Arial" w:hAnsi="Arial"/>
          <w:sz w:val="18"/>
          <w:szCs w:val="18"/>
          <w:color w:val="auto"/>
        </w:rPr>
        <w:t xml:space="preserve">.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213(a) of the DGCL and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and shall give notice of the adjourned meeting to each stockholder of record entitled to vote at such adjourned meeting as of the record date fixed for notice of such adjourned meeting.</w:t>
      </w:r>
    </w:p>
    <w:p>
      <w:pPr>
        <w:spacing w:after="0" w:line="19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i w:val="1"/>
          <w:iCs w:val="1"/>
          <w:color w:val="auto"/>
        </w:rPr>
        <w:t>Conduct of Business</w:t>
      </w:r>
      <w:r>
        <w:rPr>
          <w:rFonts w:ascii="Arial" w:cs="Arial" w:eastAsia="Arial" w:hAnsi="Arial"/>
          <w:sz w:val="16"/>
          <w:szCs w:val="16"/>
          <w:color w:val="auto"/>
        </w:rPr>
        <w:t>.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 and shall have the power to adjourn the meeting to another place, if any, date or time, whether or not a quorum is present.</w:t>
      </w:r>
    </w:p>
    <w:p>
      <w:pPr>
        <w:spacing w:after="0" w:line="166" w:lineRule="exact"/>
        <w:rPr>
          <w:sz w:val="20"/>
          <w:szCs w:val="20"/>
          <w:color w:val="auto"/>
        </w:rPr>
      </w:pPr>
    </w:p>
    <w:p>
      <w:pPr>
        <w:ind w:right="620" w:firstLine="440"/>
        <w:spacing w:after="0" w:line="263"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 xml:space="preserve">section 1.10 </w:t>
      </w:r>
      <w:r>
        <w:rPr>
          <w:rFonts w:ascii="Arial" w:cs="Arial" w:eastAsia="Arial" w:hAnsi="Arial"/>
          <w:sz w:val="18"/>
          <w:szCs w:val="18"/>
          <w:color w:val="auto"/>
        </w:rPr>
        <w:t>of these bylaws, subject to Section 217 (relating to voting rights of fiduciaries, pledgors and joint owners of stock) and Section 218</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voting trusts and other voting agreements) of the DGCL.</w:t>
      </w:r>
    </w:p>
    <w:p>
      <w:pPr>
        <w:spacing w:after="0" w:line="184"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8"/>
          <w:szCs w:val="18"/>
          <w:b w:val="1"/>
          <w:bCs w:val="1"/>
          <w:color w:val="auto"/>
        </w:rPr>
        <w:t>section 7.2</w:t>
      </w:r>
      <w:r>
        <w:rPr>
          <w:rFonts w:ascii="Arial" w:cs="Arial" w:eastAsia="Arial" w:hAnsi="Arial"/>
          <w:sz w:val="18"/>
          <w:szCs w:val="18"/>
          <w:color w:val="auto"/>
        </w:rPr>
        <w:t xml:space="preserve"> of these bylaws),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299" w:name="page300"/>
    <w:bookmarkEnd w:id="299"/>
    <w:p>
      <w:pPr>
        <w:ind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66"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Stockholder Action by Written Consent Without a Meeting</w:t>
      </w:r>
      <w:r>
        <w:rPr>
          <w:rFonts w:ascii="Arial" w:cs="Arial" w:eastAsia="Arial" w:hAnsi="Arial"/>
          <w:sz w:val="16"/>
          <w:szCs w:val="16"/>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6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Every written consent shall bear the date of signature of each stockholder who signs the consent, and no written consent shall be effective to take the corporate action referred to therein unless, within 60 days of the earliest dated consent delivered in the manner required by Section 228 of the DGCL to the Company, written consents signed by a sufficient number of holders to take action are delivered to the Company by delivery to its registered office in the State of Delaware, its principal place of business or an officer or agent of the Company having custody of the book in which proceedings of meetings of stockholders are recorded. Delivery made to the Company’s registered office shall be by hand or by certified or registered mail, return receipt requested.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and, for the purposes of this </w:t>
      </w:r>
      <w:r>
        <w:rPr>
          <w:rFonts w:ascii="Arial" w:cs="Arial" w:eastAsia="Arial" w:hAnsi="Arial"/>
          <w:sz w:val="16"/>
          <w:szCs w:val="16"/>
          <w:b w:val="1"/>
          <w:bCs w:val="1"/>
          <w:color w:val="auto"/>
        </w:rPr>
        <w:t>section 1.9</w:t>
      </w:r>
      <w:r>
        <w:rPr>
          <w:rFonts w:ascii="Arial" w:cs="Arial" w:eastAsia="Arial" w:hAnsi="Arial"/>
          <w:sz w:val="16"/>
          <w:szCs w:val="16"/>
          <w:color w:val="auto"/>
        </w:rPr>
        <w:t>, if evidence of such instruction or provision is provided to the Company, such later effective time shall serve as the date of signature. Unless otherwise provided, any such consent shall be revocable prior to its becoming effective.</w:t>
      </w:r>
    </w:p>
    <w:p>
      <w:pPr>
        <w:spacing w:after="0" w:line="162"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 xml:space="preserve">An electronic transmission (as defined in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electronic transmission sets forth or is delivered with information from which the Company can determine (i) that the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72"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0"/>
          </w:cols>
          <w:pgMar w:left="440" w:top="274" w:right="439" w:bottom="1440" w:gutter="0" w:footer="0" w:header="0"/>
        </w:sectPr>
      </w:pPr>
    </w:p>
    <w:bookmarkStart w:id="300" w:name="page301"/>
    <w:bookmarkEnd w:id="300"/>
    <w:p>
      <w:pPr>
        <w:ind w:right="10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9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i w:val="1"/>
          <w:iCs w:val="1"/>
          <w:color w:val="auto"/>
        </w:rPr>
        <w:t>Record Dates</w:t>
      </w:r>
      <w:r>
        <w:rPr>
          <w:rFonts w:ascii="Arial" w:cs="Arial" w:eastAsia="Arial" w:hAnsi="Arial"/>
          <w:sz w:val="16"/>
          <w:szCs w:val="16"/>
          <w:color w:val="auto"/>
        </w:rPr>
        <w:t>. In order that the Company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16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1.10 at the adjourned meeting.</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order that the Company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shall be the first date on which a signed written consent setting forth the action taken or proposed to be taken is delivered to the Company in accordance with applicable law. If no record date has been fixed by the Board and prior action by the Board is required by law, the record date for determining stockholders entitled to consent to corporate action in writing without a meeting shall be at the close of business on the day on which the Board adopts the resolution taking such prior action.</w:t>
      </w:r>
    </w:p>
    <w:p>
      <w:pPr>
        <w:spacing w:after="0" w:line="1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301" w:name="page302"/>
    <w:bookmarkEnd w:id="301"/>
    <w:p>
      <w:pPr>
        <w:ind w:right="2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 </w:t>
      </w:r>
      <w:r>
        <w:rPr>
          <w:rFonts w:ascii="Arial" w:cs="Arial" w:eastAsia="Arial" w:hAnsi="Arial"/>
          <w:sz w:val="18"/>
          <w:szCs w:val="18"/>
          <w:b w:val="1"/>
          <w:bCs w:val="1"/>
          <w:i w:val="1"/>
          <w:iCs w:val="1"/>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officer who has charge of the stock ledger of the Company shall prepare and make, at least ten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DIRECTORS</w:t>
      </w:r>
    </w:p>
    <w:p>
      <w:pPr>
        <w:spacing w:after="0" w:line="22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The business and affairs of the Company shall be managed by or under the direction of the Board, except as may be otherwise provided in the DGCL or the certificate of incorporation.</w:t>
      </w:r>
    </w:p>
    <w:p>
      <w:pPr>
        <w:spacing w:after="0" w:line="170"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i w:val="1"/>
          <w:iCs w:val="1"/>
          <w:color w:val="auto"/>
        </w:rPr>
        <w:t>Number of Directors</w:t>
      </w:r>
      <w:r>
        <w:rPr>
          <w:rFonts w:ascii="Arial" w:cs="Arial" w:eastAsia="Arial" w:hAnsi="Arial"/>
          <w:sz w:val="16"/>
          <w:szCs w:val="16"/>
          <w:color w:val="auto"/>
        </w:rPr>
        <w:t>.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145"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i w:val="1"/>
          <w:iCs w:val="1"/>
          <w:color w:val="auto"/>
        </w:rPr>
        <w:t>Election, Qualification and Term of Office of Directors</w:t>
      </w:r>
      <w:r>
        <w:rPr>
          <w:rFonts w:ascii="Arial" w:cs="Arial" w:eastAsia="Arial" w:hAnsi="Arial"/>
          <w:sz w:val="16"/>
          <w:szCs w:val="16"/>
          <w:color w:val="auto"/>
        </w:rPr>
        <w:t xml:space="preserve">. Except as provided in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of these bylaws, and subject to </w:t>
      </w:r>
      <w:r>
        <w:rPr>
          <w:rFonts w:ascii="Arial" w:cs="Arial" w:eastAsia="Arial" w:hAnsi="Arial"/>
          <w:sz w:val="16"/>
          <w:szCs w:val="16"/>
          <w:b w:val="1"/>
          <w:bCs w:val="1"/>
          <w:color w:val="auto"/>
        </w:rPr>
        <w:t>sections 1.2</w:t>
      </w:r>
      <w:r>
        <w:rPr>
          <w:rFonts w:ascii="Arial" w:cs="Arial" w:eastAsia="Arial" w:hAnsi="Arial"/>
          <w:sz w:val="16"/>
          <w:szCs w:val="16"/>
          <w:color w:val="auto"/>
        </w:rPr>
        <w:t xml:space="preserve"> and </w:t>
      </w:r>
      <w:r>
        <w:rPr>
          <w:rFonts w:ascii="Arial" w:cs="Arial" w:eastAsia="Arial" w:hAnsi="Arial"/>
          <w:sz w:val="16"/>
          <w:szCs w:val="16"/>
          <w:b w:val="1"/>
          <w:bCs w:val="1"/>
          <w:color w:val="auto"/>
        </w:rPr>
        <w:t xml:space="preserve">1.9 </w:t>
      </w:r>
      <w:r>
        <w:rPr>
          <w:rFonts w:ascii="Arial" w:cs="Arial" w:eastAsia="Arial" w:hAnsi="Arial"/>
          <w:sz w:val="16"/>
          <w:szCs w:val="16"/>
          <w:color w:val="auto"/>
        </w:rPr>
        <w:t>of these bylaws, directors shall be elected at each annual meeting of stockholders. Directors need not be stockholders unless so required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5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Resignation and Vacancies</w:t>
      </w:r>
      <w:r>
        <w:rPr>
          <w:rFonts w:ascii="Arial" w:cs="Arial" w:eastAsia="Arial" w:hAnsi="Arial"/>
          <w:sz w:val="17"/>
          <w:szCs w:val="17"/>
          <w:color w:val="auto"/>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302" w:name="page303"/>
    <w:bookmarkEnd w:id="302"/>
    <w:p>
      <w:pPr>
        <w:ind w:firstLine="987"/>
        <w:spacing w:after="0" w:line="263" w:lineRule="auto"/>
        <w:tabs>
          <w:tab w:leader="none" w:pos="1338"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3" w:lineRule="exact"/>
        <w:rPr>
          <w:rFonts w:ascii="Arial" w:cs="Arial" w:eastAsia="Arial" w:hAnsi="Arial"/>
          <w:sz w:val="18"/>
          <w:szCs w:val="18"/>
          <w:color w:val="auto"/>
        </w:rPr>
      </w:pPr>
    </w:p>
    <w:p>
      <w:pPr>
        <w:ind w:right="100" w:firstLine="987"/>
        <w:spacing w:after="0" w:line="286" w:lineRule="auto"/>
        <w:tabs>
          <w:tab w:leader="none" w:pos="138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6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i w:val="1"/>
          <w:iCs w:val="1"/>
          <w:color w:val="auto"/>
        </w:rPr>
        <w:t>Place of Meetings; Meetings by Telephone</w:t>
      </w:r>
      <w:r>
        <w:rPr>
          <w:rFonts w:ascii="Arial" w:cs="Arial" w:eastAsia="Arial" w:hAnsi="Arial"/>
          <w:sz w:val="18"/>
          <w:szCs w:val="18"/>
          <w:color w:val="auto"/>
        </w:rPr>
        <w:t>. The Board may hold meetings, both regular and special, either within or outside the State of Delaware.</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or any committee designated by the Board or any subcommittee, may participate in a meeting of the Board,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Regular meetings of the Board may be held without notice at such time and at such place as shall from time to time be determined by the Board.</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Special Meetings; Notice</w:t>
      </w:r>
      <w:r>
        <w:rPr>
          <w:rFonts w:ascii="Arial" w:cs="Arial" w:eastAsia="Arial" w:hAnsi="Arial"/>
          <w:sz w:val="18"/>
          <w:szCs w:val="18"/>
          <w:color w:val="auto"/>
        </w:rPr>
        <w:t>. 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303" w:name="page304"/>
    <w:bookmarkEnd w:id="303"/>
    <w:p>
      <w:pPr>
        <w:ind w:left="1340" w:hanging="353"/>
        <w:spacing w:after="0"/>
        <w:tabs>
          <w:tab w:leader="none" w:pos="1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delivered personally by hand, by courier or by telephone;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440" w:hanging="453"/>
        <w:spacing w:after="0"/>
        <w:tabs>
          <w:tab w:leader="none" w:pos="14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sent by facsimile;</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sent by electronic mail; or</w:t>
      </w:r>
    </w:p>
    <w:p>
      <w:pPr>
        <w:spacing w:after="0" w:line="221" w:lineRule="exact"/>
        <w:rPr>
          <w:rFonts w:ascii="Arial" w:cs="Arial" w:eastAsia="Arial" w:hAnsi="Arial"/>
          <w:sz w:val="18"/>
          <w:szCs w:val="18"/>
          <w:color w:val="auto"/>
        </w:rPr>
      </w:pPr>
    </w:p>
    <w:p>
      <w:pPr>
        <w:ind w:left="1380" w:hanging="393"/>
        <w:spacing w:after="0"/>
        <w:tabs>
          <w:tab w:leader="none" w:pos="13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otherwise given by electronic transmission (as defined in </w:t>
      </w:r>
      <w:r>
        <w:rPr>
          <w:rFonts w:ascii="Arial" w:cs="Arial" w:eastAsia="Arial" w:hAnsi="Arial"/>
          <w:sz w:val="18"/>
          <w:szCs w:val="18"/>
          <w:b w:val="1"/>
          <w:bCs w:val="1"/>
          <w:color w:val="auto"/>
        </w:rPr>
        <w:t>section 7.2</w:t>
      </w:r>
      <w:r>
        <w:rPr>
          <w:rFonts w:ascii="Arial" w:cs="Arial" w:eastAsia="Arial" w:hAnsi="Arial"/>
          <w:sz w:val="18"/>
          <w:szCs w:val="18"/>
          <w:color w:val="auto"/>
        </w:rPr>
        <w: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70"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76"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i w:val="1"/>
          <w:iCs w:val="1"/>
          <w:color w:val="auto"/>
        </w:rPr>
        <w:t>Quorum; Voting</w:t>
      </w:r>
      <w:r>
        <w:rPr>
          <w:rFonts w:ascii="Arial" w:cs="Arial" w:eastAsia="Arial" w:hAnsi="Arial"/>
          <w:sz w:val="18"/>
          <w:szCs w:val="18"/>
          <w:color w:val="auto"/>
        </w:rPr>
        <w:t>.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88"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70"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2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i w:val="1"/>
          <w:iCs w:val="1"/>
          <w:color w:val="auto"/>
        </w:rPr>
        <w:t>Board Action by Written Consent Without a Meeting</w:t>
      </w:r>
      <w:r>
        <w:rPr>
          <w:rFonts w:ascii="Arial" w:cs="Arial" w:eastAsia="Arial" w:hAnsi="Arial"/>
          <w:sz w:val="16"/>
          <w:szCs w:val="16"/>
          <w:color w:val="auto"/>
        </w:rPr>
        <w:t xml:space="preserve">. Unless otherwise restricted by the certificate of incorporation or these bylaws, any action required or permitted to be taken at any meeting of the Board, or of any committee or subcommittee thereof, may be taken without a meeting if all members of the Board or committee or subcommittee, as the case may be, consent thereto in writing or by electronic transmission and the writing or writings or electronic transmission or transmissions are filed with the minutes of proceedings of the Board or committee or subcommittee.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w:t>
      </w:r>
      <w:r>
        <w:rPr>
          <w:rFonts w:ascii="Arial" w:cs="Arial" w:eastAsia="Arial" w:hAnsi="Arial"/>
          <w:sz w:val="16"/>
          <w:szCs w:val="16"/>
          <w:b w:val="1"/>
          <w:bCs w:val="1"/>
          <w:color w:val="auto"/>
        </w:rPr>
        <w:t>section 2.10</w:t>
      </w:r>
      <w:r>
        <w:rPr>
          <w:rFonts w:ascii="Arial" w:cs="Arial" w:eastAsia="Arial" w:hAnsi="Arial"/>
          <w:sz w:val="16"/>
          <w:szCs w:val="16"/>
          <w:color w:val="auto"/>
        </w:rPr>
        <w:t xml:space="preserve"> at such effective time so long as such person is then a director and did not revoke the consent prior to such time. Any such consent shall be revocable prior to its becoming effective.</w:t>
      </w:r>
    </w:p>
    <w:p>
      <w:pPr>
        <w:spacing w:after="0" w:line="16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Unless otherwise restricted by the certificate of incorporation or these bylaws, the Board shall have the authority to fix the compensation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304" w:name="page305"/>
    <w:bookmarkEnd w:id="304"/>
    <w:p>
      <w:pPr>
        <w:ind w:right="4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Arial" w:cs="Arial" w:eastAsia="Arial" w:hAnsi="Arial"/>
          <w:sz w:val="16"/>
          <w:szCs w:val="16"/>
          <w:b w:val="1"/>
          <w:bCs w:val="1"/>
          <w:i w:val="1"/>
          <w:iCs w:val="1"/>
          <w:color w:val="auto"/>
        </w:rPr>
        <w:t>Removal of Directors</w:t>
      </w:r>
      <w:r>
        <w:rPr>
          <w:rFonts w:ascii="Arial" w:cs="Arial" w:eastAsia="Arial" w:hAnsi="Arial"/>
          <w:sz w:val="16"/>
          <w:szCs w:val="16"/>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2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COMMITTEES</w:t>
      </w:r>
    </w:p>
    <w:p>
      <w:pPr>
        <w:spacing w:after="0" w:line="229"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Committees of Directors</w:t>
      </w:r>
      <w:r>
        <w:rPr>
          <w:rFonts w:ascii="Arial" w:cs="Arial" w:eastAsia="Arial" w:hAnsi="Arial"/>
          <w:sz w:val="16"/>
          <w:szCs w:val="16"/>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6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Committee Minutes</w:t>
      </w:r>
      <w:r>
        <w:rPr>
          <w:rFonts w:ascii="Arial" w:cs="Arial" w:eastAsia="Arial" w:hAnsi="Arial"/>
          <w:sz w:val="18"/>
          <w:szCs w:val="18"/>
          <w:color w:val="auto"/>
        </w:rPr>
        <w:t>. Each committee and subcommittee shall keep regular minutes of its meetings and report the same to the Board, or the committee, when required.</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i w:val="1"/>
          <w:iCs w:val="1"/>
          <w:color w:val="auto"/>
        </w:rPr>
        <w:t>Meetings and Actions of Committees</w:t>
      </w:r>
      <w:r>
        <w:rPr>
          <w:rFonts w:ascii="Arial" w:cs="Arial" w:eastAsia="Arial" w:hAnsi="Arial"/>
          <w:sz w:val="17"/>
          <w:szCs w:val="17"/>
          <w:color w:val="auto"/>
        </w:rPr>
        <w:t xml:space="preserve">. A majority of the directors then serving on a committee or subcommittee shall constitute a quorum for the transaction of business by the committee or subcommittee, unless the certificate of incorporation, these bylaws, a resolution of the Board or a resolution of a committee that created the subcommittee requires a greater or lesser number,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incorporation, these bylaws, a resolution of the Board or a resolution of a committee that created the subcommittee requires a greater number. Meetings and actions of committees and subcommittees shall otherwise be governed by, and held and taken in accordance with, the provisions of:</w:t>
      </w:r>
    </w:p>
    <w:p>
      <w:pPr>
        <w:spacing w:after="0" w:line="173" w:lineRule="exact"/>
        <w:rPr>
          <w:sz w:val="20"/>
          <w:szCs w:val="20"/>
          <w:color w:val="auto"/>
        </w:rPr>
      </w:pPr>
    </w:p>
    <w:p>
      <w:pPr>
        <w:ind w:left="1340" w:hanging="353"/>
        <w:spacing w:after="0"/>
        <w:tabs>
          <w:tab w:leader="none" w:pos="134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(Place of Meetings; Meetings by Telephone);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(Regular Meetings);</w:t>
      </w:r>
    </w:p>
    <w:p>
      <w:pPr>
        <w:spacing w:after="0" w:line="225" w:lineRule="exact"/>
        <w:rPr>
          <w:rFonts w:ascii="Arial" w:cs="Arial" w:eastAsia="Arial" w:hAnsi="Arial"/>
          <w:sz w:val="18"/>
          <w:szCs w:val="18"/>
          <w:color w:val="auto"/>
        </w:rPr>
      </w:pPr>
    </w:p>
    <w:p>
      <w:pPr>
        <w:ind w:left="1440" w:hanging="453"/>
        <w:spacing w:after="0"/>
        <w:tabs>
          <w:tab w:leader="none" w:pos="144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(Special Meetings; Notice);</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(Quorum; Voting);</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color w:val="auto"/>
        </w:rPr>
        <w:t>(Waiver of Notice)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with such changes in the context of those bylaws as are necessary to substitute the committee or subcommittee and its members for the Board and its members. </w:t>
      </w:r>
      <w:r>
        <w:rPr>
          <w:rFonts w:ascii="Arial" w:cs="Arial" w:eastAsia="Arial" w:hAnsi="Arial"/>
          <w:sz w:val="18"/>
          <w:szCs w:val="18"/>
          <w:i w:val="1"/>
          <w:iCs w:val="1"/>
          <w:color w:val="auto"/>
        </w:rPr>
        <w:t>However</w:t>
      </w:r>
      <w:r>
        <w:rPr>
          <w:rFonts w:ascii="Arial" w:cs="Arial" w:eastAsia="Arial" w:hAnsi="Arial"/>
          <w:sz w:val="18"/>
          <w:szCs w:val="18"/>
          <w:color w:val="auto"/>
        </w:rPr>
        <w:t>:</w:t>
      </w:r>
    </w:p>
    <w:p>
      <w:pPr>
        <w:spacing w:after="0" w:line="170" w:lineRule="exact"/>
        <w:rPr>
          <w:sz w:val="20"/>
          <w:szCs w:val="20"/>
          <w:color w:val="auto"/>
        </w:rPr>
      </w:pPr>
    </w:p>
    <w:p>
      <w:pPr>
        <w:ind w:right="180" w:firstLine="987"/>
        <w:spacing w:after="0" w:line="277" w:lineRule="auto"/>
        <w:tabs>
          <w:tab w:leader="none" w:pos="134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time and place of regular meetings of committees and subcommittees may be determined either by resolution of the Board or by resolution of the committee or subcommittee;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05" w:name="page306"/>
    <w:bookmarkEnd w:id="305"/>
    <w:p>
      <w:pPr>
        <w:ind w:left="1380" w:hanging="393"/>
        <w:spacing w:after="0"/>
        <w:tabs>
          <w:tab w:leader="none" w:pos="13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meetings of committees and subcommittees may also be called by resolution of the Board or the committee or subcommittee;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40" w:firstLine="987"/>
        <w:spacing w:after="0" w:line="311" w:lineRule="auto"/>
        <w:tabs>
          <w:tab w:leader="none" w:pos="144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notice of special meetings of committees and subcommittees shall also be given to all alternate members, as applicable, who shall have the right to attend all meetings of the committee or subcommittee. The Board, or, in the absence of any such action by the Board, the committee or subcommittee, may adopt rules for the government of any committee or subcommittee not inconsistent with the provisions of these bylaws.</w:t>
      </w:r>
    </w:p>
    <w:p>
      <w:pPr>
        <w:spacing w:after="0" w:line="149"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2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 — OFFICERS</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70"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i w:val="1"/>
          <w:iCs w:val="1"/>
          <w:color w:val="auto"/>
        </w:rPr>
        <w:t>Subordinate Officers</w:t>
      </w:r>
      <w:r>
        <w:rPr>
          <w:rFonts w:ascii="Arial" w:cs="Arial" w:eastAsia="Arial" w:hAnsi="Arial"/>
          <w:sz w:val="16"/>
          <w:szCs w:val="16"/>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4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i w:val="1"/>
          <w:iCs w:val="1"/>
          <w:color w:val="auto"/>
        </w:rPr>
        <w:t>Vacancies in Offices</w:t>
      </w:r>
      <w:r>
        <w:rPr>
          <w:rFonts w:ascii="Arial" w:cs="Arial" w:eastAsia="Arial" w:hAnsi="Arial"/>
          <w:sz w:val="16"/>
          <w:szCs w:val="16"/>
          <w:color w:val="auto"/>
        </w:rPr>
        <w:t>. Any vacancy occurring in any office of the Company shall be filled by the Board or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4.3</w:t>
      </w:r>
      <w:r>
        <w:rPr>
          <w:rFonts w:ascii="Arial" w:cs="Arial" w:eastAsia="Arial" w:hAnsi="Arial"/>
          <w:sz w:val="16"/>
          <w:szCs w:val="16"/>
          <w:color w:val="auto"/>
        </w:rPr>
        <w:t>.</w:t>
      </w:r>
    </w:p>
    <w:p>
      <w:pPr>
        <w:spacing w:after="0" w:line="229"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i w:val="1"/>
          <w:iCs w:val="1"/>
          <w:color w:val="auto"/>
        </w:rPr>
        <w:t>Representation of Shares of Other Corporations</w:t>
      </w:r>
      <w:r>
        <w:rPr>
          <w:rFonts w:ascii="Arial" w:cs="Arial" w:eastAsia="Arial" w:hAnsi="Arial"/>
          <w:sz w:val="16"/>
          <w:szCs w:val="16"/>
          <w:color w:val="auto"/>
        </w:rPr>
        <w:t>.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5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60"/>
          </w:cols>
          <w:pgMar w:left="440" w:top="274" w:right="49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 — INDEMNIFICATION</w:t>
      </w:r>
    </w:p>
    <w:p>
      <w:pPr>
        <w:spacing w:after="0" w:line="22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Indemnification of Directors and Officers in Third Party Proceedings</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or its equivalent, shall not, of itself, create a presumption that the person did not act in good faith and in a manner which such person</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believed to be in or not opposed to the best interests of the Company, and, with respect to any criminal action or proceeding, had reasonable cause to believe that such person’s conduct was unlawful.</w:t>
      </w:r>
    </w:p>
    <w:p>
      <w:pPr>
        <w:spacing w:after="0" w:line="17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i w:val="1"/>
          <w:iCs w:val="1"/>
          <w:color w:val="auto"/>
        </w:rPr>
        <w:t>Indemnification of Directors and Officers in Actions by or in the Right of the Company</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6"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5.2</w:t>
      </w:r>
      <w:r>
        <w:rPr>
          <w:rFonts w:ascii="Arial" w:cs="Arial" w:eastAsia="Arial" w:hAnsi="Arial"/>
          <w:sz w:val="16"/>
          <w:szCs w:val="16"/>
          <w:color w:val="auto"/>
        </w:rPr>
        <w:t>, or in defense of any claim, issue or matter therein, such person shall be indemnified against expenses (including attorneys’ fees) actually and reasonably incurred by such person in connection therewith.</w:t>
      </w:r>
    </w:p>
    <w:p>
      <w:pPr>
        <w:spacing w:after="0" w:line="14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Indemnification of Others</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8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i w:val="1"/>
          <w:iCs w:val="1"/>
          <w:color w:val="auto"/>
        </w:rPr>
        <w:t>Advanced Payment of Expenses</w:t>
      </w:r>
      <w:r>
        <w:rPr>
          <w:rFonts w:ascii="Arial" w:cs="Arial" w:eastAsia="Arial" w:hAnsi="Arial"/>
          <w:sz w:val="18"/>
          <w:szCs w:val="18"/>
          <w:color w:val="auto"/>
        </w:rPr>
        <w:t xml:space="preserve">. 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or the DGCL. Such expenses (including attorneys’ fees) actually and reasonably incurred by former directors and officers or other employees and agents of the Company or by persons serving at the request of the Company as directors,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0"/>
          </w:cols>
          <w:pgMar w:left="440" w:top="270" w:right="459" w:bottom="1440" w:gutter="0" w:footer="0" w:header="0"/>
        </w:sectPr>
      </w:pPr>
    </w:p>
    <w:bookmarkStart w:id="307" w:name="page308"/>
    <w:bookmarkEnd w:id="307"/>
    <w:p>
      <w:pPr>
        <w:jc w:val="both"/>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w:t>
      </w:r>
      <w:r>
        <w:rPr>
          <w:rFonts w:ascii="Arial" w:cs="Arial" w:eastAsia="Arial" w:hAnsi="Arial"/>
          <w:sz w:val="17"/>
          <w:szCs w:val="17"/>
          <w:b w:val="1"/>
          <w:bCs w:val="1"/>
          <w:color w:val="auto"/>
        </w:rPr>
        <w:t>section 5.6(ii)</w:t>
      </w:r>
      <w:r>
        <w:rPr>
          <w:rFonts w:ascii="Arial" w:cs="Arial" w:eastAsia="Arial" w:hAnsi="Arial"/>
          <w:sz w:val="17"/>
          <w:szCs w:val="17"/>
          <w:color w:val="auto"/>
        </w:rPr>
        <w:t xml:space="preserve"> or </w:t>
      </w:r>
      <w:r>
        <w:rPr>
          <w:rFonts w:ascii="Arial" w:cs="Arial" w:eastAsia="Arial" w:hAnsi="Arial"/>
          <w:sz w:val="17"/>
          <w:szCs w:val="17"/>
          <w:b w:val="1"/>
          <w:bCs w:val="1"/>
          <w:color w:val="auto"/>
        </w:rPr>
        <w:t xml:space="preserve">5.6(iii) </w:t>
      </w:r>
      <w:r>
        <w:rPr>
          <w:rFonts w:ascii="Arial" w:cs="Arial" w:eastAsia="Arial" w:hAnsi="Arial"/>
          <w:sz w:val="17"/>
          <w:szCs w:val="17"/>
          <w:color w:val="auto"/>
        </w:rPr>
        <w:t>prior to a determination that the person is not entitled to be indemnified by the Company.</w:t>
      </w:r>
    </w:p>
    <w:p>
      <w:pPr>
        <w:spacing w:after="0" w:line="16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Notwithstanding the foregoing, unless otherwise determined pursuant to </w:t>
      </w:r>
      <w:r>
        <w:rPr>
          <w:rFonts w:ascii="Arial" w:cs="Arial" w:eastAsia="Arial" w:hAnsi="Arial"/>
          <w:sz w:val="17"/>
          <w:szCs w:val="17"/>
          <w:b w:val="1"/>
          <w:bCs w:val="1"/>
          <w:color w:val="auto"/>
        </w:rPr>
        <w:t>section 5.8</w:t>
      </w:r>
      <w:r>
        <w:rPr>
          <w:rFonts w:ascii="Arial" w:cs="Arial" w:eastAsia="Arial" w:hAnsi="Arial"/>
          <w:sz w:val="17"/>
          <w:szCs w:val="17"/>
          <w:color w:val="auto"/>
        </w:rPr>
        <w:t>,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or subcommittee of such directors designated by majority vote of such directors, even though less than a quorum, or (iii)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7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i w:val="1"/>
          <w:iCs w:val="1"/>
          <w:color w:val="auto"/>
        </w:rPr>
        <w:t>Limitation on Indemnification</w:t>
      </w:r>
      <w:r>
        <w:rPr>
          <w:rFonts w:ascii="Arial" w:cs="Arial" w:eastAsia="Arial" w:hAnsi="Arial"/>
          <w:sz w:val="18"/>
          <w:szCs w:val="18"/>
          <w:color w:val="auto"/>
        </w:rPr>
        <w:t xml:space="preserve">. Subject to the requirements in </w:t>
      </w:r>
      <w:r>
        <w:rPr>
          <w:rFonts w:ascii="Arial" w:cs="Arial" w:eastAsia="Arial" w:hAnsi="Arial"/>
          <w:sz w:val="18"/>
          <w:szCs w:val="18"/>
          <w:b w:val="1"/>
          <w:bCs w:val="1"/>
          <w:color w:val="auto"/>
        </w:rPr>
        <w:t>section 5.3</w:t>
      </w:r>
      <w:r>
        <w:rPr>
          <w:rFonts w:ascii="Arial" w:cs="Arial" w:eastAsia="Arial" w:hAnsi="Arial"/>
          <w:sz w:val="18"/>
          <w:szCs w:val="18"/>
          <w:color w:val="auto"/>
        </w:rPr>
        <w:t xml:space="preserve"> and the DGCL, the Company shall not be obligated to indemnify any person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in connection with any Proceeding (or any part of any Proceeding):</w:t>
      </w:r>
    </w:p>
    <w:p>
      <w:pPr>
        <w:spacing w:after="0" w:line="166" w:lineRule="exact"/>
        <w:rPr>
          <w:sz w:val="20"/>
          <w:szCs w:val="20"/>
          <w:color w:val="auto"/>
        </w:rPr>
      </w:pPr>
    </w:p>
    <w:p>
      <w:pPr>
        <w:ind w:right="240" w:firstLine="987"/>
        <w:spacing w:after="0" w:line="277" w:lineRule="auto"/>
        <w:tabs>
          <w:tab w:leader="none" w:pos="134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70" w:lineRule="exact"/>
        <w:rPr>
          <w:rFonts w:ascii="Arial" w:cs="Arial" w:eastAsia="Arial" w:hAnsi="Arial"/>
          <w:sz w:val="18"/>
          <w:szCs w:val="18"/>
          <w:color w:val="auto"/>
        </w:rPr>
      </w:pPr>
    </w:p>
    <w:p>
      <w:pPr>
        <w:ind w:right="400" w:firstLine="987"/>
        <w:spacing w:after="0" w:line="263" w:lineRule="auto"/>
        <w:tabs>
          <w:tab w:leader="none" w:pos="139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Securities Exchange Act of 1934, as amended, or similar provisions of federal, state or local statutory law or common law, if such person is held liable therefor (including pursuant to any settlement arrangements);</w:t>
      </w:r>
    </w:p>
    <w:p>
      <w:pPr>
        <w:spacing w:after="0" w:line="183" w:lineRule="exact"/>
        <w:rPr>
          <w:rFonts w:ascii="Arial" w:cs="Arial" w:eastAsia="Arial" w:hAnsi="Arial"/>
          <w:sz w:val="18"/>
          <w:szCs w:val="18"/>
          <w:color w:val="auto"/>
        </w:rPr>
      </w:pPr>
    </w:p>
    <w:p>
      <w:pPr>
        <w:ind w:right="60" w:firstLine="987"/>
        <w:spacing w:after="0" w:line="296" w:lineRule="auto"/>
        <w:tabs>
          <w:tab w:leader="none" w:pos="1441" w:val="left"/>
        </w:tabs>
        <w:numPr>
          <w:ilvl w:val="0"/>
          <w:numId w:val="209"/>
        </w:numPr>
        <w:rPr>
          <w:rFonts w:ascii="Arial" w:cs="Arial" w:eastAsia="Arial" w:hAnsi="Arial"/>
          <w:sz w:val="16"/>
          <w:szCs w:val="16"/>
          <w:color w:val="auto"/>
        </w:rPr>
      </w:pPr>
      <w:r>
        <w:rPr>
          <w:rFonts w:ascii="Arial" w:cs="Arial" w:eastAsia="Arial" w:hAnsi="Arial"/>
          <w:sz w:val="16"/>
          <w:szCs w:val="16"/>
          <w:color w:val="auto"/>
        </w:rPr>
        <w:t>for any reimbursement of the Company by such person of any bonus or other incentive-based or equity-based compensation or of any profits realized by such person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61" w:lineRule="exact"/>
        <w:rPr>
          <w:rFonts w:ascii="Arial" w:cs="Arial" w:eastAsia="Arial" w:hAnsi="Arial"/>
          <w:sz w:val="16"/>
          <w:szCs w:val="16"/>
          <w:color w:val="auto"/>
        </w:rPr>
      </w:pPr>
    </w:p>
    <w:p>
      <w:pPr>
        <w:ind w:right="100" w:firstLine="987"/>
        <w:spacing w:after="0" w:line="279" w:lineRule="auto"/>
        <w:tabs>
          <w:tab w:leader="none" w:pos="143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initiated by such person, including any Proceeding (or any part of any Proceeding) initiated by such person against the Company or its directors, officers, employees, agents or other indemnitees, unless (a) the Board authorized the Proceeding (or the relevant part of the Proceeding) prior to its initiation, (b) the Company provides the indemnification, in its sole discretion, pursuant to the powers vested in the Company under applicable law, (c) otherwise required to be made under </w:t>
      </w:r>
      <w:r>
        <w:rPr>
          <w:rFonts w:ascii="Arial" w:cs="Arial" w:eastAsia="Arial" w:hAnsi="Arial"/>
          <w:sz w:val="17"/>
          <w:szCs w:val="17"/>
          <w:b w:val="1"/>
          <w:bCs w:val="1"/>
          <w:color w:val="auto"/>
        </w:rPr>
        <w:t>section 5.7</w:t>
      </w:r>
      <w:r>
        <w:rPr>
          <w:rFonts w:ascii="Arial" w:cs="Arial" w:eastAsia="Arial" w:hAnsi="Arial"/>
          <w:sz w:val="17"/>
          <w:szCs w:val="17"/>
          <w:color w:val="auto"/>
        </w:rPr>
        <w:t xml:space="preserve"> or (d) otherwise required by applicable law; or</w:t>
      </w:r>
    </w:p>
    <w:p>
      <w:pPr>
        <w:spacing w:after="0" w:line="171" w:lineRule="exact"/>
        <w:rPr>
          <w:rFonts w:ascii="Arial" w:cs="Arial" w:eastAsia="Arial" w:hAnsi="Arial"/>
          <w:sz w:val="17"/>
          <w:szCs w:val="17"/>
          <w:color w:val="auto"/>
        </w:rPr>
      </w:pPr>
    </w:p>
    <w:p>
      <w:pPr>
        <w:ind w:left="1380" w:hanging="393"/>
        <w:spacing w:after="0"/>
        <w:tabs>
          <w:tab w:leader="none" w:pos="13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i w:val="1"/>
          <w:iCs w:val="1"/>
          <w:color w:val="auto"/>
        </w:rPr>
        <w:t>Determination; Claim</w:t>
      </w:r>
      <w:r>
        <w:rPr>
          <w:rFonts w:ascii="Arial" w:cs="Arial" w:eastAsia="Arial" w:hAnsi="Arial"/>
          <w:sz w:val="17"/>
          <w:szCs w:val="17"/>
          <w:color w:val="auto"/>
        </w:rPr>
        <w:t xml:space="preserve">. If a claim for indemnification or advancement of expenses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is not paid by the Company or on its behalf within 90 days after receipt by the Company of a written request therefor, the claimant shall be entitled to an adjudication by a court of competent jurisdiction of his or her entitlement to such indemnification or advancement of expenses. To the extent not prohibited by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80"/>
          </w:cols>
          <w:pgMar w:left="440" w:top="274" w:right="479" w:bottom="1440" w:gutter="0" w:footer="0" w:header="0"/>
        </w:sectPr>
      </w:pPr>
    </w:p>
    <w:bookmarkStart w:id="308" w:name="page309"/>
    <w:bookmarkEnd w:id="308"/>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law, the Company shall indemnify such person against all expenses actually and reasonably incurred by such person in connection with any action for indemnification or advancement of expenses from the Company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to the extent such person is successful in such action, and, if requested by such person, shall advance such expenses to such person, subject to the provisions of </w:t>
      </w:r>
      <w:r>
        <w:rPr>
          <w:rFonts w:ascii="Arial" w:cs="Arial" w:eastAsia="Arial" w:hAnsi="Arial"/>
          <w:sz w:val="18"/>
          <w:szCs w:val="18"/>
          <w:b w:val="1"/>
          <w:bCs w:val="1"/>
          <w:color w:val="auto"/>
        </w:rPr>
        <w:t>section 5.5</w:t>
      </w:r>
      <w:r>
        <w:rPr>
          <w:rFonts w:ascii="Arial" w:cs="Arial" w:eastAsia="Arial" w:hAnsi="Arial"/>
          <w:sz w:val="18"/>
          <w:szCs w:val="18"/>
          <w:color w:val="auto"/>
        </w:rPr>
        <w:t>. In any such suit, the Company shall, to the fullest extent not prohibited by law, have the burden of proving that the claimant is not entitled to the requested indemnification or advancement of expenses.</w:t>
      </w:r>
    </w:p>
    <w:p>
      <w:pPr>
        <w:spacing w:after="0" w:line="184"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9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84"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i w:val="1"/>
          <w:iCs w:val="1"/>
          <w:color w:val="auto"/>
        </w:rPr>
        <w:t>Survival</w:t>
      </w:r>
      <w:r>
        <w:rPr>
          <w:rFonts w:ascii="Arial" w:cs="Arial" w:eastAsia="Arial" w:hAnsi="Arial"/>
          <w:sz w:val="16"/>
          <w:szCs w:val="16"/>
          <w:color w:val="auto"/>
        </w:rPr>
        <w:t xml:space="preserve">. The rights to indemnification and advancement of expenses conferred by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shall continue as to a person who has ceased to be a director, officer, employee or agent and shall inure to the benefit of the heirs, executors and administrators of such a person.</w:t>
      </w:r>
    </w:p>
    <w:p>
      <w:pPr>
        <w:spacing w:after="0" w:line="12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b w:val="1"/>
          <w:bCs w:val="1"/>
          <w:i w:val="1"/>
          <w:iCs w:val="1"/>
          <w:color w:val="auto"/>
        </w:rPr>
        <w:t>Certain Definitions</w:t>
      </w:r>
      <w:r>
        <w:rPr>
          <w:rFonts w:ascii="Arial" w:cs="Arial" w:eastAsia="Arial" w:hAnsi="Arial"/>
          <w:sz w:val="16"/>
          <w:szCs w:val="16"/>
          <w:color w:val="auto"/>
        </w:rPr>
        <w:t xml:space="preserve">.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references to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references to “</w:t>
      </w:r>
      <w:r>
        <w:rPr>
          <w:rFonts w:ascii="Arial" w:cs="Arial" w:eastAsia="Arial" w:hAnsi="Arial"/>
          <w:sz w:val="16"/>
          <w:szCs w:val="16"/>
          <w:b w:val="1"/>
          <w:b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 plan; and references to “</w:t>
      </w:r>
      <w:r>
        <w:rPr>
          <w:rFonts w:ascii="Arial" w:cs="Arial" w:eastAsia="Arial" w:hAnsi="Arial"/>
          <w:sz w:val="16"/>
          <w:szCs w:val="16"/>
          <w:b w:val="1"/>
          <w:bCs w:val="1"/>
          <w:color w:val="auto"/>
        </w:rPr>
        <w:t>serving at the request of the</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 shall include any service as a director, officer, employee or agent of the Company which imposes duties on, or involves services by, such</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color w:val="auto"/>
        </w:rPr>
        <w:t>not opposed to the best interests of the Company</w:t>
      </w:r>
      <w:r>
        <w:rPr>
          <w:rFonts w:ascii="Arial" w:cs="Arial" w:eastAsia="Arial" w:hAnsi="Arial"/>
          <w:sz w:val="16"/>
          <w:szCs w:val="16"/>
          <w:color w:val="auto"/>
        </w:rPr>
        <w:t xml:space="preserve">” as referred to in this </w:t>
      </w:r>
      <w:r>
        <w:rPr>
          <w:rFonts w:ascii="Arial" w:cs="Arial" w:eastAsia="Arial" w:hAnsi="Arial"/>
          <w:sz w:val="16"/>
          <w:szCs w:val="16"/>
          <w:b w:val="1"/>
          <w:bCs w:val="1"/>
          <w:color w:val="auto"/>
        </w:rPr>
        <w:t>Article V</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STOCK</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i w:val="1"/>
          <w:iCs w:val="1"/>
          <w:color w:val="auto"/>
        </w:rPr>
        <w:t>Stock Certificates; Partly Paid Shares</w:t>
      </w:r>
      <w:r>
        <w:rPr>
          <w:rFonts w:ascii="Arial" w:cs="Arial" w:eastAsia="Arial" w:hAnsi="Arial"/>
          <w:sz w:val="18"/>
          <w:szCs w:val="18"/>
          <w:color w:val="auto"/>
        </w:rPr>
        <w:t xml:space="preserve">. The shares of the Company shall be represented by certificates,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Board may provide by resolution or resolutions that some or all of any or all classes or series of its stock shall be uncertificated shares. Any such resolution shall not apply to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0"/>
          </w:cols>
          <w:pgMar w:left="440" w:top="274" w:right="459" w:bottom="1440" w:gutter="0" w:footer="0" w:header="0"/>
        </w:sectPr>
      </w:pPr>
    </w:p>
    <w:bookmarkStart w:id="309" w:name="page310"/>
    <w:bookmarkEnd w:id="309"/>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represented by a certificate until such certificate is surrendered to the Company. Unless otherwise provided by resolution of the Board,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7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i w:val="1"/>
          <w:iCs w:val="1"/>
          <w:color w:val="auto"/>
        </w:rPr>
        <w:t>Special Designation on Certificates</w:t>
      </w:r>
      <w:r>
        <w:rPr>
          <w:rFonts w:ascii="Arial" w:cs="Arial" w:eastAsia="Arial" w:hAnsi="Arial"/>
          <w:sz w:val="17"/>
          <w:szCs w:val="17"/>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Company shall send to the registered owner thereof a written notice containing the information required to be set forth or stated on certificates pursuant to this section 6.2 or Sections 156, 202(a) or 218(a)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0"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Lost Certificates</w:t>
      </w:r>
      <w:r>
        <w:rPr>
          <w:rFonts w:ascii="Arial" w:cs="Arial" w:eastAsia="Arial" w:hAnsi="Arial"/>
          <w:sz w:val="18"/>
          <w:szCs w:val="18"/>
          <w:color w:val="auto"/>
        </w:rPr>
        <w:t xml:space="preserve">. Except as provided in this </w:t>
      </w:r>
      <w:r>
        <w:rPr>
          <w:rFonts w:ascii="Arial" w:cs="Arial" w:eastAsia="Arial" w:hAnsi="Arial"/>
          <w:sz w:val="18"/>
          <w:szCs w:val="18"/>
          <w:b w:val="1"/>
          <w:bCs w:val="1"/>
          <w:color w:val="auto"/>
        </w:rPr>
        <w:t>section 6.3</w:t>
      </w:r>
      <w:r>
        <w:rPr>
          <w:rFonts w:ascii="Arial" w:cs="Arial" w:eastAsia="Arial" w:hAnsi="Arial"/>
          <w:sz w:val="18"/>
          <w:szCs w:val="18"/>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91"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80"/>
          </w:cols>
          <w:pgMar w:left="440" w:top="274" w:right="479" w:bottom="1440" w:gutter="0" w:footer="0" w:header="0"/>
        </w:sectPr>
      </w:pPr>
    </w:p>
    <w:bookmarkStart w:id="310" w:name="page311"/>
    <w:bookmarkEnd w:id="310"/>
    <w:p>
      <w:pPr>
        <w:jc w:val="both"/>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6.5 </w:t>
      </w:r>
      <w:r>
        <w:rPr>
          <w:rFonts w:ascii="Arial" w:cs="Arial" w:eastAsia="Arial" w:hAnsi="Arial"/>
          <w:sz w:val="18"/>
          <w:szCs w:val="18"/>
          <w:b w:val="1"/>
          <w:bCs w:val="1"/>
          <w:i w:val="1"/>
          <w:iCs w:val="1"/>
          <w:color w:val="auto"/>
        </w:rPr>
        <w:t>Stock Transfer Agreements</w:t>
      </w:r>
      <w:r>
        <w:rPr>
          <w:rFonts w:ascii="Arial" w:cs="Arial" w:eastAsia="Arial" w:hAnsi="Arial"/>
          <w:sz w:val="18"/>
          <w:szCs w:val="18"/>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b w:val="1"/>
          <w:bCs w:val="1"/>
          <w:i w:val="1"/>
          <w:iCs w:val="1"/>
          <w:color w:val="auto"/>
        </w:rPr>
        <w:t>Registered Stockholders</w:t>
      </w:r>
      <w:r>
        <w:rPr>
          <w:rFonts w:ascii="Arial" w:cs="Arial" w:eastAsia="Arial" w:hAnsi="Arial"/>
          <w:sz w:val="15"/>
          <w:szCs w:val="15"/>
          <w:color w:val="auto"/>
        </w:rPr>
        <w:t>. The Company:</w:t>
      </w:r>
    </w:p>
    <w:p>
      <w:pPr>
        <w:spacing w:after="0" w:line="225" w:lineRule="exact"/>
        <w:rPr>
          <w:sz w:val="20"/>
          <w:szCs w:val="20"/>
          <w:color w:val="auto"/>
        </w:rPr>
      </w:pPr>
    </w:p>
    <w:p>
      <w:pPr>
        <w:ind w:right="40" w:firstLine="987"/>
        <w:spacing w:after="0" w:line="277" w:lineRule="auto"/>
        <w:tabs>
          <w:tab w:leader="none" w:pos="134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225" w:lineRule="exact"/>
        <w:rPr>
          <w:rFonts w:ascii="Arial" w:cs="Arial" w:eastAsia="Arial" w:hAnsi="Arial"/>
          <w:sz w:val="18"/>
          <w:szCs w:val="18"/>
          <w:color w:val="auto"/>
        </w:rPr>
      </w:pPr>
    </w:p>
    <w:p>
      <w:pPr>
        <w:ind w:right="420" w:firstLine="987"/>
        <w:spacing w:after="0" w:line="277" w:lineRule="auto"/>
        <w:tabs>
          <w:tab w:leader="none" w:pos="144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Notice of Stockholder Meetings</w:t>
      </w:r>
      <w:r>
        <w:rPr>
          <w:rFonts w:ascii="Arial" w:cs="Arial" w:eastAsia="Arial" w:hAnsi="Arial"/>
          <w:sz w:val="18"/>
          <w:szCs w:val="18"/>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i w:val="1"/>
          <w:iCs w:val="1"/>
          <w:color w:val="auto"/>
        </w:rPr>
        <w:t>Notice by Electronic Transmission</w:t>
      </w:r>
      <w:r>
        <w:rPr>
          <w:rFonts w:ascii="Arial" w:cs="Arial" w:eastAsia="Arial" w:hAnsi="Arial"/>
          <w:sz w:val="18"/>
          <w:szCs w:val="18"/>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88" w:lineRule="exact"/>
        <w:rPr>
          <w:sz w:val="20"/>
          <w:szCs w:val="20"/>
          <w:color w:val="auto"/>
        </w:rPr>
      </w:pPr>
    </w:p>
    <w:p>
      <w:pPr>
        <w:ind w:left="1340" w:hanging="353"/>
        <w:spacing w:after="0"/>
        <w:tabs>
          <w:tab w:leader="none" w:pos="13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Company is unable to deliver by electronic transmission two consecutive notices given by the Company in accordance with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consent; and</w:t>
      </w:r>
    </w:p>
    <w:p>
      <w:pPr>
        <w:spacing w:after="0" w:line="211" w:lineRule="exact"/>
        <w:rPr>
          <w:sz w:val="20"/>
          <w:szCs w:val="20"/>
          <w:color w:val="auto"/>
        </w:rPr>
      </w:pPr>
    </w:p>
    <w:p>
      <w:pPr>
        <w:ind w:right="320" w:firstLine="987"/>
        <w:spacing w:after="0" w:line="277" w:lineRule="auto"/>
        <w:tabs>
          <w:tab w:leader="none" w:pos="139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340" w:hanging="353"/>
        <w:spacing w:after="0"/>
        <w:tabs>
          <w:tab w:leader="none" w:pos="13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has consented to receive notice;</w:t>
      </w:r>
    </w:p>
    <w:p>
      <w:pPr>
        <w:spacing w:after="0" w:line="169" w:lineRule="exact"/>
        <w:rPr>
          <w:rFonts w:ascii="Arial" w:cs="Arial" w:eastAsia="Arial" w:hAnsi="Arial"/>
          <w:sz w:val="17"/>
          <w:szCs w:val="17"/>
          <w:color w:val="auto"/>
        </w:rPr>
      </w:pPr>
    </w:p>
    <w:p>
      <w:pPr>
        <w:ind w:left="5420" w:hanging="111"/>
        <w:spacing w:after="0"/>
        <w:tabs>
          <w:tab w:leader="none" w:pos="54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60"/>
          </w:cols>
          <w:pgMar w:left="440" w:top="274" w:right="499" w:bottom="1440" w:gutter="0" w:footer="0" w:header="0"/>
        </w:sectPr>
      </w:pPr>
    </w:p>
    <w:bookmarkStart w:id="311" w:name="page312"/>
    <w:bookmarkEnd w:id="311"/>
    <w:p>
      <w:pPr>
        <w:ind w:left="1444" w:hanging="453"/>
        <w:spacing w:after="0"/>
        <w:tabs>
          <w:tab w:leader="none" w:pos="1444" w:val="left"/>
        </w:tabs>
        <w:numPr>
          <w:ilvl w:val="1"/>
          <w:numId w:val="2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by a posting on an electronic network together with separate notice to the stockholder of such specific posting, upon the later of</w:t>
      </w:r>
    </w:p>
    <w:p>
      <w:pPr>
        <w:spacing w:after="0" w:line="46" w:lineRule="exact"/>
        <w:rPr>
          <w:rFonts w:ascii="Arial" w:cs="Arial" w:eastAsia="Arial" w:hAnsi="Arial"/>
          <w:sz w:val="16"/>
          <w:szCs w:val="16"/>
          <w:color w:val="auto"/>
        </w:rPr>
      </w:pPr>
    </w:p>
    <w:p>
      <w:pPr>
        <w:ind w:left="304" w:hanging="304"/>
        <w:spacing w:after="0"/>
        <w:tabs>
          <w:tab w:leader="none" w:pos="30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210" w:lineRule="exact"/>
        <w:rPr>
          <w:rFonts w:ascii="Arial" w:cs="Arial" w:eastAsia="Arial" w:hAnsi="Arial"/>
          <w:sz w:val="18"/>
          <w:szCs w:val="18"/>
          <w:color w:val="auto"/>
        </w:rPr>
      </w:pPr>
    </w:p>
    <w:p>
      <w:pPr>
        <w:ind w:left="1424" w:hanging="433"/>
        <w:spacing w:after="0"/>
        <w:tabs>
          <w:tab w:leader="none" w:pos="142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225" w:lineRule="exact"/>
        <w:rPr>
          <w:sz w:val="20"/>
          <w:szCs w:val="20"/>
          <w:color w:val="auto"/>
        </w:rPr>
      </w:pPr>
    </w:p>
    <w:p>
      <w:pPr>
        <w:ind w:left="4" w:right="60" w:firstLine="440"/>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i w:val="1"/>
          <w:iCs w:val="1"/>
          <w:color w:val="auto"/>
        </w:rPr>
        <w:t>Notice to Stockholders Sharing an Address</w:t>
      </w:r>
      <w:r>
        <w:rPr>
          <w:rFonts w:ascii="Arial" w:cs="Arial" w:eastAsia="Arial" w:hAnsi="Arial"/>
          <w:sz w:val="17"/>
          <w:szCs w:val="17"/>
          <w:color w:val="auto"/>
        </w:rPr>
        <w:t>.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78"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Notice to Person with Whom Communication is Unlawful</w:t>
      </w:r>
      <w:r>
        <w:rPr>
          <w:rFonts w:ascii="Arial" w:cs="Arial" w:eastAsia="Arial" w:hAnsi="Arial"/>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i w:val="1"/>
          <w:iCs w:val="1"/>
          <w:color w:val="auto"/>
        </w:rPr>
        <w:t>Waiver of Notice</w:t>
      </w:r>
      <w:r>
        <w:rPr>
          <w:rFonts w:ascii="Arial" w:cs="Arial" w:eastAsia="Arial" w:hAnsi="Arial"/>
          <w:sz w:val="17"/>
          <w:szCs w:val="17"/>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8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VIII — GENERAL MATTERS</w:t>
      </w:r>
    </w:p>
    <w:p>
      <w:pPr>
        <w:spacing w:after="0" w:line="229"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i w:val="1"/>
          <w:iCs w:val="1"/>
          <w:color w:val="auto"/>
        </w:rPr>
        <w:t>Fiscal Year</w:t>
      </w:r>
      <w:r>
        <w:rPr>
          <w:rFonts w:ascii="Arial" w:cs="Arial" w:eastAsia="Arial" w:hAnsi="Arial"/>
          <w:sz w:val="16"/>
          <w:szCs w:val="16"/>
          <w:color w:val="auto"/>
        </w:rPr>
        <w:t>. The fiscal year of the Company shall be fixed by resolution of the Board and may be changed by the Board.</w:t>
      </w:r>
    </w:p>
    <w:p>
      <w:pPr>
        <w:spacing w:after="0" w:line="225" w:lineRule="exact"/>
        <w:rPr>
          <w:sz w:val="20"/>
          <w:szCs w:val="20"/>
          <w:color w:val="auto"/>
        </w:rPr>
      </w:pPr>
    </w:p>
    <w:p>
      <w:pPr>
        <w:ind w:left="4" w:right="500" w:firstLine="440"/>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i w:val="1"/>
          <w:iCs w:val="1"/>
          <w:color w:val="auto"/>
        </w:rPr>
        <w:t>Seal</w:t>
      </w:r>
      <w:r>
        <w:rPr>
          <w:rFonts w:ascii="Arial" w:cs="Arial" w:eastAsia="Arial" w:hAnsi="Arial"/>
          <w:sz w:val="16"/>
          <w:szCs w:val="16"/>
          <w:color w:val="auto"/>
        </w:rPr>
        <w:t>.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64"/>
          </w:cols>
          <w:pgMar w:left="436" w:top="274" w:right="499" w:bottom="1440" w:gutter="0" w:footer="0" w:header="0"/>
        </w:sectPr>
      </w:pPr>
    </w:p>
    <w:bookmarkStart w:id="312" w:name="page313"/>
    <w:bookmarkEnd w:id="312"/>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IX — AMENDMENTS</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940"/>
          </w:cols>
          <w:pgMar w:left="440" w:top="274" w:right="51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TENAYA THERAPEUTICS,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INVESTORS’ RIGHTS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1765935</wp:posOffset>
            </wp:positionV>
            <wp:extent cx="69951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1809115</wp:posOffset>
            </wp:positionV>
            <wp:extent cx="69951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TENAYA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1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This Amended and Restated Investors’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dated as of December 17, 2020, and is between Tenaya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the persons and entities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(each,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Certain of the Investors are parties to the Series C Preferred Stock Purchase Agreement of even date herewith, among the Company and the Investors listed on the Schedule of Investors thereto (as may be amended from time to time,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relating to the issue and sale of shares of the Company’s Series C Preferred Stock (the “</w:t>
      </w:r>
      <w:r>
        <w:rPr>
          <w:rFonts w:ascii="Arial" w:cs="Arial" w:eastAsia="Arial" w:hAnsi="Arial"/>
          <w:sz w:val="17"/>
          <w:szCs w:val="17"/>
          <w:b w:val="1"/>
          <w:bCs w:val="1"/>
          <w:i w:val="1"/>
          <w:iCs w:val="1"/>
          <w:color w:val="auto"/>
        </w:rPr>
        <w:t>Series C Preferred Stock</w:t>
      </w:r>
      <w:r>
        <w:rPr>
          <w:rFonts w:ascii="Arial" w:cs="Arial" w:eastAsia="Arial" w:hAnsi="Arial"/>
          <w:sz w:val="17"/>
          <w:szCs w:val="17"/>
          <w:color w:val="auto"/>
        </w:rPr>
        <w:t>”) and it is a condition to the obligations of Company and such Investors under the Purchase Agreement that the Investors and the Company execute and deliver this Agreement.</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Certain of the Investors hold shares of the Company’s Series A Preferred Stock (the “</w:t>
      </w:r>
      <w:r>
        <w:rPr>
          <w:rFonts w:ascii="Arial" w:cs="Arial" w:eastAsia="Arial" w:hAnsi="Arial"/>
          <w:sz w:val="18"/>
          <w:szCs w:val="18"/>
          <w:b w:val="1"/>
          <w:bCs w:val="1"/>
          <w:i w:val="1"/>
          <w:iCs w:val="1"/>
          <w:color w:val="auto"/>
        </w:rPr>
        <w:t>Series A Preferred Stock</w:t>
      </w:r>
      <w:r>
        <w:rPr>
          <w:rFonts w:ascii="Arial" w:cs="Arial" w:eastAsia="Arial" w:hAnsi="Arial"/>
          <w:sz w:val="18"/>
          <w:szCs w:val="18"/>
          <w:color w:val="auto"/>
        </w:rPr>
        <w:t>”) and Series B Preferred Stock (the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and together with the Series A Preferred Stock and the Series C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and are parties to that certain Amended and Restated Investors’ Rights Agreement dated August 30, 2019 (the “</w:t>
      </w:r>
      <w:r>
        <w:rPr>
          <w:rFonts w:ascii="Arial" w:cs="Arial" w:eastAsia="Arial" w:hAnsi="Arial"/>
          <w:sz w:val="18"/>
          <w:szCs w:val="18"/>
          <w:b w:val="1"/>
          <w:bCs w:val="1"/>
          <w:i w:val="1"/>
          <w:iCs w:val="1"/>
          <w:color w:val="auto"/>
        </w:rPr>
        <w:t>Prior Rights Agreement</w:t>
      </w:r>
      <w:r>
        <w:rPr>
          <w:rFonts w:ascii="Arial" w:cs="Arial" w:eastAsia="Arial" w:hAnsi="Arial"/>
          <w:sz w:val="18"/>
          <w:szCs w:val="18"/>
          <w:color w:val="auto"/>
        </w:rPr>
        <w:t>”) between the Company and such Investors (the “</w:t>
      </w:r>
      <w:r>
        <w:rPr>
          <w:rFonts w:ascii="Arial" w:cs="Arial" w:eastAsia="Arial" w:hAnsi="Arial"/>
          <w:sz w:val="18"/>
          <w:szCs w:val="18"/>
          <w:b w:val="1"/>
          <w:bCs w:val="1"/>
          <w:i w:val="1"/>
          <w:iCs w:val="1"/>
          <w:color w:val="auto"/>
        </w:rPr>
        <w:t>Prior Investors</w:t>
      </w:r>
      <w:r>
        <w:rPr>
          <w:rFonts w:ascii="Arial" w:cs="Arial" w:eastAsia="Arial" w:hAnsi="Arial"/>
          <w:sz w:val="18"/>
          <w:szCs w:val="18"/>
          <w:color w:val="auto"/>
        </w:rPr>
        <w:t>”).</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Company and the Prior Investors, desire to amend and restate the Prior Rights Agreement, and further desire that this Agreement supersede and replace the Prior Rights Agreement, each in its entirety and as set forth in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therefore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Certain Definitions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ind w:left="1360" w:hanging="373"/>
        <w:spacing w:after="0"/>
        <w:tabs>
          <w:tab w:leader="none" w:pos="13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shall mean the Company’s Board of Directors.</w:t>
      </w:r>
    </w:p>
    <w:p>
      <w:pPr>
        <w:spacing w:after="0" w:line="225" w:lineRule="exact"/>
        <w:rPr>
          <w:rFonts w:ascii="Arial" w:cs="Arial" w:eastAsia="Arial" w:hAnsi="Arial"/>
          <w:sz w:val="18"/>
          <w:szCs w:val="18"/>
          <w:color w:val="auto"/>
        </w:rPr>
      </w:pPr>
    </w:p>
    <w:p>
      <w:pPr>
        <w:ind w:right="580" w:firstLine="987"/>
        <w:spacing w:after="0" w:line="277" w:lineRule="auto"/>
        <w:tabs>
          <w:tab w:leader="none" w:pos="138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 or any other federal agency at the time administering the Securities Act (as defined below).</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225" w:lineRule="exact"/>
        <w:rPr>
          <w:rFonts w:ascii="Arial" w:cs="Arial" w:eastAsia="Arial" w:hAnsi="Arial"/>
          <w:sz w:val="18"/>
          <w:szCs w:val="18"/>
          <w:color w:val="auto"/>
        </w:rPr>
      </w:pPr>
    </w:p>
    <w:p>
      <w:pPr>
        <w:ind w:right="140" w:firstLine="987"/>
        <w:spacing w:after="0" w:line="277" w:lineRule="auto"/>
        <w:tabs>
          <w:tab w:leader="none" w:pos="138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 or any similar successor federal statute and the rules and regulations thereunder, all as the same shall be in effect from time to time.</w:t>
      </w:r>
    </w:p>
    <w:p>
      <w:pPr>
        <w:sectPr>
          <w:pgSz w:w="11900" w:h="16838" w:orient="portrait"/>
          <w:cols w:equalWidth="0" w:num="1">
            <w:col w:w="11000"/>
          </w:cols>
          <w:pgMar w:left="440" w:top="270" w:right="459" w:bottom="1440" w:gutter="0" w:footer="0" w:header="0"/>
        </w:sectPr>
      </w:pPr>
    </w:p>
    <w:bookmarkStart w:id="315" w:name="page316"/>
    <w:bookmarkEnd w:id="315"/>
    <w:p>
      <w:pPr>
        <w:ind w:left="4" w:firstLine="987"/>
        <w:spacing w:after="0" w:line="277" w:lineRule="auto"/>
        <w:tabs>
          <w:tab w:leader="none" w:pos="1375" w:val="left"/>
        </w:tabs>
        <w:numPr>
          <w:ilvl w:val="1"/>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shall mean any Investor who holds Registrable Securities and any holder of Registrable Securities to whom the registration rights conferred by this Agreement have been duly and validly transferred in accordance with Section 2.12 of this Agreement.</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shall have the meaning set forth in Section 2.6(c).</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shall have the meaning set forth in Section 2.6(c).</w:t>
      </w:r>
    </w:p>
    <w:p>
      <w:pPr>
        <w:spacing w:after="0" w:line="225" w:lineRule="exact"/>
        <w:rPr>
          <w:rFonts w:ascii="Arial" w:cs="Arial" w:eastAsia="Arial" w:hAnsi="Arial"/>
          <w:sz w:val="18"/>
          <w:szCs w:val="18"/>
          <w:color w:val="auto"/>
        </w:rPr>
      </w:pPr>
    </w:p>
    <w:p>
      <w:pPr>
        <w:ind w:left="4" w:right="600" w:firstLine="987"/>
        <w:spacing w:after="0" w:line="277" w:lineRule="auto"/>
        <w:tabs>
          <w:tab w:leader="none" w:pos="138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Public Offering</w:t>
      </w:r>
      <w:r>
        <w:rPr>
          <w:rFonts w:ascii="Arial" w:cs="Arial" w:eastAsia="Arial" w:hAnsi="Arial"/>
          <w:sz w:val="18"/>
          <w:szCs w:val="18"/>
          <w:color w:val="auto"/>
        </w:rPr>
        <w:t>” shall mean the closing of the Company’s first firm commitment underwritten public offering of the Company’s Common Stock registered under the Securities Act.</w:t>
      </w:r>
    </w:p>
    <w:p>
      <w:pPr>
        <w:spacing w:after="0" w:line="170" w:lineRule="exact"/>
        <w:rPr>
          <w:rFonts w:ascii="Arial" w:cs="Arial" w:eastAsia="Arial" w:hAnsi="Arial"/>
          <w:sz w:val="18"/>
          <w:szCs w:val="18"/>
          <w:color w:val="auto"/>
        </w:rPr>
      </w:pPr>
    </w:p>
    <w:p>
      <w:pPr>
        <w:ind w:left="4" w:right="20" w:firstLine="987"/>
        <w:spacing w:after="0" w:line="277" w:lineRule="auto"/>
        <w:tabs>
          <w:tab w:leader="none" w:pos="134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shall mean any Holder or Holders who in the aggregate hold not less than fifty percent (50%) of the outstanding Registrable Securities.</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Investor</w:t>
      </w:r>
      <w:r>
        <w:rPr>
          <w:rFonts w:ascii="Arial" w:cs="Arial" w:eastAsia="Arial" w:hAnsi="Arial"/>
          <w:sz w:val="18"/>
          <w:szCs w:val="18"/>
          <w:color w:val="auto"/>
        </w:rPr>
        <w:t>” shall have the meaning set forth in Section 3.1(a).</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shall have the meaning set forth in Section 4.1(b).</w:t>
      </w:r>
    </w:p>
    <w:p>
      <w:pPr>
        <w:spacing w:after="0" w:line="225" w:lineRule="exact"/>
        <w:rPr>
          <w:rFonts w:ascii="Arial" w:cs="Arial" w:eastAsia="Arial" w:hAnsi="Arial"/>
          <w:sz w:val="18"/>
          <w:szCs w:val="18"/>
          <w:color w:val="auto"/>
        </w:rPr>
      </w:pPr>
    </w:p>
    <w:p>
      <w:pPr>
        <w:ind w:left="4" w:right="80" w:firstLine="987"/>
        <w:spacing w:after="0" w:line="277" w:lineRule="auto"/>
        <w:tabs>
          <w:tab w:leader="none" w:pos="134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Selling Stockholders</w:t>
      </w:r>
      <w:r>
        <w:rPr>
          <w:rFonts w:ascii="Arial" w:cs="Arial" w:eastAsia="Arial" w:hAnsi="Arial"/>
          <w:sz w:val="18"/>
          <w:szCs w:val="18"/>
          <w:color w:val="auto"/>
        </w:rPr>
        <w:t>” shall mean persons other than Holders who, by virtue of agreements with the Company, are entitled to include their Other Shares in certain registrations hereunder.</w:t>
      </w:r>
    </w:p>
    <w:p>
      <w:pPr>
        <w:spacing w:after="0" w:line="170" w:lineRule="exact"/>
        <w:rPr>
          <w:rFonts w:ascii="Arial" w:cs="Arial" w:eastAsia="Arial" w:hAnsi="Arial"/>
          <w:sz w:val="18"/>
          <w:szCs w:val="18"/>
          <w:color w:val="auto"/>
        </w:rPr>
      </w:pPr>
    </w:p>
    <w:p>
      <w:pPr>
        <w:ind w:left="4" w:right="260" w:firstLine="987"/>
        <w:spacing w:after="0" w:line="277" w:lineRule="auto"/>
        <w:tabs>
          <w:tab w:leader="none" w:pos="143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Shares</w:t>
      </w:r>
      <w:r>
        <w:rPr>
          <w:rFonts w:ascii="Arial" w:cs="Arial" w:eastAsia="Arial" w:hAnsi="Arial"/>
          <w:sz w:val="18"/>
          <w:szCs w:val="18"/>
          <w:color w:val="auto"/>
        </w:rPr>
        <w:t>” shall mean shares of Common Stock, other than Registrable Securities (as defined below), with respect to which registration rights have been granted.</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shall have the meaning set forth in the Recitals.</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2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shall mean (i) shares of Common Stock issued or issuable pursuant to the conversion of the Shares and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any Common Stock issued as a dividend or other distribution with respect to or in exchange for or in replacement of the shares referenced in</w:t>
      </w:r>
    </w:p>
    <w:p>
      <w:pPr>
        <w:spacing w:after="0" w:line="21" w:lineRule="exact"/>
        <w:rPr>
          <w:sz w:val="20"/>
          <w:szCs w:val="20"/>
          <w:color w:val="auto"/>
        </w:rPr>
      </w:pPr>
    </w:p>
    <w:p>
      <w:pPr>
        <w:ind w:left="4" w:right="80" w:hanging="4"/>
        <w:spacing w:after="0" w:line="302" w:lineRule="auto"/>
        <w:tabs>
          <w:tab w:leader="none" w:pos="21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Registrable Securities shall not include any shares of Common Stock described in clause (i) or (ii) above which have previously been registered or which have been sold to the public either pursuant to a registration statement or Rule 144, or which have been sold in a private transaction in which the transferor’s rights under this Agreement are not validly assigned in accordance with this Agreement.</w:t>
      </w:r>
    </w:p>
    <w:p>
      <w:pPr>
        <w:spacing w:after="0" w:line="155" w:lineRule="exact"/>
        <w:rPr>
          <w:rFonts w:ascii="Arial" w:cs="Arial" w:eastAsia="Arial" w:hAnsi="Arial"/>
          <w:sz w:val="16"/>
          <w:szCs w:val="16"/>
          <w:color w:val="auto"/>
        </w:rPr>
      </w:pPr>
    </w:p>
    <w:p>
      <w:pPr>
        <w:ind w:left="4" w:right="200" w:firstLine="987"/>
        <w:spacing w:after="0" w:line="263" w:lineRule="auto"/>
        <w:tabs>
          <w:tab w:leader="none" w:pos="138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shall refer to a registration effected by preparing and filing a registration statement in compliance with the Securities Act (as defined below) and applicable rules and regulations thereunder, and the declaration or ordering of the effectiveness of such registration statement.</w:t>
      </w:r>
    </w:p>
    <w:p>
      <w:pPr>
        <w:spacing w:after="0" w:line="183" w:lineRule="exact"/>
        <w:rPr>
          <w:rFonts w:ascii="Arial" w:cs="Arial" w:eastAsia="Arial" w:hAnsi="Arial"/>
          <w:sz w:val="18"/>
          <w:szCs w:val="18"/>
          <w:color w:val="auto"/>
        </w:rPr>
      </w:pPr>
    </w:p>
    <w:p>
      <w:pPr>
        <w:ind w:left="4" w:right="80" w:firstLine="987"/>
        <w:spacing w:after="0" w:line="275" w:lineRule="auto"/>
        <w:tabs>
          <w:tab w:leader="none" w:pos="1385" w:val="left"/>
        </w:tabs>
        <w:numPr>
          <w:ilvl w:val="1"/>
          <w:numId w:val="2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Expenses</w:t>
      </w:r>
      <w:r>
        <w:rPr>
          <w:rFonts w:ascii="Arial" w:cs="Arial" w:eastAsia="Arial" w:hAnsi="Arial"/>
          <w:sz w:val="17"/>
          <w:szCs w:val="17"/>
          <w:color w:val="auto"/>
        </w:rPr>
        <w:t>” shall mean all expenses incurred in effecting any registration pursuant to this Agreement, including, without limitation, all registration, qualification, and filing fees, printing expenses, escrow fees, fees and disbursements of counsel for the Company, reasonable documented fees and disbursements of one special counsel for the Holders not to exceed $50,000, blue sky fees and expenses, and expenses of any regular or special audits incident to or required by any such registration, but shall not include Selling Expenses, and the compensation of regular employees of the Company, which shall be paid in any event by the Company.</w:t>
      </w:r>
    </w:p>
    <w:p>
      <w:pPr>
        <w:spacing w:after="0" w:line="10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316" w:name="page317"/>
    <w:bookmarkEnd w:id="316"/>
    <w:p>
      <w:pPr>
        <w:ind w:left="1340" w:hanging="353"/>
        <w:spacing w:after="0"/>
        <w:tabs>
          <w:tab w:leader="none" w:pos="13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shall mean the Company’s Amended and Restated Certificate of Incorporation, as the same may be amended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10" w:lineRule="exact"/>
        <w:rPr>
          <w:rFonts w:ascii="Arial" w:cs="Arial" w:eastAsia="Arial" w:hAnsi="Arial"/>
          <w:sz w:val="16"/>
          <w:szCs w:val="16"/>
          <w:color w:val="auto"/>
        </w:rPr>
      </w:pPr>
    </w:p>
    <w:p>
      <w:pPr>
        <w:ind w:left="1360" w:hanging="373"/>
        <w:spacing w:after="0"/>
        <w:tabs>
          <w:tab w:leader="none" w:pos="13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shall mean any Registrable Securities required to bear the first legend set forth in Section 2.8(b).</w:t>
      </w:r>
    </w:p>
    <w:p>
      <w:pPr>
        <w:spacing w:after="0" w:line="225" w:lineRule="exact"/>
        <w:rPr>
          <w:rFonts w:ascii="Arial" w:cs="Arial" w:eastAsia="Arial" w:hAnsi="Arial"/>
          <w:sz w:val="18"/>
          <w:szCs w:val="18"/>
          <w:color w:val="auto"/>
        </w:rPr>
      </w:pPr>
    </w:p>
    <w:p>
      <w:pPr>
        <w:ind w:right="280" w:firstLine="987"/>
        <w:spacing w:after="0" w:line="277" w:lineRule="auto"/>
        <w:tabs>
          <w:tab w:leader="none" w:pos="134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shall mean Rule 144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right="240" w:firstLine="987"/>
        <w:spacing w:after="0" w:line="277" w:lineRule="auto"/>
        <w:tabs>
          <w:tab w:leader="none" w:pos="13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145</w:t>
      </w:r>
      <w:r>
        <w:rPr>
          <w:rFonts w:ascii="Arial" w:cs="Arial" w:eastAsia="Arial" w:hAnsi="Arial"/>
          <w:sz w:val="18"/>
          <w:szCs w:val="18"/>
          <w:color w:val="auto"/>
        </w:rPr>
        <w:t>” shall mean Rule 145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right="240" w:firstLine="987"/>
        <w:spacing w:after="0" w:line="277" w:lineRule="auto"/>
        <w:tabs>
          <w:tab w:leader="none" w:pos="13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415</w:t>
      </w:r>
      <w:r>
        <w:rPr>
          <w:rFonts w:ascii="Arial" w:cs="Arial" w:eastAsia="Arial" w:hAnsi="Arial"/>
          <w:sz w:val="18"/>
          <w:szCs w:val="18"/>
          <w:color w:val="auto"/>
        </w:rPr>
        <w:t>” shall mean Rule 415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right="560" w:firstLine="987"/>
        <w:spacing w:after="0" w:line="277" w:lineRule="auto"/>
        <w:tabs>
          <w:tab w:leader="none" w:pos="142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or any similar successor federal statute and the rules and regulations thereunder, all as the same shall be in effect from time to time.</w:t>
      </w:r>
    </w:p>
    <w:p>
      <w:pPr>
        <w:spacing w:after="0" w:line="170" w:lineRule="exact"/>
        <w:rPr>
          <w:rFonts w:ascii="Arial" w:cs="Arial" w:eastAsia="Arial" w:hAnsi="Arial"/>
          <w:sz w:val="18"/>
          <w:szCs w:val="18"/>
          <w:color w:val="auto"/>
        </w:rPr>
      </w:pPr>
    </w:p>
    <w:p>
      <w:pPr>
        <w:ind w:firstLine="987"/>
        <w:spacing w:after="0" w:line="263" w:lineRule="auto"/>
        <w:tabs>
          <w:tab w:leader="none" w:pos="13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shall mean all underwriting discounts, selling commissions and stock transfer taxes applicable to the sale of Registrable Securities and fees and disbursements of counsel for any Holder (other than the fees and disbursements of one special counsel to the Holders included in Registration Expenses).</w:t>
      </w:r>
    </w:p>
    <w:p>
      <w:pPr>
        <w:spacing w:after="0" w:line="183" w:lineRule="exact"/>
        <w:rPr>
          <w:rFonts w:ascii="Arial" w:cs="Arial" w:eastAsia="Arial" w:hAnsi="Arial"/>
          <w:sz w:val="18"/>
          <w:szCs w:val="18"/>
          <w:color w:val="auto"/>
        </w:rPr>
      </w:pPr>
    </w:p>
    <w:p>
      <w:pPr>
        <w:ind w:left="1420" w:hanging="433"/>
        <w:spacing w:after="0"/>
        <w:tabs>
          <w:tab w:leader="none" w:pos="14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shall mean the Series A Preferred Stock, Series B Preferred Stock and Series C Preferred Stock.</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Requested Registration</w:t>
      </w:r>
      <w:r>
        <w:rPr>
          <w:rFonts w:ascii="Arial" w:cs="Arial" w:eastAsia="Arial" w:hAnsi="Arial"/>
          <w:sz w:val="15"/>
          <w:szCs w:val="15"/>
          <w:color w:val="auto"/>
        </w:rPr>
        <w:t>.</w:t>
      </w:r>
    </w:p>
    <w:p>
      <w:pPr>
        <w:spacing w:after="0" w:line="229" w:lineRule="exact"/>
        <w:rPr>
          <w:sz w:val="20"/>
          <w:szCs w:val="20"/>
          <w:color w:val="auto"/>
        </w:rPr>
      </w:pPr>
    </w:p>
    <w:p>
      <w:pPr>
        <w:ind w:firstLine="987"/>
        <w:spacing w:after="0" w:line="259" w:lineRule="auto"/>
        <w:tabs>
          <w:tab w:leader="none" w:pos="1461" w:val="left"/>
        </w:tabs>
        <w:numPr>
          <w:ilvl w:val="0"/>
          <w:numId w:val="2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Request for Registration. </w:t>
      </w:r>
      <w:r>
        <w:rPr>
          <w:rFonts w:ascii="Arial" w:cs="Arial" w:eastAsia="Arial" w:hAnsi="Arial"/>
          <w:sz w:val="18"/>
          <w:szCs w:val="18"/>
          <w:color w:val="auto"/>
        </w:rPr>
        <w:t>Subject to the conditions set forth in this Section 2.1, if the Company shall receive from Initiating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written request signed by such Initiating Holders that the Company effect any registration with respect to all or a part of the Registrable Securities (such request shall state the number of shares of Registrable Securities to be disposed of and the intended methods of disposition of such shares by such Initiating Holders), the Company will:</w:t>
      </w:r>
    </w:p>
    <w:p>
      <w:pPr>
        <w:spacing w:after="0" w:line="187" w:lineRule="exact"/>
        <w:rPr>
          <w:sz w:val="20"/>
          <w:szCs w:val="20"/>
          <w:color w:val="auto"/>
        </w:rPr>
      </w:pPr>
    </w:p>
    <w:p>
      <w:pPr>
        <w:ind w:left="5460" w:right="3340" w:hanging="4032"/>
        <w:spacing w:after="0" w:line="449" w:lineRule="auto"/>
        <w:tabs>
          <w:tab w:leader="none" w:pos="177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to all other Holders; and 3</w:t>
      </w:r>
    </w:p>
    <w:p>
      <w:pPr>
        <w:sectPr>
          <w:pgSz w:w="11900" w:h="16838" w:orient="portrait"/>
          <w:cols w:equalWidth="0" w:num="1">
            <w:col w:w="11000"/>
          </w:cols>
          <w:pgMar w:left="440" w:top="274" w:right="459" w:bottom="1440" w:gutter="0" w:footer="0" w:header="0"/>
        </w:sectPr>
      </w:pPr>
    </w:p>
    <w:bookmarkStart w:id="317" w:name="page318"/>
    <w:bookmarkEnd w:id="317"/>
    <w:p>
      <w:pPr>
        <w:ind w:left="-20" w:firstLine="1428"/>
        <w:spacing w:after="0" w:line="275" w:lineRule="auto"/>
        <w:tabs>
          <w:tab w:leader="none" w:pos="1812" w:val="left"/>
        </w:tabs>
        <w:numPr>
          <w:ilvl w:val="1"/>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practicable, file and use its commercially reasonable efforts to effect such registration (including, without limitation, filing post-effective amendments, appropriate qualifications under applicable blue sky or other state securities laws, and appropriate compliance with the Securities Act) and to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twenty (20) days after such written notice from the Company is mailed or delivered.</w:t>
      </w:r>
    </w:p>
    <w:p>
      <w:pPr>
        <w:spacing w:after="0" w:line="176" w:lineRule="exact"/>
        <w:rPr>
          <w:rFonts w:ascii="Arial" w:cs="Arial" w:eastAsia="Arial" w:hAnsi="Arial"/>
          <w:sz w:val="17"/>
          <w:szCs w:val="17"/>
          <w:color w:val="auto"/>
        </w:rPr>
      </w:pPr>
    </w:p>
    <w:p>
      <w:pPr>
        <w:ind w:left="-20" w:right="480" w:firstLine="987"/>
        <w:spacing w:after="0" w:line="277" w:lineRule="auto"/>
        <w:tabs>
          <w:tab w:leader="none" w:pos="1406" w:val="left"/>
        </w:tabs>
        <w:numPr>
          <w:ilvl w:val="0"/>
          <w:numId w:val="2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Limitations on Requested Registration. </w:t>
      </w:r>
      <w:r>
        <w:rPr>
          <w:rFonts w:ascii="Arial" w:cs="Arial" w:eastAsia="Arial" w:hAnsi="Arial"/>
          <w:sz w:val="18"/>
          <w:szCs w:val="18"/>
          <w:color w:val="auto"/>
        </w:rPr>
        <w:t>The Company shall not be obligated to effect, or to take any action to effect,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pursuant to this Section 2.1:</w:t>
      </w:r>
    </w:p>
    <w:p>
      <w:pPr>
        <w:spacing w:after="0" w:line="170" w:lineRule="exact"/>
        <w:rPr>
          <w:rFonts w:ascii="Arial" w:cs="Arial" w:eastAsia="Arial" w:hAnsi="Arial"/>
          <w:sz w:val="18"/>
          <w:szCs w:val="18"/>
          <w:color w:val="auto"/>
        </w:rPr>
      </w:pPr>
    </w:p>
    <w:p>
      <w:pPr>
        <w:ind w:left="-20" w:right="160" w:firstLine="1428"/>
        <w:spacing w:after="0" w:line="286" w:lineRule="auto"/>
        <w:tabs>
          <w:tab w:leader="none" w:pos="1762" w:val="left"/>
        </w:tabs>
        <w:numPr>
          <w:ilvl w:val="1"/>
          <w:numId w:val="224"/>
        </w:numPr>
        <w:rPr>
          <w:rFonts w:ascii="Arial" w:cs="Arial" w:eastAsia="Arial" w:hAnsi="Arial"/>
          <w:sz w:val="17"/>
          <w:szCs w:val="17"/>
          <w:color w:val="auto"/>
        </w:rPr>
      </w:pPr>
      <w:r>
        <w:rPr>
          <w:rFonts w:ascii="Arial" w:cs="Arial" w:eastAsia="Arial" w:hAnsi="Arial"/>
          <w:sz w:val="17"/>
          <w:szCs w:val="17"/>
          <w:color w:val="auto"/>
        </w:rPr>
        <w:t>Prior to the earlier of (A) the five (5) year anniversary of the date of this Agreement or (B) one hundred and eighty (180) days following the effective date of the first registration statement filed by the Company covering an underwritten offering of any of its securities to the general public (or the subsequent date on which all market stand-off agreements applicable to the offering have terminated);</w:t>
      </w:r>
    </w:p>
    <w:p>
      <w:pPr>
        <w:spacing w:after="0" w:line="165" w:lineRule="exact"/>
        <w:rPr>
          <w:sz w:val="20"/>
          <w:szCs w:val="20"/>
          <w:color w:val="auto"/>
        </w:rPr>
      </w:pPr>
    </w:p>
    <w:p>
      <w:pPr>
        <w:ind w:left="-20" w:right="180" w:firstLine="1428"/>
        <w:spacing w:after="0" w:line="263" w:lineRule="auto"/>
        <w:tabs>
          <w:tab w:leader="none" w:pos="181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the Initiating Holders, together with the holders of any other securities of the Company entitled to inclusion in such registration statement, propose to sell Registrable Securities and such other securities (if any) the aggregate gross proceeds of which (before deduction for underwriter’s discounts and expenses related to the issuance) are less than $10,000,000;</w:t>
      </w:r>
    </w:p>
    <w:p>
      <w:pPr>
        <w:spacing w:after="0" w:line="183" w:lineRule="exact"/>
        <w:rPr>
          <w:rFonts w:ascii="Arial" w:cs="Arial" w:eastAsia="Arial" w:hAnsi="Arial"/>
          <w:sz w:val="18"/>
          <w:szCs w:val="18"/>
          <w:color w:val="auto"/>
        </w:rPr>
      </w:pPr>
    </w:p>
    <w:p>
      <w:pPr>
        <w:ind w:left="-20" w:right="260" w:firstLine="1428"/>
        <w:spacing w:after="0" w:line="263" w:lineRule="auto"/>
        <w:tabs>
          <w:tab w:leader="none" w:pos="186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w:t>
      </w:r>
    </w:p>
    <w:p>
      <w:pPr>
        <w:spacing w:after="0" w:line="183" w:lineRule="exact"/>
        <w:rPr>
          <w:rFonts w:ascii="Arial" w:cs="Arial" w:eastAsia="Arial" w:hAnsi="Arial"/>
          <w:sz w:val="18"/>
          <w:szCs w:val="18"/>
          <w:color w:val="auto"/>
        </w:rPr>
      </w:pPr>
    </w:p>
    <w:p>
      <w:pPr>
        <w:ind w:left="-20" w:right="520" w:firstLine="1428"/>
        <w:spacing w:after="0" w:line="277" w:lineRule="auto"/>
        <w:tabs>
          <w:tab w:leader="none" w:pos="184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After the Company has effected two (2) such registrations pursuant to this Section 2.1 (and such registrations have been declared or ordered effective);</w:t>
      </w:r>
    </w:p>
    <w:p>
      <w:pPr>
        <w:spacing w:after="0" w:line="170" w:lineRule="exact"/>
        <w:rPr>
          <w:rFonts w:ascii="Arial" w:cs="Arial" w:eastAsia="Arial" w:hAnsi="Arial"/>
          <w:sz w:val="18"/>
          <w:szCs w:val="18"/>
          <w:color w:val="auto"/>
        </w:rPr>
      </w:pPr>
    </w:p>
    <w:p>
      <w:pPr>
        <w:jc w:val="both"/>
        <w:ind w:left="-20" w:right="120" w:firstLine="1428"/>
        <w:spacing w:after="0" w:line="259" w:lineRule="auto"/>
        <w:tabs>
          <w:tab w:leader="none" w:pos="180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During the period starting with the date sixty (60) days prior to the Company’s good faith estimate of the date of filing of, and ending on a date one hundred eighty (180) days after the effective date of, a Company-initiated registration (or ending on the subsequent date on which all market stand-off agreements applicable to the offering have terminated);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actively employing in good faith commercially reasonable efforts to cause such registration statement to become effective; or</w:t>
      </w:r>
    </w:p>
    <w:p>
      <w:pPr>
        <w:spacing w:after="0" w:line="186" w:lineRule="exact"/>
        <w:rPr>
          <w:rFonts w:ascii="Arial" w:cs="Arial" w:eastAsia="Arial" w:hAnsi="Arial"/>
          <w:sz w:val="18"/>
          <w:szCs w:val="18"/>
          <w:color w:val="auto"/>
        </w:rPr>
      </w:pPr>
    </w:p>
    <w:p>
      <w:pPr>
        <w:ind w:left="-20" w:right="100" w:firstLine="1428"/>
        <w:spacing w:after="0" w:line="277" w:lineRule="auto"/>
        <w:tabs>
          <w:tab w:leader="none" w:pos="185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the Initiating Holders propose to dispose of shares of Registrable Securities that may be registered on Form S-3 pursuant to a request made under Section 2.3.</w:t>
      </w:r>
    </w:p>
    <w:p>
      <w:pPr>
        <w:spacing w:after="0" w:line="170" w:lineRule="exact"/>
        <w:rPr>
          <w:rFonts w:ascii="Arial" w:cs="Arial" w:eastAsia="Arial" w:hAnsi="Arial"/>
          <w:sz w:val="18"/>
          <w:szCs w:val="18"/>
          <w:color w:val="auto"/>
        </w:rPr>
      </w:pPr>
    </w:p>
    <w:p>
      <w:pPr>
        <w:ind w:left="-20" w:right="260" w:firstLine="987"/>
        <w:spacing w:after="0" w:line="259" w:lineRule="auto"/>
        <w:tabs>
          <w:tab w:leader="none" w:pos="1396" w:val="left"/>
        </w:tabs>
        <w:numPr>
          <w:ilvl w:val="0"/>
          <w:numId w:val="2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Deferral. </w:t>
      </w:r>
      <w:r>
        <w:rPr>
          <w:rFonts w:ascii="Arial" w:cs="Arial" w:eastAsia="Arial" w:hAnsi="Arial"/>
          <w:sz w:val="18"/>
          <w:szCs w:val="18"/>
          <w:color w:val="auto"/>
        </w:rPr>
        <w:t>If (i) in the good faith judgment of the Board of Directors, the filing of a registration statement covering the Registrable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would be materially detrimental to the Company and the Board of Directors concludes, as a result, that it is in the best interests of the Company to defer the filing of such registration statement at such time, and (ii) the Company shall furnish to such Holders a certificate signed by the President of the Company stating that in the good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318" w:name="page319"/>
    <w:bookmarkEnd w:id="31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faith judgment of the Board of Directors, it would be materially detrimental to the Company for such registration statement to be filed in the near future and that it is, therefore, in the best interests of the Company to defer the filing of such registration statement, then (in addition to the limitations set forth in Section 2.1(b)(v) above) the Company shall have the right to defer such filing for a period of not more than ninety (90) days after receipt of the request of the Initiating Holders,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Company shall not defer its obligation in this manner more than two (2) times in any twelve-month period.</w:t>
      </w:r>
    </w:p>
    <w:p>
      <w:pPr>
        <w:spacing w:after="0" w:line="188" w:lineRule="exact"/>
        <w:rPr>
          <w:sz w:val="20"/>
          <w:szCs w:val="20"/>
          <w:color w:val="auto"/>
        </w:rPr>
      </w:pPr>
    </w:p>
    <w:p>
      <w:pPr>
        <w:ind w:right="40" w:firstLine="987"/>
        <w:spacing w:after="0" w:line="269" w:lineRule="auto"/>
        <w:tabs>
          <w:tab w:leader="none" w:pos="1381" w:val="left"/>
        </w:tabs>
        <w:numPr>
          <w:ilvl w:val="0"/>
          <w:numId w:val="2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Underwriting. </w:t>
      </w:r>
      <w:r>
        <w:rPr>
          <w:rFonts w:ascii="Arial" w:cs="Arial" w:eastAsia="Arial" w:hAnsi="Arial"/>
          <w:sz w:val="17"/>
          <w:szCs w:val="17"/>
          <w:color w:val="auto"/>
        </w:rPr>
        <w:t>If the Initiating Holders intend to distribute the Registrable Securities covered by their request by means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they shall so advise the Company as a part of their request made pursuant to this Section 2.1 and the Company shall include such information in the written notice given pursuant to Section 2.1(a)(i). In such event, the right of any Holder to include all or any portion of its Registrable Securities in such registration pursuant to this Section 2.1 shall be conditioned upon such Holder’s participation in such underwriting and the inclusion of such Holder’s Registrable Securities to the extent provided herein. If the Company shall request inclusion in any registration pursuant to Section 2.1 of securities being sold for its own account, or if other persons shall request inclusion in any registration pursuant to Section 2.1, the Initiating Holders shall, on behalf of all Holders, offer to include such securities in the underwriting and such offer shall be conditioned upon the participation of the Company or such other persons in such underwriting and the inclusion of the Company’s and such person’s other securities of the Company and their acceptance of the further applicable provisions of this Section 2 (including Section 2.10). The Company shall (together with all Holders and other persons proposing to distribute their securities through such underwriting) enter into an underwriting agreement in customary form with the representative of the underwriter or underwriters selected for such underwriting by the Company, which underwriters are reasonably acceptable to a majority-in-interest of the Initiating Holders.</w:t>
      </w:r>
    </w:p>
    <w:p>
      <w:pPr>
        <w:spacing w:after="0" w:line="179"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Notwithstanding any other provision of this Section 2.1, if the underwriters advise the Initiating Holders in writing that marketing factors require a limitation on the number of shares to be underwritten, the number of Registrable Securities and Other Shares that may be so included shall be allocated as follows: (i) first, among all Holders requesting to include Registrable Securities in such registration statement based on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percentage of Registrable Securities held by such Holders, assuming conversion; (ii) second, to the Other Selling Stockholders; and (iii) third, to the Company, which the Company may allocate, at its discretion, for its own account, or for the account of other holders or employees of the Company.</w:t>
      </w:r>
    </w:p>
    <w:p>
      <w:pPr>
        <w:spacing w:after="0" w:line="16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If a person who has requested inclusion in such registration as provided above does not agree to the terms of any such underwriting, such person shall be excluded therefrom by written notice from the Company, the underwriter or the Initiating Holders. The securities so excluded shall also be withdrawn from registration. Any Registrable Securities or other securities excluded or withdrawn from such underwriting shall also be withdrawn from such registration. If shares are so withdrawn from the registration and if the number of shares to be included in such registration was previously reduced as a result of marketing factors pursuant to this Section 2.1(d), then the Company shall then offer to all Holders and Other Selling Stockholders who have retained rights to include securities in the registration the right to include additional Registrable Securities or Other Shares in the registration in an aggregate amount equal to the number of shares so withdrawn, with such shares to be allocated among such Holders and Other Selling Stockholders requesting additional inclusion, as set forth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19" w:name="page320"/>
    <w:bookmarkEnd w:id="319"/>
    <w:p>
      <w:pPr>
        <w:ind w:left="444"/>
        <w:spacing w:after="0"/>
        <w:tabs>
          <w:tab w:leader="none" w:pos="10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Company Registration</w:t>
      </w:r>
      <w:r>
        <w:rPr>
          <w:rFonts w:ascii="Arial" w:cs="Arial" w:eastAsia="Arial" w:hAnsi="Arial"/>
          <w:sz w:val="16"/>
          <w:szCs w:val="16"/>
          <w:color w:val="auto"/>
        </w:rPr>
        <w:t>.</w:t>
      </w:r>
    </w:p>
    <w:p>
      <w:pPr>
        <w:spacing w:after="0" w:line="229" w:lineRule="exact"/>
        <w:rPr>
          <w:sz w:val="20"/>
          <w:szCs w:val="20"/>
          <w:color w:val="auto"/>
        </w:rPr>
      </w:pPr>
    </w:p>
    <w:p>
      <w:pPr>
        <w:ind w:left="4" w:right="60" w:firstLine="987"/>
        <w:spacing w:after="0" w:line="259" w:lineRule="auto"/>
        <w:tabs>
          <w:tab w:leader="none" w:pos="1420" w:val="left"/>
        </w:tabs>
        <w:numPr>
          <w:ilvl w:val="0"/>
          <w:numId w:val="2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Registration. </w:t>
      </w:r>
      <w:r>
        <w:rPr>
          <w:rFonts w:ascii="Arial" w:cs="Arial" w:eastAsia="Arial" w:hAnsi="Arial"/>
          <w:sz w:val="18"/>
          <w:szCs w:val="18"/>
          <w:color w:val="auto"/>
        </w:rPr>
        <w:t>If the Company shall determine to register any of its securities either for its own account or the account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holder or holders, other than a registration pursuant to Section 2.1 or 2.3, a registration relating solely to employee benefit plans, a registration relating to the offer and sale of debt securities, a registration relating to a corporate reorganization or other Rule 145 transaction, or a registration on any registration form that does not permit secondary sales, the Company will:</w:t>
      </w:r>
    </w:p>
    <w:p>
      <w:pPr>
        <w:spacing w:after="0" w:line="186" w:lineRule="exact"/>
        <w:rPr>
          <w:rFonts w:ascii="Arial" w:cs="Arial" w:eastAsia="Arial" w:hAnsi="Arial"/>
          <w:sz w:val="18"/>
          <w:szCs w:val="18"/>
          <w:color w:val="auto"/>
        </w:rPr>
      </w:pPr>
    </w:p>
    <w:p>
      <w:pPr>
        <w:ind w:left="1784" w:hanging="352"/>
        <w:spacing w:after="0"/>
        <w:tabs>
          <w:tab w:leader="none" w:pos="178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to all Holders; and</w:t>
      </w:r>
    </w:p>
    <w:p>
      <w:pPr>
        <w:spacing w:after="0" w:line="225" w:lineRule="exact"/>
        <w:rPr>
          <w:rFonts w:ascii="Arial" w:cs="Arial" w:eastAsia="Arial" w:hAnsi="Arial"/>
          <w:sz w:val="18"/>
          <w:szCs w:val="18"/>
          <w:color w:val="auto"/>
        </w:rPr>
      </w:pPr>
    </w:p>
    <w:p>
      <w:pPr>
        <w:ind w:left="4" w:right="220" w:firstLine="1428"/>
        <w:spacing w:after="0" w:line="279" w:lineRule="auto"/>
        <w:tabs>
          <w:tab w:leader="none" w:pos="1836" w:val="left"/>
        </w:tabs>
        <w:numPr>
          <w:ilvl w:val="1"/>
          <w:numId w:val="228"/>
        </w:numPr>
        <w:rPr>
          <w:rFonts w:ascii="Arial" w:cs="Arial" w:eastAsia="Arial" w:hAnsi="Arial"/>
          <w:sz w:val="17"/>
          <w:szCs w:val="17"/>
          <w:color w:val="auto"/>
        </w:rPr>
      </w:pPr>
      <w:r>
        <w:rPr>
          <w:rFonts w:ascii="Arial" w:cs="Arial" w:eastAsia="Arial" w:hAnsi="Arial"/>
          <w:sz w:val="17"/>
          <w:szCs w:val="17"/>
          <w:color w:val="auto"/>
        </w:rPr>
        <w:t>use its commercially reasonable efforts to include in such registration (and any related qualification under blue sky laws or other compliance), except as set forth in Section 2.2(b) below, and in any underwriting involved therein, all of such Registrable Securities as are specified in a written request or requests made by any Holder or Holders received by the Company within ten (10) days after such written notice from the Company is mailed or delivered. Such written request may specify all or a part of a Holder’s Registrable Securities.</w:t>
      </w:r>
    </w:p>
    <w:p>
      <w:pPr>
        <w:spacing w:after="0" w:line="171" w:lineRule="exact"/>
        <w:rPr>
          <w:rFonts w:ascii="Arial" w:cs="Arial" w:eastAsia="Arial" w:hAnsi="Arial"/>
          <w:sz w:val="17"/>
          <w:szCs w:val="17"/>
          <w:color w:val="auto"/>
        </w:rPr>
      </w:pPr>
    </w:p>
    <w:p>
      <w:pPr>
        <w:ind w:left="4" w:firstLine="987"/>
        <w:spacing w:after="0" w:line="254" w:lineRule="auto"/>
        <w:tabs>
          <w:tab w:leader="none" w:pos="1430" w:val="left"/>
        </w:tabs>
        <w:numPr>
          <w:ilvl w:val="0"/>
          <w:numId w:val="2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Underwriting. </w:t>
      </w:r>
      <w:r>
        <w:rPr>
          <w:rFonts w:ascii="Arial" w:cs="Arial" w:eastAsia="Arial" w:hAnsi="Arial"/>
          <w:sz w:val="18"/>
          <w:szCs w:val="18"/>
          <w:color w:val="auto"/>
        </w:rPr>
        <w:t>If the registration of which the Company gives notice is for a registered public offering involving an underwriting,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shall so advise the Holders as a part of the written notice given pursuant to Section 2.2(a)(i). In such event, the right of any Holder to registration pursuant to this Section 2.2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and the other holders of securities of the Company with registration rights to participate therein distributing their securities through such underwriting) enter into an underwriting agreement in customary form with the representative of the underwriter or underwriters selected by the Company.</w:t>
      </w:r>
    </w:p>
    <w:p>
      <w:pPr>
        <w:spacing w:after="0" w:line="195"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 xml:space="preserve">Notwithstanding any other provision of this Section 2.2, if the underwriters advise the Company in writing that marketing factors require a limitation on the number of shares to be underwritten, the underwriters may (subject to the limitations set forth below) exclude all Registrable Securities from, or limit the number of Registrable Securities to be included in, the registration and underwriting. The Company shall so advise all holders of securities requesting registration, and the number of shares of securities that are entitled to be included in the registration and underwriting shall be allocated, as follows: (i) first, to the Company for securities being sold for its own account, (ii) second, to the Holders requesting to include Registrable Securities in such registration statement based on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percentage of Registrable Securities held by such Holders, assuming conversion and</w:t>
      </w:r>
    </w:p>
    <w:p>
      <w:pPr>
        <w:spacing w:after="0" w:line="4" w:lineRule="exact"/>
        <w:rPr>
          <w:sz w:val="20"/>
          <w:szCs w:val="20"/>
          <w:color w:val="auto"/>
        </w:rPr>
      </w:pPr>
    </w:p>
    <w:p>
      <w:pPr>
        <w:ind w:left="4" w:right="120" w:hanging="4"/>
        <w:spacing w:after="0" w:line="277" w:lineRule="auto"/>
        <w:tabs>
          <w:tab w:leader="none" w:pos="319"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third, to the Other Selling Stockholders requesting to include Other Shares in such registration statement based on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percentage of Other Shares held by such Other Selling Stockholders, assuming conversion. Notwithstanding the foregoing, no such reduction shall reduce the value of the Registrable Securities of the Holders included in such registration below twenty five percent (25%) of</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320" w:name="page321"/>
    <w:bookmarkEnd w:id="320"/>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total value of securities included in such registration, unless (A) such offering is the Company’s Initial Public Offering, and (B) and such registration does not include shares of any Other Selling Stockholders (excluding shares registered for the account of the Company), in which event any or all of the Registrable Securities of the Holders may be excluded.</w:t>
      </w:r>
    </w:p>
    <w:p>
      <w:pPr>
        <w:spacing w:after="0" w:line="18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If a person who has requested inclusion in such registration as provided above does not agree to the terms of any such underwriting, such person shall also be excluded therefrom by written notice from the Company or the underwriter. The Registrable Securities or other securities so excluded shall also be withdrawn from such registration. Any Registrable Securities or other securities excluded or withdrawn from such underwriting shall be withdrawn from such registration. If shares are so withdrawn from the registration and if the number of shares of Registrable Securities to be included in such registration was previously reduced as a result of marketing factors pursuant to Section 2.2(b), the Company shall then offer to all persons who have retained the right to include securities in the registration the right to include additional securities in the registration in an aggregate amount equal to the number of shares so withdrawn, with such shares to be allocated among the persons requesting additional inclusion, in the manner set forth above.</w:t>
      </w:r>
    </w:p>
    <w:p>
      <w:pPr>
        <w:spacing w:after="0" w:line="166" w:lineRule="exact"/>
        <w:rPr>
          <w:sz w:val="20"/>
          <w:szCs w:val="20"/>
          <w:color w:val="auto"/>
        </w:rPr>
      </w:pPr>
    </w:p>
    <w:p>
      <w:pPr>
        <w:ind w:right="200" w:firstLine="987"/>
        <w:spacing w:after="0" w:line="286" w:lineRule="auto"/>
        <w:tabs>
          <w:tab w:leader="none" w:pos="1461" w:val="left"/>
        </w:tabs>
        <w:numPr>
          <w:ilvl w:val="0"/>
          <w:numId w:val="2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 to Terminate Registration. </w:t>
      </w:r>
      <w:r>
        <w:rPr>
          <w:rFonts w:ascii="Arial" w:cs="Arial" w:eastAsia="Arial" w:hAnsi="Arial"/>
          <w:sz w:val="17"/>
          <w:szCs w:val="17"/>
          <w:color w:val="auto"/>
        </w:rPr>
        <w:t>The Company shall have the right to terminate or withdraw any registration initiated by it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Section 2.2 prior to the effectiveness of such registration whether or not any Holder has elected to include securities in such registration. The Registration Expenses of any such terminated or withdrawn registration shall be borne by the Company.</w:t>
      </w:r>
    </w:p>
    <w:p>
      <w:pPr>
        <w:spacing w:after="0" w:line="161"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Registration on Form S-3</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72" w:lineRule="auto"/>
        <w:tabs>
          <w:tab w:leader="none" w:pos="1461" w:val="left"/>
        </w:tabs>
        <w:numPr>
          <w:ilvl w:val="0"/>
          <w:numId w:val="2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Request for Form S-3 Registration. </w:t>
      </w:r>
      <w:r>
        <w:rPr>
          <w:rFonts w:ascii="Arial" w:cs="Arial" w:eastAsia="Arial" w:hAnsi="Arial"/>
          <w:sz w:val="17"/>
          <w:szCs w:val="17"/>
          <w:color w:val="auto"/>
        </w:rPr>
        <w:t>After its Initial Public Offering, the Company shall use its commercially reasonable efforts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qualify for registration on Form S-3 or any comparable or successor form or forms. After the Company has qualified for the use of Form S-3, in addition to the rights contained in the foregoing provisions of this Section 2 and subject to the conditions set forth in this Section 2.3, if the Company shall receive from a Holder or Holders of Registrable Securities a written request that the Company effect any registration on Form S-3 or any similar short form registration statement with respect to all or part of the Registrable Securities (such request shall state the number of shares of Registrable Securities to be disposed of and the intended methods of disposition of such shares by such Holder or Holders), the Company will take all such action with respect to such Registrable Securities as required by Section 2.1(a)(i) and 2.1(a)(ii).</w:t>
      </w:r>
    </w:p>
    <w:p>
      <w:pPr>
        <w:spacing w:after="0" w:line="177" w:lineRule="exact"/>
        <w:rPr>
          <w:rFonts w:ascii="Arial" w:cs="Arial" w:eastAsia="Arial" w:hAnsi="Arial"/>
          <w:sz w:val="17"/>
          <w:szCs w:val="17"/>
          <w:color w:val="auto"/>
        </w:rPr>
      </w:pPr>
    </w:p>
    <w:p>
      <w:pPr>
        <w:ind w:right="660" w:firstLine="987"/>
        <w:spacing w:after="0" w:line="277" w:lineRule="auto"/>
        <w:tabs>
          <w:tab w:leader="none" w:pos="1471" w:val="left"/>
        </w:tabs>
        <w:numPr>
          <w:ilvl w:val="0"/>
          <w:numId w:val="2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Limitations on Form S-3 Registration. </w:t>
      </w:r>
      <w:r>
        <w:rPr>
          <w:rFonts w:ascii="Arial" w:cs="Arial" w:eastAsia="Arial" w:hAnsi="Arial"/>
          <w:sz w:val="18"/>
          <w:szCs w:val="18"/>
          <w:color w:val="auto"/>
        </w:rPr>
        <w:t>The Company shall not be obligated to effect, or take any action to effect,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pursuant to this Section 2.3:</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In the circumstances described in either Sections 2.1(b)(i), 2.1(b)(iii) or 2.1(b)(v);</w:t>
      </w:r>
    </w:p>
    <w:p>
      <w:pPr>
        <w:spacing w:after="0" w:line="225" w:lineRule="exact"/>
        <w:rPr>
          <w:rFonts w:ascii="Arial" w:cs="Arial" w:eastAsia="Arial" w:hAnsi="Arial"/>
          <w:sz w:val="18"/>
          <w:szCs w:val="18"/>
          <w:color w:val="auto"/>
        </w:rPr>
      </w:pPr>
    </w:p>
    <w:p>
      <w:pPr>
        <w:ind w:right="340" w:firstLine="1428"/>
        <w:spacing w:after="0" w:line="263" w:lineRule="auto"/>
        <w:tabs>
          <w:tab w:leader="none" w:pos="183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If the Holders, together with the holders of any other securities of the Company entitled to inclusion in such registration, propose to sell Registrable Securities and such other securities (if any) on Form S-3 for aggregate gross proceeds (before deduction of underwriter’s commissions and expenses) of less than $1,000,000;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1" w:name="page322"/>
    <w:bookmarkEnd w:id="321"/>
    <w:p>
      <w:pPr>
        <w:ind w:left="1880" w:hanging="452"/>
        <w:spacing w:after="0"/>
        <w:tabs>
          <w:tab w:leader="none" w:pos="18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 a given twelve-month period, the Company has effected two (2) such registrations in such period.</w:t>
      </w:r>
    </w:p>
    <w:p>
      <w:pPr>
        <w:spacing w:after="0" w:line="225" w:lineRule="exact"/>
        <w:rPr>
          <w:rFonts w:ascii="Arial" w:cs="Arial" w:eastAsia="Arial" w:hAnsi="Arial"/>
          <w:sz w:val="18"/>
          <w:szCs w:val="18"/>
          <w:color w:val="auto"/>
        </w:rPr>
      </w:pPr>
    </w:p>
    <w:p>
      <w:pPr>
        <w:ind w:left="1460" w:hanging="473"/>
        <w:spacing w:after="0"/>
        <w:tabs>
          <w:tab w:leader="none" w:pos="1460" w:val="left"/>
        </w:tabs>
        <w:numPr>
          <w:ilvl w:val="0"/>
          <w:numId w:val="2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Deferral. </w:t>
      </w:r>
      <w:r>
        <w:rPr>
          <w:rFonts w:ascii="Arial" w:cs="Arial" w:eastAsia="Arial" w:hAnsi="Arial"/>
          <w:sz w:val="18"/>
          <w:szCs w:val="18"/>
          <w:color w:val="auto"/>
        </w:rPr>
        <w:t>The provisions of Section 2.1(c) shall apply to any registration pursuant to this Section 2.3.</w:t>
      </w:r>
    </w:p>
    <w:p>
      <w:pPr>
        <w:spacing w:after="0" w:line="225" w:lineRule="exact"/>
        <w:rPr>
          <w:rFonts w:ascii="Arial" w:cs="Arial" w:eastAsia="Arial" w:hAnsi="Arial"/>
          <w:sz w:val="18"/>
          <w:szCs w:val="18"/>
          <w:color w:val="auto"/>
        </w:rPr>
      </w:pPr>
    </w:p>
    <w:p>
      <w:pPr>
        <w:ind w:right="620" w:firstLine="987"/>
        <w:spacing w:after="0" w:line="259" w:lineRule="auto"/>
        <w:tabs>
          <w:tab w:leader="none" w:pos="1471" w:val="left"/>
        </w:tabs>
        <w:numPr>
          <w:ilvl w:val="0"/>
          <w:numId w:val="2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Underwriting. </w:t>
      </w:r>
      <w:r>
        <w:rPr>
          <w:rFonts w:ascii="Arial" w:cs="Arial" w:eastAsia="Arial" w:hAnsi="Arial"/>
          <w:sz w:val="18"/>
          <w:szCs w:val="18"/>
          <w:color w:val="auto"/>
        </w:rPr>
        <w:t>If the Holders of Registrable Securities requesting registration under this Section 2.3 intend to distribute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Registrable Securities covered by their request by means of an underwriting, the provisions of Section 2.1(d) shall apply to such registration. Notwithstanding anything contained herein to the contrary, registrations effected pursuant to this Section 2.3 shall not be counted as requests for registration or registrations effected pursuant to Section 2.1.</w:t>
      </w:r>
    </w:p>
    <w:p>
      <w:pPr>
        <w:spacing w:after="0" w:line="183"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b w:val="1"/>
          <w:bCs w:val="1"/>
          <w:color w:val="auto"/>
        </w:rPr>
        <w:t>2.4 Expenses of Registration</w:t>
      </w:r>
      <w:r>
        <w:rPr>
          <w:rFonts w:ascii="Arial" w:cs="Arial" w:eastAsia="Arial" w:hAnsi="Arial"/>
          <w:sz w:val="17"/>
          <w:szCs w:val="17"/>
          <w:color w:val="auto"/>
        </w:rPr>
        <w:t>. All Registration Expenses incurred in connection with registrations pursuant to Sections 2.1, 2.2 and 2.3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borne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shall not be required to pay for any expenses of any registration proceeding begun pursuant to Sections 2.1 and 2.3 if the registration request is subsequently withdrawn at the request of the Holders of a majority of the Registrable Securities to be registered or because a sufficient number of Holders shall have withdrawn so that the minimum offering conditions set forth in Sections 2.1 and 2.3 are no longer satisfied (in which case all participating Holders shall bear such expenses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each other based on the number of Registrable Securities requested to be so registered), unless the Holders of a majority of the Registrable Securities agree to forfeit their right to a demand registration pursuant to Section 2.1;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in the event that a withdrawal by the Holders is based upon material adverse information relating to the Company that is different from the information known or available (upon request from the Company or otherwise) to the Holders requesting registration at the time of their request for registration under Section 2.1, such registration shall not be treated as a counted registration for purposes of Section 2.1, even though the Holders do not bear the Registration Expenses for such registration. All Selling Expenses relating to securities registered on behalf of the Holders shall be borne by the holders of securities included in such registration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each other on the basis of the number of Registrable Securities so registered.</w:t>
      </w:r>
    </w:p>
    <w:p>
      <w:pPr>
        <w:spacing w:after="0" w:line="179"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2.5 Registration Procedures</w:t>
      </w:r>
      <w:r>
        <w:rPr>
          <w:rFonts w:ascii="Arial" w:cs="Arial" w:eastAsia="Arial" w:hAnsi="Arial"/>
          <w:sz w:val="18"/>
          <w:szCs w:val="18"/>
          <w:color w:val="auto"/>
        </w:rPr>
        <w:t>. In the case of each registration effected by the Company pursuant to Section 2, the Company will keep each</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advised in writing as to the initiation of each registration and as to the completion thereof. At its expense, the Company will use its commercially reasonable efforts to:</w:t>
      </w:r>
    </w:p>
    <w:p>
      <w:pPr>
        <w:spacing w:after="0" w:line="180" w:lineRule="exact"/>
        <w:rPr>
          <w:sz w:val="20"/>
          <w:szCs w:val="20"/>
          <w:color w:val="auto"/>
        </w:rPr>
      </w:pPr>
    </w:p>
    <w:p>
      <w:pPr>
        <w:ind w:right="40" w:firstLine="987"/>
        <w:spacing w:after="0" w:line="342" w:lineRule="auto"/>
        <w:tabs>
          <w:tab w:leader="none" w:pos="137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Keep such registration effective for a period of ending on the earlier of the date which is sixty (60) days from the effective date of the registration statement or such time as the Holder or Holders have completed the distribution described in the registration statement relating thereto;</w:t>
      </w:r>
    </w:p>
    <w:p>
      <w:pPr>
        <w:spacing w:after="0" w:line="123" w:lineRule="exact"/>
        <w:rPr>
          <w:rFonts w:ascii="Arial" w:cs="Arial" w:eastAsia="Arial" w:hAnsi="Arial"/>
          <w:sz w:val="16"/>
          <w:szCs w:val="16"/>
          <w:color w:val="auto"/>
        </w:rPr>
      </w:pPr>
    </w:p>
    <w:p>
      <w:pPr>
        <w:ind w:right="40" w:firstLine="987"/>
        <w:spacing w:after="0" w:line="263" w:lineRule="auto"/>
        <w:tabs>
          <w:tab w:leader="none" w:pos="138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22" w:name="page323"/>
    <w:bookmarkEnd w:id="322"/>
    <w:p>
      <w:pPr>
        <w:ind w:left="-40" w:right="160" w:firstLine="987"/>
        <w:spacing w:after="0" w:line="277" w:lineRule="auto"/>
        <w:tabs>
          <w:tab w:leader="none" w:pos="1331"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 such number of prospectuses, including any preliminary prospectuses, and other documents incident thereto, including any amendment of or supplement to the prospectus, as a Holder from time to time may reasonably request;</w:t>
      </w:r>
    </w:p>
    <w:p>
      <w:pPr>
        <w:spacing w:after="0" w:line="170" w:lineRule="exact"/>
        <w:rPr>
          <w:rFonts w:ascii="Arial" w:cs="Arial" w:eastAsia="Arial" w:hAnsi="Arial"/>
          <w:sz w:val="18"/>
          <w:szCs w:val="18"/>
          <w:color w:val="auto"/>
        </w:rPr>
      </w:pPr>
    </w:p>
    <w:p>
      <w:pPr>
        <w:ind w:left="-40" w:right="20" w:firstLine="987"/>
        <w:spacing w:after="0" w:line="311" w:lineRule="auto"/>
        <w:tabs>
          <w:tab w:leader="none" w:pos="134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Use its reasonable best efforts to register and qualify the securities covered by such registration statement under such other securities or Blue Sky laws of such jurisdiction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required in connection therewith or as a condition thereto to qualify to do business or to file a general consent to service of process in any such states or jurisdictions;</w:t>
      </w:r>
    </w:p>
    <w:p>
      <w:pPr>
        <w:spacing w:after="0" w:line="148" w:lineRule="exact"/>
        <w:rPr>
          <w:rFonts w:ascii="Arial" w:cs="Arial" w:eastAsia="Arial" w:hAnsi="Arial"/>
          <w:sz w:val="16"/>
          <w:szCs w:val="16"/>
          <w:color w:val="auto"/>
        </w:rPr>
      </w:pPr>
    </w:p>
    <w:p>
      <w:pPr>
        <w:ind w:left="-40" w:right="120" w:firstLine="987"/>
        <w:spacing w:after="0" w:line="291" w:lineRule="auto"/>
        <w:tabs>
          <w:tab w:leader="none" w:pos="133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light of the circumstances then existing, and following such notification promptly prepare and furnish to such seller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light of the circumstances then existing;</w:t>
      </w:r>
    </w:p>
    <w:p>
      <w:pPr>
        <w:spacing w:after="0" w:line="166" w:lineRule="exact"/>
        <w:rPr>
          <w:rFonts w:ascii="Arial" w:cs="Arial" w:eastAsia="Arial" w:hAnsi="Arial"/>
          <w:sz w:val="16"/>
          <w:szCs w:val="16"/>
          <w:color w:val="auto"/>
        </w:rPr>
      </w:pPr>
    </w:p>
    <w:p>
      <w:pPr>
        <w:ind w:left="-40" w:right="280" w:firstLine="987"/>
        <w:spacing w:after="0" w:line="277" w:lineRule="auto"/>
        <w:tabs>
          <w:tab w:leader="none" w:pos="13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such registration statement and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left="-40" w:right="600" w:firstLine="987"/>
        <w:spacing w:after="0" w:line="277" w:lineRule="auto"/>
        <w:tabs>
          <w:tab w:leader="none" w:pos="134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on which similar securities issued by the Company are then listed; and</w:t>
      </w:r>
    </w:p>
    <w:p>
      <w:pPr>
        <w:spacing w:after="0" w:line="170" w:lineRule="exact"/>
        <w:rPr>
          <w:rFonts w:ascii="Arial" w:cs="Arial" w:eastAsia="Arial" w:hAnsi="Arial"/>
          <w:sz w:val="18"/>
          <w:szCs w:val="18"/>
          <w:color w:val="auto"/>
        </w:rPr>
      </w:pPr>
    </w:p>
    <w:p>
      <w:pPr>
        <w:ind w:left="-40" w:right="300" w:firstLine="987"/>
        <w:spacing w:after="0" w:line="259" w:lineRule="auto"/>
        <w:tabs>
          <w:tab w:leader="none" w:pos="134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In connection with any underwritten offering pursuant to a registration statement filed pursuant to Section 2.1, enter into an underwriting agreement in form reasonably necessary to effect the offer and sale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underwriting agreement contains reasonable and customary provisions,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each Holder participating in such underwriting shall also enter into and perform its obligations under such an agreement.</w:t>
      </w:r>
    </w:p>
    <w:p>
      <w:pPr>
        <w:spacing w:after="0" w:line="183" w:lineRule="exact"/>
        <w:rPr>
          <w:sz w:val="20"/>
          <w:szCs w:val="20"/>
          <w:color w:val="auto"/>
        </w:rPr>
      </w:pPr>
    </w:p>
    <w:p>
      <w:pPr>
        <w:ind w:left="400"/>
        <w:spacing w:after="0"/>
        <w:tabs>
          <w:tab w:leader="none" w:pos="9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29" w:lineRule="exact"/>
        <w:rPr>
          <w:sz w:val="20"/>
          <w:szCs w:val="20"/>
          <w:color w:val="auto"/>
        </w:rPr>
      </w:pPr>
    </w:p>
    <w:p>
      <w:pPr>
        <w:ind w:left="-40" w:firstLine="987"/>
        <w:spacing w:after="0" w:line="293" w:lineRule="auto"/>
        <w:tabs>
          <w:tab w:leader="none" w:pos="132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each of its officers, directors, members and partners, legal counsel, investment advisers and accountants and each person controlling such Holder within the meaning of Section 15 of the Securities Act, with respect to which registration, qualification or compliance has been effected pursuant to this Section 2, and each underwriter, if any, and each person who controls within the meaning of Section 15 of the Securities Act any underwriter, against all expenses, claims, losses, damages and liabilities (or actions, proceedings or settlements in respect thereof) arising out of or based on: (i) any untrue statement (or alleged untrue statement) of a material fact contained or incorporated by reference in any prospectus, offering circular, or other document (including 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4" w:right="499" w:bottom="1440" w:gutter="0" w:footer="0" w:header="0"/>
        </w:sectPr>
      </w:pPr>
    </w:p>
    <w:bookmarkStart w:id="323" w:name="page324"/>
    <w:bookmarkEnd w:id="32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related registration statement, notification or the like) incident to any such registration, qualification or compliance, (ii) any omission (or alleged omission) to state therein a material fact required to be stated therein or necessary to make the statements therein not misleading, or (iii) any violation (or alleged violation) by the Company of the Securities Act, any state securities laws or any rule or regulation thereunder applicable to the Company and relating to action or inaction required of the Company in connection with any offering covered by such registration, qualification or compliance, and the Company will reimburse each such Holder, each of its officers, directors, members, partners, legal counsel, investment advisers and accountants and each person controlling such Holder, each such underwriter and each person who controls any such underwriter, for any legal and any other expenses reasonably incurred in connection with investigating and defending or settling any such claim, loss, damage, liability or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will not be liable in any such case to the extent that any such claim, loss, damage, liability, or action arises out of or is based on any untrue statement or omission based upon written information furnished to the Company by such Holder, any of such Holder’s officers, directors, members, partners, legal counsel, investment advisers or accountants, any person controlling such Holder, such underwriter or any person who controls any such underwriter, and stated to be specifically for use therein;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indemnity agreement contained in this Section 2.6(a) shall not apply to amounts paid in settlement of any such loss, claim, damage, liability or action if such settlement is effected without the consent of the Company (which consent shall not be unreasonably withheld).</w:t>
      </w:r>
    </w:p>
    <w:p>
      <w:pPr>
        <w:spacing w:after="0" w:line="186" w:lineRule="exact"/>
        <w:rPr>
          <w:sz w:val="20"/>
          <w:szCs w:val="20"/>
          <w:color w:val="auto"/>
        </w:rPr>
      </w:pPr>
    </w:p>
    <w:p>
      <w:pPr>
        <w:ind w:right="20" w:firstLine="987"/>
        <w:spacing w:after="0" w:line="285" w:lineRule="auto"/>
        <w:tabs>
          <w:tab w:leader="none" w:pos="137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Holder, severally and not jointly, will, if Registrable Securities held by such Holder are included in the securities as to which such registration, qualification or compliance is being effected, indemnify and hold harmless the Company, each of its directors, officers, partners, legal counsel and accountants and each underwriter, if any, of the Company’s securities covered by such a registration statement, each person who controls the Company or such underwriter within the meaning of Section 15 of the Securities Act, each other such Holder, and each of their officers, directors, members and partners, and each person controlling each other such Holder, against all claims, losses, damages and liabilities (or actions in respect thereof) arising out of or based on: (i) any untrue statement (or alleged untrue statement) of a material fact contained or incorporated by reference in any prospectus, offering circular or other document (including any related registration statement, notification, or the like) incident to any such registration, qualification or compliance, or (ii) any omission (or alleged omission) to state therein a material fact required to be stated therein or necessary to make the statements therein not misleading, and will reimburse the Company and such Holders, officers, directors, members, partners, legal counsel and accountants, persons,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obligations of such Holder hereunder shall not apply to amounts paid in settlement of any such claims, losses, damages or liabilities (or actions in respect thereof) if such settlement is effected without the consent of such Holder (which consent shall not be unreasonably withheld);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any indemnity under this Section 2.6(b) (taken together with amounts paid pursuant to Section 2.6(d)) exceed the net proceeds from the offering received by such Holder, except in the case of fraud or willful misconduct by such Holder.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24" w:name="page325"/>
    <w:bookmarkEnd w:id="324"/>
    <w:p>
      <w:pPr>
        <w:ind w:firstLine="987"/>
        <w:spacing w:after="0" w:line="269" w:lineRule="auto"/>
        <w:tabs>
          <w:tab w:leader="none" w:pos="1371" w:val="left"/>
        </w:tabs>
        <w:numPr>
          <w:ilvl w:val="0"/>
          <w:numId w:val="2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entitled to indemnification under this Section 2.6 (the “</w:t>
      </w:r>
      <w:r>
        <w:rPr>
          <w:rFonts w:ascii="Arial" w:cs="Arial" w:eastAsia="Arial" w:hAnsi="Arial"/>
          <w:sz w:val="17"/>
          <w:szCs w:val="17"/>
          <w:b w:val="1"/>
          <w:bCs w:val="1"/>
          <w:i w:val="1"/>
          <w:iCs w:val="1"/>
          <w:color w:val="auto"/>
        </w:rPr>
        <w:t>Indemnified Party</w:t>
      </w:r>
      <w:r>
        <w:rPr>
          <w:rFonts w:ascii="Arial" w:cs="Arial" w:eastAsia="Arial" w:hAnsi="Arial"/>
          <w:sz w:val="17"/>
          <w:szCs w:val="17"/>
          <w:color w:val="auto"/>
        </w:rPr>
        <w:t>”) shall give notice to the party required to provide indemnification (the “</w:t>
      </w:r>
      <w:r>
        <w:rPr>
          <w:rFonts w:ascii="Arial" w:cs="Arial" w:eastAsia="Arial" w:hAnsi="Arial"/>
          <w:sz w:val="17"/>
          <w:szCs w:val="17"/>
          <w:b w:val="1"/>
          <w:bCs w:val="1"/>
          <w:i w:val="1"/>
          <w:iCs w:val="1"/>
          <w:color w:val="auto"/>
        </w:rPr>
        <w:t>Indemnifying Party</w:t>
      </w:r>
      <w:r>
        <w:rPr>
          <w:rFonts w:ascii="Arial" w:cs="Arial" w:eastAsia="Arial" w:hAnsi="Arial"/>
          <w:sz w:val="17"/>
          <w:szCs w:val="17"/>
          <w:color w:val="auto"/>
        </w:rPr>
        <w:t xml:space="preserve">”) promptly after such Indemnified Party has actual knowledge of any claim as to which indemnity may be sought, and shall permit the Indemnifying Party to assume the defense of such claim or any litigation resulting therefrom;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counsel for the Indemnifying Party, who shall conduct the defense of such claim or any litigation resulting therefrom, shall be approved by the Indemnified Party (whose approval shall not be unreasonably withheld), and the Indemnified Party may participate in such defense at such party’s expense;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the failure of any Indemnified Party to give notice as provided herein shall not relieve the Indemnifying Party of its obligations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2.6, to the extent such failure is not prejudicial.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from all liability in respect to such claim or litigation. Each Indemnified Party shall furnish such information regarding itself or the claim in question as an Indemnifying Party may reasonably request in writing and as shall be reasonably required in connection with defense of such claim and litigation resulting therefrom.</w:t>
      </w:r>
    </w:p>
    <w:p>
      <w:pPr>
        <w:spacing w:after="0" w:line="181" w:lineRule="exact"/>
        <w:rPr>
          <w:rFonts w:ascii="Arial" w:cs="Arial" w:eastAsia="Arial" w:hAnsi="Arial"/>
          <w:sz w:val="17"/>
          <w:szCs w:val="17"/>
          <w:color w:val="auto"/>
        </w:rPr>
      </w:pPr>
    </w:p>
    <w:p>
      <w:pPr>
        <w:ind w:right="20" w:firstLine="987"/>
        <w:spacing w:after="0" w:line="287" w:lineRule="auto"/>
        <w:tabs>
          <w:tab w:leader="none" w:pos="138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2.6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 Holder will be required under this Section 2.6(d) to contribute any amount (taken together with amounts paid pursuant to Section 2.6(b)) in excess of the net proceeds from the offering received by such person or entity, except in the case of fraud or willful misconduct by such Holder. No person or entity guilty of fraudulent misrepresentation (within the meaning of Section 11(f) of the Securities Act) will be entitled to contribution from any person or entity who was not guilty of such fraudulent misrepresentation.</w:t>
      </w:r>
    </w:p>
    <w:p>
      <w:pPr>
        <w:spacing w:after="0" w:line="167" w:lineRule="exact"/>
        <w:rPr>
          <w:rFonts w:ascii="Arial" w:cs="Arial" w:eastAsia="Arial" w:hAnsi="Arial"/>
          <w:sz w:val="16"/>
          <w:szCs w:val="16"/>
          <w:color w:val="auto"/>
        </w:rPr>
      </w:pPr>
    </w:p>
    <w:p>
      <w:pPr>
        <w:ind w:right="260" w:firstLine="987"/>
        <w:spacing w:after="0" w:line="263" w:lineRule="auto"/>
        <w:tabs>
          <w:tab w:leader="none" w:pos="137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0"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2.7 Information by Holder</w:t>
      </w:r>
      <w:r>
        <w:rPr>
          <w:rFonts w:ascii="Arial" w:cs="Arial" w:eastAsia="Arial" w:hAnsi="Arial"/>
          <w:sz w:val="18"/>
          <w:szCs w:val="18"/>
          <w:color w:val="auto"/>
        </w:rPr>
        <w:t>. Each Holder of Registrable Securities shall furnish to the Company such information regarding such 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distribution proposed by such Holder as the Company may reasonably request in writing and as shall be reasonably required in connection with any registration, qualification, or compliance referred to in this Section 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25" w:name="page326"/>
    <w:bookmarkEnd w:id="325"/>
    <w:p>
      <w:pPr>
        <w:ind w:left="440"/>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w:t>
      </w:r>
      <w:r>
        <w:rPr>
          <w:sz w:val="20"/>
          <w:szCs w:val="20"/>
          <w:color w:val="auto"/>
        </w:rPr>
        <w:tab/>
      </w:r>
      <w:r>
        <w:rPr>
          <w:rFonts w:ascii="Arial" w:cs="Arial" w:eastAsia="Arial" w:hAnsi="Arial"/>
          <w:sz w:val="16"/>
          <w:szCs w:val="16"/>
          <w:b w:val="1"/>
          <w:bCs w:val="1"/>
          <w:color w:val="auto"/>
        </w:rPr>
        <w:t>Restrictions on Transfer</w:t>
      </w:r>
      <w:r>
        <w:rPr>
          <w:rFonts w:ascii="Arial" w:cs="Arial" w:eastAsia="Arial" w:hAnsi="Arial"/>
          <w:sz w:val="16"/>
          <w:szCs w:val="16"/>
          <w:color w:val="auto"/>
        </w:rPr>
        <w:t>.</w:t>
      </w:r>
    </w:p>
    <w:p>
      <w:pPr>
        <w:spacing w:after="0" w:line="229" w:lineRule="exact"/>
        <w:rPr>
          <w:sz w:val="20"/>
          <w:szCs w:val="20"/>
          <w:color w:val="auto"/>
        </w:rPr>
      </w:pPr>
    </w:p>
    <w:p>
      <w:pPr>
        <w:ind w:right="100" w:firstLine="987"/>
        <w:spacing w:after="0" w:line="254" w:lineRule="auto"/>
        <w:tabs>
          <w:tab w:leader="none" w:pos="141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holder of each certificate representing Registrable Securities by acceptance thereof agrees to comply in all respects with the provisions of this Section 2.8. Each Holder agrees not to make any sale, assignment, transfer, pledge or other disposition of all or any portion of the Restricted Securities, or any beneficial interest therein, unless and until the transferee thereof has agreed in writing for the benefit of the Company to take and hold such Restricted Securities subject to, and to be bound by, the terms and conditions set forth in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transferee need not be subject to, and bound by, the terms and conditions set forth in this Agreement following the Company’s first underwritten public offering of Common Stock under the Securities Act, so long as such transfer is compliant with Rule 144) including, without limitation, this Section 2.8 and Section 2.10, and:</w:t>
      </w:r>
    </w:p>
    <w:p>
      <w:pPr>
        <w:spacing w:after="0" w:line="194" w:lineRule="exact"/>
        <w:rPr>
          <w:rFonts w:ascii="Arial" w:cs="Arial" w:eastAsia="Arial" w:hAnsi="Arial"/>
          <w:sz w:val="18"/>
          <w:szCs w:val="18"/>
          <w:color w:val="auto"/>
        </w:rPr>
      </w:pPr>
    </w:p>
    <w:p>
      <w:pPr>
        <w:ind w:right="80" w:firstLine="1428"/>
        <w:spacing w:after="0" w:line="277" w:lineRule="auto"/>
        <w:tabs>
          <w:tab w:leader="none" w:pos="178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170" w:lineRule="exact"/>
        <w:rPr>
          <w:rFonts w:ascii="Arial" w:cs="Arial" w:eastAsia="Arial" w:hAnsi="Arial"/>
          <w:sz w:val="18"/>
          <w:szCs w:val="18"/>
          <w:color w:val="auto"/>
        </w:rPr>
      </w:pPr>
    </w:p>
    <w:p>
      <w:pPr>
        <w:ind w:firstLine="1428"/>
        <w:spacing w:after="0" w:line="272" w:lineRule="auto"/>
        <w:tabs>
          <w:tab w:leader="none" w:pos="1787" w:val="left"/>
        </w:tabs>
        <w:numPr>
          <w:ilvl w:val="1"/>
          <w:numId w:val="239"/>
        </w:numPr>
        <w:rPr>
          <w:rFonts w:ascii="Arial" w:cs="Arial" w:eastAsia="Arial" w:hAnsi="Arial"/>
          <w:sz w:val="17"/>
          <w:szCs w:val="17"/>
          <w:color w:val="auto"/>
        </w:rPr>
      </w:pPr>
      <w:r>
        <w:rPr>
          <w:rFonts w:ascii="Arial" w:cs="Arial" w:eastAsia="Arial" w:hAnsi="Arial"/>
          <w:sz w:val="17"/>
          <w:szCs w:val="17"/>
          <w:color w:val="auto"/>
        </w:rPr>
        <w:t>such Holder shall have given prior written notice to the Company of the Holder’s intention to make such disposition and shall have furnished the Company with a detailed description of the manner and circumstances of the proposed disposition, and, if requested by the Company, such Holder shall have furnished the Company, at the Holder’s expense, with (A) an opinion of counsel, reasonably satisfactory to the Company, to the effect that such disposition will not require registration of such Restricted Securities under the Securities Act, (B) a “no action” letter from the Commission to the effect that the transfer of such securities without registration will not result in a recommendation by the staff of the Commission that action be taken with respect thereto or (C) any other evidence reasonably satisfactory to counsel to the Company to the effect that the proposed sale, pledge, or transfer of such Restricted Securities may be effected without registration under the Securities Act;</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whereupon the holder of such Restricted Securities shall be entitled to transfer such Restricted Securities in accordance with the terms of the notice delivered by the Holder to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notice, opinion of counsel or “no action” letter shall be required if the intended sale, pledge or transfer complies with Rule 144.</w:t>
      </w:r>
    </w:p>
    <w:p>
      <w:pPr>
        <w:spacing w:after="0" w:line="184" w:lineRule="exact"/>
        <w:rPr>
          <w:sz w:val="20"/>
          <w:szCs w:val="20"/>
          <w:color w:val="auto"/>
        </w:rPr>
      </w:pPr>
    </w:p>
    <w:p>
      <w:pPr>
        <w:ind w:right="40" w:firstLine="987"/>
        <w:spacing w:after="0" w:line="271" w:lineRule="auto"/>
        <w:tabs>
          <w:tab w:leader="none" w:pos="142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Notwithstanding the provisions of Section 2.8(a), no such registration statement, opinion of counsel or “no action” letter shall be necessary for (i) a transfer not involving a change in beneficial ownership, or (ii) transactions involving the distribution without consideration of Restricted Securities by any Holder to (x) a parent, subsidiary or other affiliate of the Holder, if the Holder is a corporation, (y) any of the Holder’s partners, members or other equity owners, or retired partners, retired members or other equity owners, or to the estate of any of the Holder’s partners, members or other equity owners or retired partners, retired members or other equity owners, or (z) a venture capital fund that is controlled by or under common control with one or more general partners or managing members of, or shares the same management company with, the Holder; provided, in each case, that the Holder thereof shall give written notice to the Company of such Holder’s intention to effect such disposition and shall have furnished the Company with a detailed description of the manner and circumstances of the proposed disposition.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326" w:name="page327"/>
    <w:bookmarkEnd w:id="326"/>
    <w:p>
      <w:pPr>
        <w:ind w:firstLine="987"/>
        <w:spacing w:after="0" w:line="342" w:lineRule="auto"/>
        <w:tabs>
          <w:tab w:leader="none" w:pos="1371" w:val="left"/>
        </w:tabs>
        <w:numPr>
          <w:ilvl w:val="0"/>
          <w:numId w:val="2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certificate representing Registrable Securities shall (unless otherwise permitted by the provisions of this Agreement) be stamped or otherwise imprinted with a legend substantially similar to the following (in addition to any legend required under applicable state securities laws):</w:t>
      </w:r>
    </w:p>
    <w:p>
      <w:pPr>
        <w:spacing w:after="0" w:line="16" w:lineRule="exact"/>
        <w:rPr>
          <w:sz w:val="20"/>
          <w:szCs w:val="20"/>
          <w:color w:val="auto"/>
        </w:rPr>
      </w:pPr>
    </w:p>
    <w:p>
      <w:pPr>
        <w:ind w:left="980" w:right="40"/>
        <w:spacing w:after="0" w:line="254"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UNDER THE SECURITIES LAWS OF ANY STATE. THESE SECURITIES MAY NOT BE OFFERED, SOLD OR OTHERWISE TRANSFERRED, PLEDGED OR HYPOTHECATED EXCEPT AS PERMITTED UNDER THE ACT AND APPLICABLE STATE SECURITIES LAWS PURSUANT TO REGISTRATION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87" w:lineRule="exact"/>
        <w:rPr>
          <w:sz w:val="20"/>
          <w:szCs w:val="20"/>
          <w:color w:val="auto"/>
        </w:rPr>
      </w:pPr>
    </w:p>
    <w:p>
      <w:pPr>
        <w:ind w:left="980" w:right="200"/>
        <w:spacing w:after="0" w:line="259" w:lineRule="auto"/>
        <w:rPr>
          <w:sz w:val="20"/>
          <w:szCs w:val="20"/>
          <w:color w:val="auto"/>
        </w:rPr>
      </w:pPr>
      <w:r>
        <w:rPr>
          <w:rFonts w:ascii="Arial" w:cs="Arial" w:eastAsia="Arial" w:hAnsi="Arial"/>
          <w:sz w:val="18"/>
          <w:szCs w:val="18"/>
          <w:color w:val="auto"/>
        </w:rPr>
        <w:t>THE SHARES REPRESENTED BY THIS CERTIFICATE ARE SUBJECT TO RESTRICTIONS ON TRANSFERABILITY AND RESALE, INCLUDING A LOCK-UP PERIOD IN THE EVENT OF A PUBLIC OFFERING, AS SET FORTH IN AN INVESTORS’ RIGHTS AGREEMENT BY AND AMONG THE COMPANY AND THE ORIGINAL HOLDERS OF THESE SHARES, A COPY OF WHICH MAY BE OBTAINED AT THE PRINCIPAL OFFICE OF THE COMPANY.</w:t>
      </w:r>
    </w:p>
    <w:p>
      <w:pPr>
        <w:spacing w:after="0" w:line="18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Holders consent to the Company making a notation on its records and giving instructions to any transfer agent of the Restricted Securities in order to implement the restrictions on transfer established in this Section 2.8.</w:t>
      </w:r>
    </w:p>
    <w:p>
      <w:pPr>
        <w:spacing w:after="0" w:line="170" w:lineRule="exact"/>
        <w:rPr>
          <w:sz w:val="20"/>
          <w:szCs w:val="20"/>
          <w:color w:val="auto"/>
        </w:rPr>
      </w:pPr>
    </w:p>
    <w:p>
      <w:pPr>
        <w:ind w:right="220" w:firstLine="987"/>
        <w:spacing w:after="0" w:line="273" w:lineRule="auto"/>
        <w:tabs>
          <w:tab w:leader="none" w:pos="137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first legend referring to federal and state securities laws identified in Section 2.8(c) stamped on a certificate evidencing the Restricted Securities and the stock transfer instructions and record notations with respect to such Restricted Securities shall be removed and the Company shall issue a certificate without such legend to the holder of such Restricted Securities (i) following the Company’s first underwritten public offering of its Common Stock under the Securities Act, if such securities are transferred in connection with a sale, pledge or transfer pursuant to Rule 144, (ii) if such securities are registered under the Securities Act, or (iii) if, in the opinion of counsel for such Holder and the Company, such legend is not required in order to establish compliance with any provisions of the Securities Act.</w:t>
      </w:r>
    </w:p>
    <w:p>
      <w:pPr>
        <w:spacing w:after="0" w:line="174"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b w:val="1"/>
          <w:bCs w:val="1"/>
          <w:color w:val="auto"/>
        </w:rPr>
        <w:t>2.9 Rule 144 Reporting</w:t>
      </w:r>
      <w:r>
        <w:rPr>
          <w:rFonts w:ascii="Arial" w:cs="Arial" w:eastAsia="Arial" w:hAnsi="Arial"/>
          <w:sz w:val="17"/>
          <w:szCs w:val="17"/>
          <w:color w:val="auto"/>
        </w:rPr>
        <w:t>. With a view to making available the benefits of certain rules and regulations of the Commission that may permit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the Restricted Securities to the public without registration, the Company agrees to use its commercially reasonable efforts to:</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27" w:name="page328"/>
    <w:bookmarkEnd w:id="327"/>
    <w:p>
      <w:pPr>
        <w:ind w:right="260" w:firstLine="987"/>
        <w:spacing w:after="0" w:line="277" w:lineRule="auto"/>
        <w:tabs>
          <w:tab w:leader="none" w:pos="1371"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and keep adequate current public information with respect to the Company available in accordance with Rule 144 under the Securities Act, at all times from and after the effective date of the Company’s Initial Public Offering;</w:t>
      </w:r>
    </w:p>
    <w:p>
      <w:pPr>
        <w:spacing w:after="0" w:line="170" w:lineRule="exact"/>
        <w:rPr>
          <w:rFonts w:ascii="Arial" w:cs="Arial" w:eastAsia="Arial" w:hAnsi="Arial"/>
          <w:sz w:val="18"/>
          <w:szCs w:val="18"/>
          <w:color w:val="auto"/>
        </w:rPr>
      </w:pPr>
    </w:p>
    <w:p>
      <w:pPr>
        <w:ind w:right="100" w:firstLine="987"/>
        <w:spacing w:after="0" w:line="277" w:lineRule="auto"/>
        <w:tabs>
          <w:tab w:leader="none" w:pos="138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Company under the Securities Act and the Exchange Act at any time after it has become subject to such reporting requirements; and</w:t>
      </w:r>
    </w:p>
    <w:p>
      <w:pPr>
        <w:spacing w:after="0" w:line="170" w:lineRule="exact"/>
        <w:rPr>
          <w:rFonts w:ascii="Arial" w:cs="Arial" w:eastAsia="Arial" w:hAnsi="Arial"/>
          <w:sz w:val="18"/>
          <w:szCs w:val="18"/>
          <w:color w:val="auto"/>
        </w:rPr>
      </w:pPr>
    </w:p>
    <w:p>
      <w:pPr>
        <w:jc w:val="both"/>
        <w:ind w:right="160" w:firstLine="987"/>
        <w:spacing w:after="0" w:line="255" w:lineRule="auto"/>
        <w:tabs>
          <w:tab w:leader="none" w:pos="137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So long as a Holder owns any Restricted Securities, furnish to the Holder forthwith upon written request a written statement by the Company as to its compliance with the reporting requirements of Rule 144 (at any time from and after ninety (90) days following the effective date of the first registration statement filed by the Company for an offering of its securities to the general public), and of the Securities Act and the Exchange Act (at any time after it has become subject to such reporting requirements), a copy of the most recent annual or quarterly report of the Company, and such other reports and documents so filed as a Holder may reasonably request in availing itself of any rule or regulation of the Commission allowing a Holder to sell any such securities without registration.</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2.10 Market Stand-Off Agreement</w:t>
      </w:r>
      <w:r>
        <w:rPr>
          <w:rFonts w:ascii="Arial" w:cs="Arial" w:eastAsia="Arial" w:hAnsi="Arial"/>
          <w:sz w:val="17"/>
          <w:szCs w:val="17"/>
          <w:color w:val="auto"/>
        </w:rPr>
        <w:t>. Each Holder and transferee thereof hereby agrees that such Holder or transferee shall not sell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make any short sale of, grant any option for the purchase of, or enter into any hedging or similar transaction with the same economic effect as a sale, of any Common Stock (or other securities) of the Company held immediately before the effective date of the registration statement for the Company’s Initial Public Offering by such Holder or transferee (other than those included for sale by such Holder in the registration) during the one hundred and eighty (180)-day period following the effective date of the registration statement for the Company’s Initial Public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officers and directors of the Company and all holders of more than one percent (1%) of the Company’s voting securities are bound by and have entered into similar agreements. The obligations described in this Section 2.10 shall not apply to (i) the sale of any shares to an underwriter pursuant to an underwriting agreement, (ii) a registration relating solely to employee benefit plans on Form S-l or Form S-8 or similar forms that may be promulgated in the future, or (iii) a registration relating solely to a transaction on Form S-4 or similar forms that may be promulgated in the future. The Company may impose stop-transfer instructions and may stamp each such certificate with the second legend set forth in Section 2.8(c) with respect to the shares of Common Stock (or other securities) subject to the foregoing restriction until the end of such one hundred and eighty (180) day (or other) period. Each Holder agrees to execute a market standoff agreement with said underwriters in customary form consistent with and no more burdensome to such Holder than the provisions of this Section 2.10.In the event that the Company or the managing underwriter waives or terminates any of the restrictions contained in this Section 2.10 or in a lock-up agreement with respect to the securities of any Holder, officer, director or greater than one-percent stockholder of the Company (in any such case, the “</w:t>
      </w:r>
      <w:r>
        <w:rPr>
          <w:rFonts w:ascii="Arial" w:cs="Arial" w:eastAsia="Arial" w:hAnsi="Arial"/>
          <w:sz w:val="17"/>
          <w:szCs w:val="17"/>
          <w:b w:val="1"/>
          <w:bCs w:val="1"/>
          <w:i w:val="1"/>
          <w:iCs w:val="1"/>
          <w:color w:val="auto"/>
        </w:rPr>
        <w:t>Released Securities</w:t>
      </w:r>
      <w:r>
        <w:rPr>
          <w:rFonts w:ascii="Arial" w:cs="Arial" w:eastAsia="Arial" w:hAnsi="Arial"/>
          <w:sz w:val="17"/>
          <w:szCs w:val="17"/>
          <w:color w:val="auto"/>
        </w:rPr>
        <w:t>”), the restrictions contained in this Section 2.10 and in any lock-up agreements executed by the Holders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28" w:name="page329"/>
    <w:bookmarkEnd w:id="328"/>
    <w:p>
      <w:pPr>
        <w:ind w:right="4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2.11 Delay of Registration</w:t>
      </w:r>
      <w:r>
        <w:rPr>
          <w:rFonts w:ascii="Arial" w:cs="Arial" w:eastAsia="Arial" w:hAnsi="Arial"/>
          <w:sz w:val="18"/>
          <w:szCs w:val="18"/>
          <w:color w:val="auto"/>
        </w:rPr>
        <w:t>. No Holder shall have any right to take any action to restrain, enjoin, or otherwise delay any registration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any controversy that might arise with respect to the interpretation or implementation of this Section 2.</w:t>
      </w:r>
    </w:p>
    <w:p>
      <w:pPr>
        <w:spacing w:after="0" w:line="162"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b w:val="1"/>
          <w:bCs w:val="1"/>
          <w:color w:val="auto"/>
        </w:rPr>
        <w:t>2.12 Transfer or Assignment of Registration Rights</w:t>
      </w:r>
      <w:r>
        <w:rPr>
          <w:rFonts w:ascii="Arial" w:cs="Arial" w:eastAsia="Arial" w:hAnsi="Arial"/>
          <w:sz w:val="16"/>
          <w:szCs w:val="16"/>
          <w:color w:val="auto"/>
        </w:rPr>
        <w:t>. The rights to cause the Company to register securities granted to a Holder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under this Section 2 may be transferred or assigned by a Holder only to (a) a transferee or assignee of at least 250,000 shares of Registrable Securities (as presently constituted and subject to subsequent adjustments for stock splits, stock dividends, reverse stock splits, and the like) (or all shares of Registrable Securities held by the transferring Holder, if less than 250,000) or (b) any of the Holder’s partners, members or other equity owners, or retired partners, retired members or other equity owners, or, if the Holder is a venture capital fund or other investment fund, then to an entity that is controlled by or under common control with one or more general partners or managing members of, or shares the same management company or investment adviser with, the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transfer or assignment of Registrable Securities is effected in accordance with the terms of Section 2.8, the Right of First Refusal and Co-Sale Agreement (as may be amended from time to time), and applicable securities laws, (ii) the Company is given written notice prior to said transfer or assignment, stating the name and address of the transferee or assignee and identifying the securities with respect to which such registration rights are intended to be transferred or assigned and (iii) the transferee or assignee of such rights assumes in writing the obligations of such Holder under this Agreement, including without limitation the obligations set forth in Section 2.10.</w:t>
      </w:r>
    </w:p>
    <w:p>
      <w:pPr>
        <w:spacing w:after="0" w:line="163"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2.13 Limitations on Subsequent Registration Rights</w:t>
      </w:r>
      <w:r>
        <w:rPr>
          <w:rFonts w:ascii="Arial" w:cs="Arial" w:eastAsia="Arial" w:hAnsi="Arial"/>
          <w:sz w:val="18"/>
          <w:szCs w:val="18"/>
          <w:color w:val="auto"/>
        </w:rPr>
        <w:t>. From and after the date of this Agreement, the Company shall not,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Holders holding a majority of the Registrable Securities (excluding any of such shares held by any Holders whose rights to request registration or inclusion in any registration pursuant to this Section 2 have terminated in accordance with Section 2.14), enter into any agreement with any holder or prospective holder of any securities of the Company giving such holder or prospective holder any registration rights the terms of which are senior to or on parity with the registration rights granted to the Holders hereunder.</w:t>
      </w:r>
    </w:p>
    <w:p>
      <w:pPr>
        <w:spacing w:after="0" w:line="18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Termination of Registration Rights</w:t>
      </w:r>
      <w:r>
        <w:rPr>
          <w:rFonts w:ascii="Arial" w:cs="Arial" w:eastAsia="Arial" w:hAnsi="Arial"/>
          <w:sz w:val="16"/>
          <w:szCs w:val="16"/>
          <w:color w:val="auto"/>
        </w:rPr>
        <w:t>. The right of any Holder to request registration or inclusion in any registration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Sections 2.1, 2.2 or 2.3 shall terminate on the earlier of (i) such date, on or after the closing of the Company’s Initial Public Offering, on which all shares</w:t>
      </w:r>
    </w:p>
    <w:p>
      <w:pPr>
        <w:spacing w:after="0" w:line="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of Registrable Securities held or entitled to be held upon conversion by such Holder may immediately be sold under Rule 144 during any ninety (90)-day period, (ii) four (4) years after the closing of the Company’s Initial Public Offering, and (iii) immediately prior to, but subject to, the closing of a Deemed Liquidation Event (as defined in the Restated Certificate).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29" w:name="page330"/>
    <w:bookmarkEnd w:id="32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p>
    <w:p>
      <w:pPr>
        <w:spacing w:after="0" w:line="225" w:lineRule="exact"/>
        <w:rPr>
          <w:sz w:val="20"/>
          <w:szCs w:val="20"/>
          <w:color w:val="auto"/>
        </w:rPr>
      </w:pPr>
    </w:p>
    <w:p>
      <w:pPr>
        <w:ind w:left="4104"/>
        <w:spacing w:after="0"/>
        <w:rPr>
          <w:sz w:val="20"/>
          <w:szCs w:val="20"/>
          <w:color w:val="auto"/>
        </w:rPr>
      </w:pPr>
      <w:r>
        <w:rPr>
          <w:rFonts w:ascii="Arial" w:cs="Arial" w:eastAsia="Arial" w:hAnsi="Arial"/>
          <w:sz w:val="18"/>
          <w:szCs w:val="18"/>
          <w:b w:val="1"/>
          <w:bCs w:val="1"/>
          <w:color w:val="auto"/>
        </w:rPr>
        <w:t>COVENANTS OF THE COMPANY</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hereby covenants and agrees, as follows:</w:t>
      </w:r>
    </w:p>
    <w:p>
      <w:pPr>
        <w:spacing w:after="0" w:line="221" w:lineRule="exact"/>
        <w:rPr>
          <w:sz w:val="20"/>
          <w:szCs w:val="20"/>
          <w:color w:val="auto"/>
        </w:rPr>
      </w:pPr>
    </w:p>
    <w:p>
      <w:pPr>
        <w:ind w:left="444"/>
        <w:spacing w:after="0"/>
        <w:tabs>
          <w:tab w:leader="none" w:pos="96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Basic Financial Information and Inspection Rights</w:t>
      </w:r>
      <w:r>
        <w:rPr>
          <w:rFonts w:ascii="Arial" w:cs="Arial" w:eastAsia="Arial" w:hAnsi="Arial"/>
          <w:sz w:val="16"/>
          <w:szCs w:val="16"/>
          <w:color w:val="auto"/>
        </w:rPr>
        <w:t>.</w:t>
      </w:r>
    </w:p>
    <w:p>
      <w:pPr>
        <w:spacing w:after="0" w:line="229" w:lineRule="exact"/>
        <w:rPr>
          <w:sz w:val="20"/>
          <w:szCs w:val="20"/>
          <w:color w:val="auto"/>
        </w:rPr>
      </w:pPr>
    </w:p>
    <w:p>
      <w:pPr>
        <w:ind w:left="4" w:right="20" w:firstLine="987"/>
        <w:spacing w:after="0" w:line="259" w:lineRule="auto"/>
        <w:tabs>
          <w:tab w:leader="none" w:pos="1420" w:val="left"/>
        </w:tabs>
        <w:numPr>
          <w:ilvl w:val="1"/>
          <w:numId w:val="2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Basic Financial Information. </w:t>
      </w:r>
      <w:r>
        <w:rPr>
          <w:rFonts w:ascii="Arial" w:cs="Arial" w:eastAsia="Arial" w:hAnsi="Arial"/>
          <w:sz w:val="18"/>
          <w:szCs w:val="18"/>
          <w:color w:val="auto"/>
        </w:rPr>
        <w:t>The Company will furnish the following reports to each Holder who (together with its affiliates) owns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obligated to purchase under the Purchase Agreement an aggregate of at least 3,000,000 Shares and/or shares of Common Stock issued upon conversion of Shares (in each case as presently constituted and subject to subsequent adjustments for stock splits, stock dividends, reverse stock splits, and the like) (each a “</w:t>
      </w:r>
      <w:r>
        <w:rPr>
          <w:rFonts w:ascii="Arial" w:cs="Arial" w:eastAsia="Arial" w:hAnsi="Arial"/>
          <w:sz w:val="18"/>
          <w:szCs w:val="18"/>
          <w:b w:val="1"/>
          <w:bCs w:val="1"/>
          <w:i w:val="1"/>
          <w:iCs w:val="1"/>
          <w:color w:val="auto"/>
        </w:rPr>
        <w:t>Major Investor</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764" w:hanging="332"/>
        <w:spacing w:after="0"/>
        <w:tabs>
          <w:tab w:leader="none" w:pos="1764" w:val="left"/>
        </w:tabs>
        <w:numPr>
          <w:ilvl w:val="2"/>
          <w:numId w:val="244"/>
        </w:numPr>
        <w:rPr>
          <w:rFonts w:ascii="Arial" w:cs="Arial" w:eastAsia="Arial" w:hAnsi="Arial"/>
          <w:sz w:val="17"/>
          <w:szCs w:val="17"/>
          <w:color w:val="auto"/>
        </w:rPr>
      </w:pPr>
      <w:r>
        <w:rPr>
          <w:rFonts w:ascii="Arial" w:cs="Arial" w:eastAsia="Arial" w:hAnsi="Arial"/>
          <w:sz w:val="17"/>
          <w:szCs w:val="17"/>
          <w:color w:val="auto"/>
        </w:rPr>
        <w:t>As soon as practicable after the end of each fiscal year of the Company, and in any event within one hundred and twenty</w:t>
      </w:r>
    </w:p>
    <w:p>
      <w:pPr>
        <w:spacing w:after="0" w:line="34" w:lineRule="exact"/>
        <w:rPr>
          <w:rFonts w:ascii="Arial" w:cs="Arial" w:eastAsia="Arial" w:hAnsi="Arial"/>
          <w:sz w:val="17"/>
          <w:szCs w:val="17"/>
          <w:color w:val="auto"/>
        </w:rPr>
      </w:pPr>
    </w:p>
    <w:p>
      <w:pPr>
        <w:ind w:left="4" w:right="160" w:hanging="4"/>
        <w:spacing w:after="0" w:line="253" w:lineRule="auto"/>
        <w:tabs>
          <w:tab w:leader="none" w:pos="43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days after the end of each fiscal year of the Company, an audited consolidated balance sheet of the Company and its subsidiaries, if any, as at the end of such fiscal year, and consolidated statements of income and cash flows of the Company and its subsidiaries, if any, for such year, prepared in accordance with U.S. generally accepted accounting principles consistently applied, certified by independent public accountants selected by the Company;</w:t>
      </w:r>
    </w:p>
    <w:p>
      <w:pPr>
        <w:spacing w:after="0" w:line="192" w:lineRule="exact"/>
        <w:rPr>
          <w:rFonts w:ascii="Arial" w:cs="Arial" w:eastAsia="Arial" w:hAnsi="Arial"/>
          <w:sz w:val="18"/>
          <w:szCs w:val="18"/>
          <w:color w:val="auto"/>
        </w:rPr>
      </w:pPr>
    </w:p>
    <w:p>
      <w:pPr>
        <w:ind w:left="4" w:right="60" w:firstLine="1428"/>
        <w:spacing w:after="0" w:line="255" w:lineRule="auto"/>
        <w:tabs>
          <w:tab w:leader="none" w:pos="1826" w:val="left"/>
        </w:tabs>
        <w:numPr>
          <w:ilvl w:val="2"/>
          <w:numId w:val="245"/>
        </w:numPr>
        <w:rPr>
          <w:rFonts w:ascii="Arial" w:cs="Arial" w:eastAsia="Arial" w:hAnsi="Arial"/>
          <w:sz w:val="18"/>
          <w:szCs w:val="18"/>
          <w:color w:val="auto"/>
        </w:rPr>
      </w:pPr>
      <w:r>
        <w:rPr>
          <w:rFonts w:ascii="Arial" w:cs="Arial" w:eastAsia="Arial" w:hAnsi="Arial"/>
          <w:sz w:val="18"/>
          <w:szCs w:val="18"/>
          <w:color w:val="auto"/>
        </w:rPr>
        <w:t>As soon as practicable after the end of the first, second, third, and fourth quarterly accounting periods in each fiscal year of the Company, and in any event within thirty (30) days after the end of the first, second, third, and fourth quarterly accounting periods in each fiscal year of the Company, (A) an unaudited consolidated balance sheet of the Company and its subsidiaries, if any, as of the end of each such quarterly period, and unaudited consolidated statements of income and cash flows of the Company and its subsidiaries, if any, for such period, prepared in accordance with U.S. generally accepted accounting principles consistently applied, subject to changes resulting from normal year-end audit adjustments and (B) the capitalization table of the Company;</w:t>
      </w:r>
    </w:p>
    <w:p>
      <w:pPr>
        <w:spacing w:after="0" w:line="192" w:lineRule="exact"/>
        <w:rPr>
          <w:rFonts w:ascii="Arial" w:cs="Arial" w:eastAsia="Arial" w:hAnsi="Arial"/>
          <w:sz w:val="18"/>
          <w:szCs w:val="18"/>
          <w:color w:val="auto"/>
        </w:rPr>
      </w:pPr>
    </w:p>
    <w:p>
      <w:pPr>
        <w:ind w:left="4" w:right="40" w:firstLine="1428"/>
        <w:spacing w:after="0" w:line="279" w:lineRule="auto"/>
        <w:tabs>
          <w:tab w:leader="none" w:pos="1886" w:val="left"/>
        </w:tabs>
        <w:numPr>
          <w:ilvl w:val="2"/>
          <w:numId w:val="245"/>
        </w:numPr>
        <w:rPr>
          <w:rFonts w:ascii="Arial" w:cs="Arial" w:eastAsia="Arial" w:hAnsi="Arial"/>
          <w:sz w:val="17"/>
          <w:szCs w:val="17"/>
          <w:color w:val="auto"/>
        </w:rPr>
      </w:pPr>
      <w:r>
        <w:rPr>
          <w:rFonts w:ascii="Arial" w:cs="Arial" w:eastAsia="Arial" w:hAnsi="Arial"/>
          <w:sz w:val="17"/>
          <w:szCs w:val="17"/>
          <w:color w:val="auto"/>
        </w:rPr>
        <w:t>Upon request, as soon as practicable after the end of each month, and in any event within thirty (30) days after the end of each month, an unaudited consolidated balance sheet of the Company and its subsidiaries, if any, as of the end of such monthly period, and unaudited consolidated statements of income and cash flows of the Company and its subsidiaries, if any, for such period, prepared in accordance with U.S. generally accepted accounting principles consistently applied, subject to changes resulting from normal year-end audit adjustments; and</w:t>
      </w:r>
    </w:p>
    <w:p>
      <w:pPr>
        <w:spacing w:after="0" w:line="171" w:lineRule="exact"/>
        <w:rPr>
          <w:rFonts w:ascii="Arial" w:cs="Arial" w:eastAsia="Arial" w:hAnsi="Arial"/>
          <w:sz w:val="17"/>
          <w:szCs w:val="17"/>
          <w:color w:val="auto"/>
        </w:rPr>
      </w:pPr>
    </w:p>
    <w:p>
      <w:pPr>
        <w:ind w:left="4" w:firstLine="1428"/>
        <w:spacing w:after="0" w:line="279" w:lineRule="auto"/>
        <w:tabs>
          <w:tab w:leader="none" w:pos="1866" w:val="left"/>
        </w:tabs>
        <w:numPr>
          <w:ilvl w:val="2"/>
          <w:numId w:val="245"/>
        </w:numPr>
        <w:rPr>
          <w:rFonts w:ascii="Arial" w:cs="Arial" w:eastAsia="Arial" w:hAnsi="Arial"/>
          <w:sz w:val="17"/>
          <w:szCs w:val="17"/>
          <w:color w:val="auto"/>
        </w:rPr>
      </w:pPr>
      <w:r>
        <w:rPr>
          <w:rFonts w:ascii="Arial" w:cs="Arial" w:eastAsia="Arial" w:hAnsi="Arial"/>
          <w:sz w:val="17"/>
          <w:szCs w:val="17"/>
          <w:color w:val="auto"/>
        </w:rPr>
        <w:t>At least thirty (30) days before the end of each fiscal year of the Company, a business plan and budget, including monthly projections in substantially the same format of the unaudited financial statements, in each case for the next fiscal year of the Company; provided that, solely with respect to the business and plan for fiscal year 2020, the Company may elect to prepare such business plan and budget in a manner other than with U.S. generally accepted accounting principles (e.g., through use of cash basis accounting).</w:t>
      </w:r>
    </w:p>
    <w:p>
      <w:pPr>
        <w:spacing w:after="0" w:line="171" w:lineRule="exact"/>
        <w:rPr>
          <w:rFonts w:ascii="Arial" w:cs="Arial" w:eastAsia="Arial" w:hAnsi="Arial"/>
          <w:sz w:val="17"/>
          <w:szCs w:val="17"/>
          <w:color w:val="auto"/>
        </w:rPr>
      </w:pPr>
    </w:p>
    <w:p>
      <w:pPr>
        <w:ind w:left="4" w:right="480" w:firstLine="987"/>
        <w:spacing w:after="0" w:line="277" w:lineRule="auto"/>
        <w:tabs>
          <w:tab w:leader="none" w:pos="1430" w:val="left"/>
        </w:tabs>
        <w:numPr>
          <w:ilvl w:val="1"/>
          <w:numId w:val="2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Inspection Rights. </w:t>
      </w:r>
      <w:r>
        <w:rPr>
          <w:rFonts w:ascii="Arial" w:cs="Arial" w:eastAsia="Arial" w:hAnsi="Arial"/>
          <w:sz w:val="18"/>
          <w:szCs w:val="18"/>
          <w:color w:val="auto"/>
        </w:rPr>
        <w:t>The Company will afford to each Major Investor and its accountants and counsel, reasonable access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normal business hours to all of the Company’s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330" w:name="page331"/>
    <w:bookmarkEnd w:id="330"/>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 properties, books and records. Each Major Investor shall have such other access to management and information as is necessary for it to comply with applicable laws and regulations and reporting obligations. The Company shall not be required to disclose details of contracts with or work performed for specific customers and other business partners where to do so would violate confidentiality obligations to those parties. Major Investors may exercise their rights under this Section 3.1(b) only for purposes reasonably related to their interests under this Agreement and related agreements. The rights granted pursuant to this Section 3.1(b) may not be assigned or otherwise conveyed by the Major Investors or by any subsequent transferee of any such rights without the prior written consent of the Company except as authorized in this Section 3.1(b).</w:t>
      </w:r>
    </w:p>
    <w:p>
      <w:pPr>
        <w:spacing w:after="0" w:line="164" w:lineRule="exact"/>
        <w:rPr>
          <w:sz w:val="20"/>
          <w:szCs w:val="20"/>
          <w:color w:val="auto"/>
        </w:rPr>
      </w:pPr>
    </w:p>
    <w:p>
      <w:pPr>
        <w:ind w:right="100" w:firstLine="987"/>
        <w:spacing w:after="0" w:line="291" w:lineRule="auto"/>
        <w:tabs>
          <w:tab w:leader="none" w:pos="1371" w:val="left"/>
        </w:tabs>
        <w:numPr>
          <w:ilvl w:val="0"/>
          <w:numId w:val="2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Observer Rights. </w:t>
      </w:r>
      <w:r>
        <w:rPr>
          <w:rFonts w:ascii="Arial" w:cs="Arial" w:eastAsia="Arial" w:hAnsi="Arial"/>
          <w:sz w:val="16"/>
          <w:szCs w:val="16"/>
          <w:color w:val="auto"/>
        </w:rPr>
        <w:t>As long as RTW Investments, LP, together with its affiliates (collectively, “</w:t>
      </w:r>
      <w:r>
        <w:rPr>
          <w:rFonts w:ascii="Arial" w:cs="Arial" w:eastAsia="Arial" w:hAnsi="Arial"/>
          <w:sz w:val="16"/>
          <w:szCs w:val="16"/>
          <w:b w:val="1"/>
          <w:bCs w:val="1"/>
          <w:i w:val="1"/>
          <w:iCs w:val="1"/>
          <w:color w:val="auto"/>
        </w:rPr>
        <w:t>RTW</w:t>
      </w:r>
      <w:r>
        <w:rPr>
          <w:rFonts w:ascii="Arial" w:cs="Arial" w:eastAsia="Arial" w:hAnsi="Arial"/>
          <w:sz w:val="16"/>
          <w:szCs w:val="16"/>
          <w:color w:val="auto"/>
        </w:rPr>
        <w:t>”), owns at least 4,826,255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Preferred Stock (or Common Stock issued upon conversion thereof) the Company shall invite a representative of RTW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all information so provided; and provided further, that the Company reserves the right to withhold any information and to exclude such representative from any meeting or portion thereof if access to such information or attendance at such meeting would adversely affect the attorney-client privilege between the Company and its counsel or result in disclosure of trade secrets or a conflict of interest.</w:t>
      </w:r>
    </w:p>
    <w:p>
      <w:pPr>
        <w:spacing w:after="0" w:line="1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3.2 Confidentiality. </w:t>
      </w:r>
      <w:r>
        <w:rPr>
          <w:rFonts w:ascii="Arial" w:cs="Arial" w:eastAsia="Arial" w:hAnsi="Arial"/>
          <w:sz w:val="17"/>
          <w:szCs w:val="17"/>
          <w:color w:val="auto"/>
        </w:rPr>
        <w:t>Each Holder agrees that such Holder will keep confidential and will not disclose, divulge, or use for any purpose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than to monitor or make decisions with respect to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3.2 by such Holder),(b) is or has been independently developed or conceived by such Holder without use of the Company’s confidential information, or (c) is or has been made known or disclosed to such Holder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Holder may disclose confidential information (i) to its attorneys, accountants, consultants, and other professionals to the extent reasonably necessary to obtain their services in connection with monitoring its investment in the Company; (ii) to any prospective purchaser of any Registrable Securities from such Holder, if such prospective purchaser agrees to be bound by the provisions of this Section 3.2; (iii) to any affiliate, partner, member, stockholder, or wholly owned subsidiary of such Holder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Holder informs such person that such information is confidential and directs such person to maintain the confidentiality of such information; or(iv) as may otherwise be required by law, regulation, rule, court order or subpoena,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legally permissible, such Holder promptly notifies the Company of such disclosure and takes reasonable steps to minimize the extent of any such required disclosure.</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3.3 Confidential Information and Invention Assignment Agreements. </w:t>
      </w:r>
      <w:r>
        <w:rPr>
          <w:rFonts w:ascii="Arial" w:cs="Arial" w:eastAsia="Arial" w:hAnsi="Arial"/>
          <w:sz w:val="18"/>
          <w:szCs w:val="18"/>
          <w:color w:val="auto"/>
        </w:rPr>
        <w:t>The Company shall require all new employees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the Company’s standard form of Confidential Information and Invention Assignment Agreement and all new consultants and advisors to execute and deliver appropriate confidential information and invention assignment agreements with the Company.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31" w:name="page332"/>
    <w:bookmarkEnd w:id="331"/>
    <w:p>
      <w:pPr>
        <w:ind w:right="80"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3.4 Stock Option Vesting</w:t>
      </w:r>
      <w:r>
        <w:rPr>
          <w:rFonts w:ascii="Arial" w:cs="Arial" w:eastAsia="Arial" w:hAnsi="Arial"/>
          <w:sz w:val="17"/>
          <w:szCs w:val="17"/>
          <w:color w:val="auto"/>
        </w:rPr>
        <w:t>. Except as may be approved by the Board of Directors, all stock options, restricted stock and similar equity grants</w:t>
      </w:r>
      <w:r>
        <w:rPr>
          <w:rFonts w:ascii="Arial" w:cs="Arial" w:eastAsia="Arial" w:hAnsi="Arial"/>
          <w:sz w:val="17"/>
          <w:szCs w:val="17"/>
          <w:b w:val="1"/>
          <w:bCs w:val="1"/>
          <w:color w:val="auto"/>
        </w:rPr>
        <w:t xml:space="preserve"> </w:t>
      </w:r>
      <w:r>
        <w:rPr>
          <w:rFonts w:ascii="Arial" w:cs="Arial" w:eastAsia="Arial" w:hAnsi="Arial"/>
          <w:sz w:val="17"/>
          <w:szCs w:val="17"/>
          <w:color w:val="auto"/>
        </w:rPr>
        <w:t>issued after the date of this Agreement by the Company to employees, officers and consultants shall be subject to vesting as follows: (i) twenty-five percent (25%) of such stock shall vest on the one (1)-year anniversary of such person’s service commencement date with the Company and (ii) the remaining seventy-five percent (75%) of such stock shall vest monthly over the remaining thirty-six (36) months. The Company shall retain a repurchase option with respect to any unvested shares of restricted stock and similar equity grants of the Company (to the extent exercised), pursuant to which the Company (or its assignee, subject to compliance with applicable federal and state securities laws) shall be entitled to repurchase such shares of restricted stock upon the termination of employment or the provision of services of such stockholder, with or without cause, at a purchase price per share equal to the lower of the original purchase price paid by such stockholder for such shares or the then fair market value of such shares. No stock option, restricted stock or similar equity grant issued to officers or consultants shall be transferable until such time as such stock option, restricted stock or similar equity grant is fully vested.</w:t>
      </w:r>
    </w:p>
    <w:p>
      <w:pPr>
        <w:spacing w:after="0" w:line="17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3.5 Directors and Officers Insurance</w:t>
      </w:r>
      <w:r>
        <w:rPr>
          <w:rFonts w:ascii="Arial" w:cs="Arial" w:eastAsia="Arial" w:hAnsi="Arial"/>
          <w:sz w:val="18"/>
          <w:szCs w:val="18"/>
          <w:color w:val="auto"/>
        </w:rPr>
        <w:t>. To the extent that coverage is available upon commercially reasonable terms,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the Company shall maintain directors and officers liability insurance with coverage limits customary for similarly situated companies on terms and conditions reasonably acceptable to the Board of Directors, including all of the then-serving Preferred Directors (as defined in the Restated Certificate).</w:t>
      </w:r>
    </w:p>
    <w:p>
      <w:pPr>
        <w:spacing w:after="0" w:line="18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3.6 Future IPO Opportunity</w:t>
      </w:r>
      <w:r>
        <w:rPr>
          <w:rFonts w:ascii="Arial" w:cs="Arial" w:eastAsia="Arial" w:hAnsi="Arial"/>
          <w:sz w:val="16"/>
          <w:szCs w:val="16"/>
          <w:color w:val="auto"/>
        </w:rPr>
        <w:t>. In connection with the Initial Public Offering, if any, in the event that any holder, together with its affiliates, of</w:t>
      </w:r>
      <w:r>
        <w:rPr>
          <w:rFonts w:ascii="Arial" w:cs="Arial" w:eastAsia="Arial" w:hAnsi="Arial"/>
          <w:sz w:val="16"/>
          <w:szCs w:val="16"/>
          <w:b w:val="1"/>
          <w:bCs w:val="1"/>
          <w:color w:val="auto"/>
        </w:rPr>
        <w:t xml:space="preserve"> </w:t>
      </w:r>
      <w:r>
        <w:rPr>
          <w:rFonts w:ascii="Arial" w:cs="Arial" w:eastAsia="Arial" w:hAnsi="Arial"/>
          <w:sz w:val="16"/>
          <w:szCs w:val="16"/>
          <w:color w:val="auto"/>
        </w:rPr>
        <w:t>at least 9,396,829 shares Preferred Stock (an “</w:t>
      </w:r>
      <w:r>
        <w:rPr>
          <w:rFonts w:ascii="Arial" w:cs="Arial" w:eastAsia="Arial" w:hAnsi="Arial"/>
          <w:sz w:val="16"/>
          <w:szCs w:val="16"/>
          <w:b w:val="1"/>
          <w:bCs w:val="1"/>
          <w:i w:val="1"/>
          <w:iCs w:val="1"/>
          <w:color w:val="auto"/>
        </w:rPr>
        <w:t>Institutional Investor</w:t>
      </w:r>
      <w:r>
        <w:rPr>
          <w:rFonts w:ascii="Arial" w:cs="Arial" w:eastAsia="Arial" w:hAnsi="Arial"/>
          <w:sz w:val="16"/>
          <w:szCs w:val="16"/>
          <w:color w:val="auto"/>
        </w:rPr>
        <w:t>,” which shall in any event include RTW) outstanding as of the final Closing (as defined in the Purchase Agreement) indicates a desire to purchase shares of the Company in such Initial Public Offering, then, subject to compliance with all applicable securities laws and regulations, the Company shall use its commercially reasonable best efforts to advocate to the managing underwriter(s) of such Initial Public Offering to offer to each Institutional Investor, on terms at least as favorable as those granted to any other participant in the Initial Public Offering, the opportunity to purchase up to such Institutional Investor’s ownership percentage of the Company, as of immediately prior to the effective time of the registration statement for such Initial Public Offering, of the number of shares of capital stock of the Company issued in the Initial Public Offering (excluding any shares attributable to any green shoe overallotment) (the “</w:t>
      </w:r>
      <w:r>
        <w:rPr>
          <w:rFonts w:ascii="Arial" w:cs="Arial" w:eastAsia="Arial" w:hAnsi="Arial"/>
          <w:sz w:val="16"/>
          <w:szCs w:val="16"/>
          <w:b w:val="1"/>
          <w:bCs w:val="1"/>
          <w:i w:val="1"/>
          <w:iCs w:val="1"/>
          <w:color w:val="auto"/>
        </w:rPr>
        <w:t>Potential IPO Opportunity</w:t>
      </w:r>
      <w:r>
        <w:rPr>
          <w:rFonts w:ascii="Arial" w:cs="Arial" w:eastAsia="Arial" w:hAnsi="Arial"/>
          <w:sz w:val="16"/>
          <w:szCs w:val="16"/>
          <w:color w:val="auto"/>
        </w:rPr>
        <w:t>”). Each Institutional Investor acknowledges and agrees that the Potential IPO Opportunity does not constitute an offer to sell securities of the Company and any sale of shares pursuant to the Potential IPO Opportunity remains at the discretion of the managing underwriter(s) to the extent such underwriter(s) reasonably determine that such Institutional Investor’s participation in the Initial Public Offering would materially and adversely affect the Initial Public Offering, and any purchase of shares pursuant to the Potential IPO Opportunity remains at the discretion of each Institutional Investor, as applicable. In the event the Company enters into a merger or other business combination or similar transaction with a special purpose acquisition company (“</w:t>
      </w:r>
      <w:r>
        <w:rPr>
          <w:rFonts w:ascii="Arial" w:cs="Arial" w:eastAsia="Arial" w:hAnsi="Arial"/>
          <w:sz w:val="16"/>
          <w:szCs w:val="16"/>
          <w:b w:val="1"/>
          <w:bCs w:val="1"/>
          <w:i w:val="1"/>
          <w:iCs w:val="1"/>
          <w:color w:val="auto"/>
        </w:rPr>
        <w:t>SPAC</w:t>
      </w:r>
      <w:r>
        <w:rPr>
          <w:rFonts w:ascii="Arial" w:cs="Arial" w:eastAsia="Arial" w:hAnsi="Arial"/>
          <w:sz w:val="16"/>
          <w:szCs w:val="16"/>
          <w:color w:val="auto"/>
        </w:rPr>
        <w:t>”) or a reverse merger with a public company (the “</w:t>
      </w:r>
      <w:r>
        <w:rPr>
          <w:rFonts w:ascii="Arial" w:cs="Arial" w:eastAsia="Arial" w:hAnsi="Arial"/>
          <w:sz w:val="16"/>
          <w:szCs w:val="16"/>
          <w:b w:val="1"/>
          <w:bCs w:val="1"/>
          <w:i w:val="1"/>
          <w:iCs w:val="1"/>
          <w:color w:val="auto"/>
        </w:rPr>
        <w:t>Public Transaction</w:t>
      </w:r>
      <w:r>
        <w:rPr>
          <w:rFonts w:ascii="Arial" w:cs="Arial" w:eastAsia="Arial" w:hAnsi="Arial"/>
          <w:sz w:val="16"/>
          <w:szCs w:val="16"/>
          <w:color w:val="auto"/>
        </w:rPr>
        <w:t>”), the Company shall permit each Institutional Investor to purchase up to an additional number of shares in the SPAC or public company, as applicable, having a value (based upon the price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332" w:name="page333"/>
    <w:bookmarkEnd w:id="332"/>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 share implied by the SPAC transaction or Public Transaction) equal to the value of such Institutional Investor’s ownership of the Company (as of immediately prior to the closing of the SPAC transaction or Public Transaction) which purchase shall be effective as of immediately prior to the closing of the Public Transaction.</w:t>
      </w:r>
    </w:p>
    <w:p>
      <w:pPr>
        <w:spacing w:after="0" w:line="18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3.7 FCPA</w:t>
      </w:r>
      <w:r>
        <w:rPr>
          <w:rFonts w:ascii="Arial" w:cs="Arial" w:eastAsia="Arial" w:hAnsi="Arial"/>
          <w:sz w:val="17"/>
          <w:szCs w:val="17"/>
          <w:color w:val="auto"/>
        </w:rPr>
        <w:t>. The Company covenants that it shall not (and shall not permit any of its subsidiaries or affiliates or any of its or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Arial" w:cs="Arial" w:eastAsia="Arial" w:hAnsi="Arial"/>
          <w:sz w:val="17"/>
          <w:szCs w:val="17"/>
          <w:b w:val="1"/>
          <w:bCs w:val="1"/>
          <w:i w:val="1"/>
          <w:iCs w:val="1"/>
          <w:color w:val="auto"/>
        </w:rPr>
        <w:t>FCPA</w:t>
      </w:r>
      <w:r>
        <w:rPr>
          <w:rFonts w:ascii="Arial" w:cs="Arial" w:eastAsia="Arial" w:hAnsi="Arial"/>
          <w:sz w:val="17"/>
          <w:szCs w:val="17"/>
          <w:color w:val="auto"/>
        </w:rPr>
        <w:t>”)), in each case, in violation of the FCPA, the U.K. Bribery Act, or any other applicable anti-bribery or anti-corruption law. The Company further covenants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covenants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related to the FCPA or any other anti-corruption law.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8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Termination of Covenants</w:t>
      </w:r>
      <w:r>
        <w:rPr>
          <w:rFonts w:ascii="Arial" w:cs="Arial" w:eastAsia="Arial" w:hAnsi="Arial"/>
          <w:sz w:val="16"/>
          <w:szCs w:val="16"/>
          <w:color w:val="auto"/>
        </w:rPr>
        <w:t>.</w:t>
      </w:r>
    </w:p>
    <w:p>
      <w:pPr>
        <w:spacing w:after="0" w:line="229" w:lineRule="exact"/>
        <w:rPr>
          <w:sz w:val="20"/>
          <w:szCs w:val="20"/>
          <w:color w:val="auto"/>
        </w:rPr>
      </w:pPr>
    </w:p>
    <w:p>
      <w:pPr>
        <w:ind w:right="40" w:firstLine="987"/>
        <w:spacing w:after="0" w:line="263" w:lineRule="auto"/>
        <w:tabs>
          <w:tab w:leader="none" w:pos="136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covenants set forth in this Section 3 shall terminate and be of no further force and effect upon the earlier of (i) immediately prior to the closing of the Company’s Initial Public Offering and (ii) immediately prior to the closing of a Deemed Liquidation Event (as defined in the Restated Certificate).</w:t>
      </w:r>
    </w:p>
    <w:p>
      <w:pPr>
        <w:spacing w:after="0" w:line="183" w:lineRule="exact"/>
        <w:rPr>
          <w:rFonts w:ascii="Arial" w:cs="Arial" w:eastAsia="Arial" w:hAnsi="Arial"/>
          <w:sz w:val="18"/>
          <w:szCs w:val="18"/>
          <w:color w:val="auto"/>
        </w:rPr>
      </w:pPr>
    </w:p>
    <w:p>
      <w:pPr>
        <w:ind w:right="160" w:firstLine="987"/>
        <w:spacing w:after="0" w:line="291" w:lineRule="auto"/>
        <w:tabs>
          <w:tab w:leader="none" w:pos="137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covenants set forth in Section 3.1 shall terminate as to each Holder and be of no further force or effect when the Company first becomes subject to the periodic reporting requirements of Sections 12 or 15(d) of the Exchange Act, if earlier than the events described in</w:t>
      </w:r>
    </w:p>
    <w:p>
      <w:pPr>
        <w:spacing w:after="0"/>
        <w:rPr>
          <w:rFonts w:ascii="Arial" w:cs="Arial" w:eastAsia="Arial" w:hAnsi="Arial"/>
          <w:sz w:val="16"/>
          <w:szCs w:val="16"/>
          <w:color w:val="auto"/>
        </w:rPr>
      </w:pPr>
      <w:r>
        <w:rPr>
          <w:rFonts w:ascii="Arial" w:cs="Arial" w:eastAsia="Arial" w:hAnsi="Arial"/>
          <w:sz w:val="18"/>
          <w:szCs w:val="18"/>
          <w:color w:val="auto"/>
        </w:rPr>
        <w:t>Section 3.8(a).</w:t>
      </w:r>
    </w:p>
    <w:p>
      <w:pPr>
        <w:spacing w:after="0" w:line="20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3.9 UC Regents</w:t>
      </w:r>
      <w:r>
        <w:rPr>
          <w:rFonts w:ascii="Arial" w:cs="Arial" w:eastAsia="Arial" w:hAnsi="Arial"/>
          <w:sz w:val="18"/>
          <w:szCs w:val="18"/>
          <w:color w:val="auto"/>
        </w:rPr>
        <w:t>. Notwithstanding anything to the contrary herein, (a) The Regents of the University of California’s (“</w:t>
      </w:r>
      <w:r>
        <w:rPr>
          <w:rFonts w:ascii="Arial" w:cs="Arial" w:eastAsia="Arial" w:hAnsi="Arial"/>
          <w:sz w:val="18"/>
          <w:szCs w:val="18"/>
          <w:b w:val="1"/>
          <w:bCs w:val="1"/>
          <w:color w:val="auto"/>
        </w:rPr>
        <w:t>UC Regents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obligations under Section 3.2 are subject to UC Regents’ obligations under the California Public Records Act and (b) the Company and each Holder hereby agree that he, she or it will not, without the prior consent of UC Regents, disclose the fact of UC Regents’ investment in the Company or any other relationship between UC Regents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33" w:name="page334"/>
    <w:bookmarkEnd w:id="333"/>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to persons or entities that are not Investors or affiliates, agents or representatives (including attorneys or accountants) of such Investor or the Company, in each case except to the extent required by applicable laws or that the foregoing is publicly known.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Right of First Refusal to Major Investors</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90" w:lineRule="auto"/>
        <w:tabs>
          <w:tab w:leader="none" w:pos="136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Without limitation of any rights of holders of Series C Preferred Stock under the Purchase Agreement, the Company hereby grants to each Major Investor the right of first refusal to purchase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New Securities (as defined in Section 4.1(b)) which the Company may, from time to time, propose to sell and issue after the date of this Agreement. A Major Investor’s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for purposes of this right of first refusal, is equal to the ratio of (i) the number of shares of Common Stock issued or issuable upon conversion of the shares of Preferred Stock then held by such Major Investor to (ii) the total number of shares of Common Stock outstanding immediately prior to the issuance of such New Securities (assuming full conversion of the Shares and full conversion or exercise of all outstanding convertible securities, rights, options and warrants). Each Major Investor shall have a right of overallotment such that if any Major Investor fails to exercise its right hereunder to purchase its full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any New Securities, the fully-participating Major Investors may purchase such remaining New Securities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w:t>
      </w:r>
    </w:p>
    <w:p>
      <w:pPr>
        <w:spacing w:after="0" w:line="165" w:lineRule="exact"/>
        <w:rPr>
          <w:rFonts w:ascii="Arial" w:cs="Arial" w:eastAsia="Arial" w:hAnsi="Arial"/>
          <w:sz w:val="16"/>
          <w:szCs w:val="16"/>
          <w:color w:val="auto"/>
        </w:rPr>
      </w:pPr>
    </w:p>
    <w:p>
      <w:pPr>
        <w:ind w:firstLine="987"/>
        <w:spacing w:after="0" w:line="257" w:lineRule="auto"/>
        <w:tabs>
          <w:tab w:leader="none" w:pos="138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xml:space="preserve">” shall mean any capital stock (including Common Stock and/or Preferred Stock) of the Company whether now authorized or not, and rights, convertible securities, options or warrants to purchase such capital stock, and securities of any type whatsoever that are, or may become, exercisable or convertible into capital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does not include: (i) securities or rights to acquire securities that are excluded from the definition of Additional Shares of Common in the Restated Certificate, and (ii) shares of Series C Preferred Stock issued pursuant to the Purchase Agreement.</w:t>
      </w:r>
    </w:p>
    <w:p>
      <w:pPr>
        <w:spacing w:after="0" w:line="187" w:lineRule="exact"/>
        <w:rPr>
          <w:rFonts w:ascii="Arial" w:cs="Arial" w:eastAsia="Arial" w:hAnsi="Arial"/>
          <w:sz w:val="18"/>
          <w:szCs w:val="18"/>
          <w:color w:val="auto"/>
        </w:rPr>
      </w:pPr>
    </w:p>
    <w:p>
      <w:pPr>
        <w:jc w:val="both"/>
        <w:ind w:firstLine="987"/>
        <w:spacing w:after="0" w:line="257" w:lineRule="auto"/>
        <w:tabs>
          <w:tab w:leader="none" w:pos="137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In the event the Company proposes to undertake an issuance of New Securities, it shall give each Major Investor written notice of its intention, describing the type of New Securities, and their price and the general terms upon which the Company proposes to issue the same. Each Major Investor shall have fifteen (15) business days after any such notice is mailed or delivered to agree to purchase such 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such New Securities for the price and upon the terms specified in the notice by giving written notice to the Company stating therein the quantity of New Securities to be purchased (including with respect to the overallotment option).</w:t>
      </w:r>
    </w:p>
    <w:p>
      <w:pPr>
        <w:spacing w:after="0" w:line="187" w:lineRule="exact"/>
        <w:rPr>
          <w:rFonts w:ascii="Arial" w:cs="Arial" w:eastAsia="Arial" w:hAnsi="Arial"/>
          <w:sz w:val="18"/>
          <w:szCs w:val="18"/>
          <w:color w:val="auto"/>
        </w:rPr>
      </w:pPr>
    </w:p>
    <w:p>
      <w:pPr>
        <w:ind w:firstLine="987"/>
        <w:spacing w:after="0" w:line="275" w:lineRule="auto"/>
        <w:tabs>
          <w:tab w:leader="none" w:pos="138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In the event the Holders fail to exercise fully the right of first refusal within said fifteen (15) business day period (the “</w:t>
      </w:r>
      <w:r>
        <w:rPr>
          <w:rFonts w:ascii="Arial" w:cs="Arial" w:eastAsia="Arial" w:hAnsi="Arial"/>
          <w:sz w:val="17"/>
          <w:szCs w:val="17"/>
          <w:b w:val="1"/>
          <w:bCs w:val="1"/>
          <w:i w:val="1"/>
          <w:iCs w:val="1"/>
          <w:color w:val="auto"/>
        </w:rPr>
        <w:t>Election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the Company shall have ninety (90) days thereafter to sell or enter into an agreement (pursuant to which the sale of New Securities covered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thereby shall be closed, if at all, within ninety (90) days from the date of said agreement) to sell that portion of the New Securities with respect to which the Major Investors’ right of first refusal option and overallotment option set forth in this Section 4.1 was not exercised, at a price and upon terms no more favorable to the purchasers thereof than specified in the Company’s notice to Major Investors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334" w:name="page335"/>
    <w:bookmarkEnd w:id="334"/>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pursuant to Section 4.1(c). In the event the Company has not sold within such ninety (90) day period following the Election Period, or such ninety (90) day period following the date of said agreement, the Company shall not thereafter issue or sell any New Securities, without first again offering such securities to the Major Investors in the manner provided in this Section 4.1.</w:t>
      </w:r>
    </w:p>
    <w:p>
      <w:pPr>
        <w:spacing w:after="0" w:line="184" w:lineRule="exact"/>
        <w:rPr>
          <w:sz w:val="20"/>
          <w:szCs w:val="20"/>
          <w:color w:val="auto"/>
        </w:rPr>
      </w:pPr>
    </w:p>
    <w:p>
      <w:pPr>
        <w:ind w:right="240" w:firstLine="987"/>
        <w:spacing w:after="0" w:line="263" w:lineRule="auto"/>
        <w:tabs>
          <w:tab w:leader="none" w:pos="136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right of first refusal granted under this Agreement shall expire upon the earlier of (i) immediately prior to the closing of the Company’s Initial Public Offering and (ii) immediately prior to, but subject to, the closing of a Deemed Liquidation Event (as defined in the Restated Certificate).</w:t>
      </w:r>
    </w:p>
    <w:p>
      <w:pPr>
        <w:spacing w:after="0" w:line="183" w:lineRule="exact"/>
        <w:rPr>
          <w:rFonts w:ascii="Arial" w:cs="Arial" w:eastAsia="Arial" w:hAnsi="Arial"/>
          <w:sz w:val="18"/>
          <w:szCs w:val="18"/>
          <w:color w:val="auto"/>
        </w:rPr>
      </w:pPr>
    </w:p>
    <w:p>
      <w:pPr>
        <w:ind w:right="200" w:firstLine="987"/>
        <w:spacing w:after="0" w:line="259" w:lineRule="auto"/>
        <w:tabs>
          <w:tab w:leader="none" w:pos="135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Notwithstanding the foregoing, the right of first refusal granted under this Agreement shall not be applicable with respect to any Major Investor if, (i) at the time of the proposed sale and issuance of New Securities, such Major Investor is not an “accredited investor” as defined in Section 501 of Regulation D of the Exchange Act and (ii) such sale and issuance of New Securities is otherwise only being offered to accredited investors.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5.1 Amendment</w:t>
      </w:r>
      <w:r>
        <w:rPr>
          <w:rFonts w:ascii="Arial" w:cs="Arial" w:eastAsia="Arial" w:hAnsi="Arial"/>
          <w:sz w:val="16"/>
          <w:szCs w:val="16"/>
          <w:color w:val="auto"/>
        </w:rPr>
        <w:t>. Except as expressly provided herein, neither this Agreement nor any term hereof may be amended, waived, discharged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terminated other than by a written instrument referencing this Agreement and signed by the Company and the Holders holding a majority of the Registrable Securities (excluding any of such shares that have been sold to the public or pursuant to Rule 144, and excluding, with respect to Section 2 (other than Sections 2.8, 2.9 and 2.10), any of such shares held by any Holders whose rights to request registration or inclusion in any registration pursuant to Section 2 have terminated in accordance with Section 2.14);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Holders purchasing Shares in a Closing under the Purchase Agreement after the Initial Closing (each as defined in the Purchase Agreement) may become parties to this Agreement by executing a counterpart of this Agreement without any amendment of this Agreement pursuant to this paragraph or any consent or approval of any other Holder;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if any amendment, waiver, discharge or termination operates in a manner that treats any Holder or class of Holders different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Holders, the consent of such Holder or class of Holders shall also be required for such amendment, waiver, discharge or termination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with respect to UC Regents, Sections 3.9 and 5.11 (solely with respect to the final sentence thereof), and this clause of this Section 5.1,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amended, waived, discharged or terminated other than by a written instrument referencing this Agreement and signed by UC Regents. Notwithstanding the foregoing, the amendment, waiver, discharge or termination of Section 3.1 and Section 4 of this Agreement shall require the written consent of the Company and the Major Investors holding a majority of the Registrable Securities then held by all Major Investors (excluding any of such shares that have been sold to the public or pursuant to Rule 144, and excluding, with respect to Section 2 (other than Sections 2.8, 2.9 and 2.10), any of such shares held by any Holders whose rights to request registration or inclusion in any registration pursuant to Section 2 have terminated in accordance with Section 2.14). Any such amendment, waiver, discharge or termination effected in accordance with this paragraph shall be binding upon each Holder and each future holder of all such securities of Holder. Each Holder acknowledges that by the operation of this paragraph, the Holders holding a majority of the Registrable Securities (excluding any of such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35" w:name="page336"/>
    <w:bookmarkEnd w:id="335"/>
    <w:p>
      <w:pPr>
        <w:jc w:val="both"/>
        <w:ind w:left="4"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that have been sold to the public or pursuant to Rule 144, and excluding, with respect to Section 2 (other than Sections 2.8, 2.9 and 2.10), any of such shares held by any Holders whose rights to request registration or inclusion in any registration pursuant to Section 2 have terminated in accordance with Section 2.14) will have the right and power to diminish or eliminate all rights of such Holder under this Agreement.</w:t>
      </w:r>
    </w:p>
    <w:p>
      <w:pPr>
        <w:spacing w:after="0" w:line="161" w:lineRule="exact"/>
        <w:rPr>
          <w:sz w:val="20"/>
          <w:szCs w:val="20"/>
          <w:color w:val="auto"/>
        </w:rPr>
      </w:pPr>
    </w:p>
    <w:p>
      <w:pPr>
        <w:jc w:val="both"/>
        <w:ind w:left="4" w:right="280" w:firstLine="440"/>
        <w:spacing w:after="0" w:line="266" w:lineRule="auto"/>
        <w:rPr>
          <w:sz w:val="20"/>
          <w:szCs w:val="20"/>
          <w:color w:val="auto"/>
        </w:rPr>
      </w:pPr>
      <w:r>
        <w:rPr>
          <w:rFonts w:ascii="Arial" w:cs="Arial" w:eastAsia="Arial" w:hAnsi="Arial"/>
          <w:sz w:val="18"/>
          <w:szCs w:val="18"/>
          <w:b w:val="1"/>
          <w:bCs w:val="1"/>
          <w:color w:val="auto"/>
        </w:rPr>
        <w:t>5.2 Notices</w:t>
      </w:r>
      <w:r>
        <w:rPr>
          <w:rFonts w:ascii="Arial" w:cs="Arial" w:eastAsia="Arial" w:hAnsi="Arial"/>
          <w:sz w:val="18"/>
          <w:szCs w:val="18"/>
          <w:color w:val="auto"/>
        </w:rPr>
        <w:t>. All notices and other communications required or permitted hereunder shall be in writing and shall be mailed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postage prepaid, sent by facsimile or electronic mail (if to an Investor or Holder) or otherwise delivered by hand, messenger or courier service addressed:</w:t>
      </w:r>
    </w:p>
    <w:p>
      <w:pPr>
        <w:spacing w:after="0" w:line="180" w:lineRule="exact"/>
        <w:rPr>
          <w:sz w:val="20"/>
          <w:szCs w:val="20"/>
          <w:color w:val="auto"/>
        </w:rPr>
      </w:pPr>
    </w:p>
    <w:p>
      <w:pPr>
        <w:ind w:left="4" w:firstLine="987"/>
        <w:spacing w:after="0" w:line="277" w:lineRule="auto"/>
        <w:tabs>
          <w:tab w:leader="none" w:pos="137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to an Investor, to the Investor’s address, facsimile number or electronic mail address as shown in the Company’s records, as may be updated in accordance with the provisions hereof;</w:t>
      </w:r>
    </w:p>
    <w:p>
      <w:pPr>
        <w:spacing w:after="0" w:line="170" w:lineRule="exact"/>
        <w:rPr>
          <w:rFonts w:ascii="Arial" w:cs="Arial" w:eastAsia="Arial" w:hAnsi="Arial"/>
          <w:sz w:val="18"/>
          <w:szCs w:val="18"/>
          <w:color w:val="auto"/>
        </w:rPr>
      </w:pPr>
    </w:p>
    <w:p>
      <w:pPr>
        <w:ind w:left="4" w:right="280" w:firstLine="987"/>
        <w:spacing w:after="0" w:line="311" w:lineRule="auto"/>
        <w:tabs>
          <w:tab w:leader="none" w:pos="138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to any Holder, to such address, facsimile number or electronic mail address or facsimile number as shown in the Company’s records, or, until any such Holder so furnishes an address, facsimile number or electronic mail address to the Company, then to the address, facsimile number or electronic mail address of the last holder of such shares for which the Company has contact information in its records; or</w:t>
      </w:r>
    </w:p>
    <w:p>
      <w:pPr>
        <w:spacing w:after="0" w:line="148" w:lineRule="exact"/>
        <w:rPr>
          <w:rFonts w:ascii="Arial" w:cs="Arial" w:eastAsia="Arial" w:hAnsi="Arial"/>
          <w:sz w:val="16"/>
          <w:szCs w:val="16"/>
          <w:color w:val="auto"/>
        </w:rPr>
      </w:pPr>
    </w:p>
    <w:p>
      <w:pPr>
        <w:jc w:val="both"/>
        <w:ind w:left="4" w:right="260" w:firstLine="987"/>
        <w:spacing w:after="0" w:line="286" w:lineRule="auto"/>
        <w:tabs>
          <w:tab w:leader="none" w:pos="137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if to the Company, to the attention of the Chief Executive Officer of the Company, at 171 Oyster Point Blvd, Suite 500, South San Francisco, CA 94080, or at such other current address as the Company shall have furnished to the Investors or Holders, with a copy (which shall not constitute notice) to Ken Clark, Wilson Sonsini Goodrich &amp; Rosati, P.C., 650 Page Mill Road, Palo Alto, CA 94304.</w:t>
      </w:r>
    </w:p>
    <w:p>
      <w:pPr>
        <w:spacing w:after="0" w:line="165"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7"/>
          <w:szCs w:val="17"/>
          <w:color w:val="auto"/>
        </w:rPr>
        <w:t>Each such notice or other communication shall for all purposes of this Agreement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Agreement or any notice delivered hereunder, the Company’s books and records will control absent fraud or error.</w:t>
      </w:r>
    </w:p>
    <w:p>
      <w:pPr>
        <w:spacing w:after="0" w:line="178"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Subject to the limitations set forth in Delaware General Corporation Law §232(e), each Investor and Holder consents to the delivery of any notice to stockholders given by the Company under the Delaware General Corporation Law or the Company’s certificate of incorporation or bylaws by</w:t>
      </w:r>
    </w:p>
    <w:p>
      <w:pPr>
        <w:ind w:left="224" w:hanging="224"/>
        <w:spacing w:after="0"/>
        <w:tabs>
          <w:tab w:leader="none" w:pos="22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facsimile telecommunication to the facsimile number set forth on Exhibit A (or to any other facsimile number for the Investor or Holder in the</w:t>
      </w:r>
    </w:p>
    <w:p>
      <w:pPr>
        <w:spacing w:after="0" w:line="20"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7"/>
          <w:szCs w:val="17"/>
          <w:color w:val="auto"/>
        </w:rPr>
        <w:t>Company’s records), (ii) electronic mail to the electronic mail address set forth on Exhibit A (or to any other electronic mail address for the Investor</w:t>
      </w:r>
    </w:p>
    <w:p>
      <w:pPr>
        <w:spacing w:after="0" w:line="15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36" w:name="page337"/>
    <w:bookmarkEnd w:id="33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Holder in the Company’s records), (iii) posting on an electronic network together with separate notice to the Investor or Holder of such specific posting or (iv) any other form of electronic transmission (as defined in the Delaware General Corporation Law) directed to the Investor or Holder. This consent may be revoked by an Investor or Holder by written notice to the Company and may be deemed revoked in the circumstances specified in Delaware General Corporation Law §232.</w:t>
      </w:r>
    </w:p>
    <w:p>
      <w:pPr>
        <w:spacing w:after="0" w:line="183"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b w:val="1"/>
          <w:bCs w:val="1"/>
          <w:color w:val="auto"/>
        </w:rPr>
        <w:t>5.3 Governing Law</w:t>
      </w:r>
      <w:r>
        <w:rPr>
          <w:rFonts w:ascii="Arial" w:cs="Arial" w:eastAsia="Arial" w:hAnsi="Arial"/>
          <w:sz w:val="17"/>
          <w:szCs w:val="17"/>
          <w:color w:val="auto"/>
        </w:rPr>
        <w:t>. This Agreement shall be governed in all respects by the internal laws of the State of Delaware as applied to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among Delaware residents to be performed entirely within Delaware, without regard to principles of conflicts of law.</w:t>
      </w:r>
    </w:p>
    <w:p>
      <w:pPr>
        <w:spacing w:after="0" w:line="140"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5.4 Successors and Assigns</w:t>
      </w:r>
      <w:r>
        <w:rPr>
          <w:rFonts w:ascii="Arial" w:cs="Arial" w:eastAsia="Arial" w:hAnsi="Arial"/>
          <w:sz w:val="16"/>
          <w:szCs w:val="16"/>
          <w:color w:val="auto"/>
        </w:rPr>
        <w:t>. This Agreement, and any and all rights, duties and obligations hereunder, shall not be assigned, transferred,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delegated or sublicensed by any Investor without the prior written consent of the Company. Any attempt by an Investor without such permission to assign, transfer, delegate or sublicense any rights, duties or obligations that arise under this Agreement shall be void. Notwithstanding the foregoing, an Investor may assign its rights hereunder to an affiliate of such Investor without the prior written consent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assignee shall promptly provide a written instrument to the Company notifying the Company of such transfer or assignment and agreeing in writing to be bound by the terms of this Agreement. Subject to the foregoing and except as otherwise provided herein, the provisions of this Agreement shall inure to the benefit of, and be binding upon, the successors, assigns, heirs, executors and administrators of the parties hereto.</w:t>
      </w:r>
    </w:p>
    <w:p>
      <w:pPr>
        <w:spacing w:after="0" w:line="161"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5.5 Entire Agreement</w:t>
      </w:r>
      <w:r>
        <w:rPr>
          <w:rFonts w:ascii="Arial" w:cs="Arial" w:eastAsia="Arial" w:hAnsi="Arial"/>
          <w:sz w:val="18"/>
          <w:szCs w:val="18"/>
          <w:color w:val="auto"/>
        </w:rPr>
        <w:t>. This Agreement and the exhibits hereto constitute the full and entire understanding and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regard to the subjects hereof, and supersedes in its entirety the Prior Rights Agreement, which shall have no further force and effect. No party hereto shall be liable or bound to any other party in any manner with regard to the subjects hereof or thereof by any warranties, representations or covenants except as specifically set forth herein.</w:t>
      </w:r>
    </w:p>
    <w:p>
      <w:pPr>
        <w:spacing w:after="0" w:line="180"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b w:val="1"/>
          <w:bCs w:val="1"/>
          <w:color w:val="auto"/>
        </w:rPr>
        <w:t>5.6 Delays or Omissions</w:t>
      </w:r>
      <w:r>
        <w:rPr>
          <w:rFonts w:ascii="Arial" w:cs="Arial" w:eastAsia="Arial" w:hAnsi="Arial"/>
          <w:sz w:val="17"/>
          <w:szCs w:val="17"/>
          <w:color w:val="auto"/>
        </w:rPr>
        <w:t>. Except as expressly provided herein, no delay or omission to exercise any right, power or remedy accruing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this Agreement upon any breach or default of any other party under this Agreement shall impair any such right, power or remedy of such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to this Agreement, shall be cumulative and not alternative.</w:t>
      </w:r>
    </w:p>
    <w:p>
      <w:pPr>
        <w:spacing w:after="0" w:line="172" w:lineRule="exact"/>
        <w:rPr>
          <w:sz w:val="20"/>
          <w:szCs w:val="20"/>
          <w:color w:val="auto"/>
        </w:rPr>
      </w:pPr>
    </w:p>
    <w:p>
      <w:pPr>
        <w:jc w:val="both"/>
        <w:ind w:right="140" w:firstLine="440"/>
        <w:spacing w:after="0" w:line="258" w:lineRule="auto"/>
        <w:rPr>
          <w:sz w:val="20"/>
          <w:szCs w:val="20"/>
          <w:color w:val="auto"/>
        </w:rPr>
      </w:pPr>
      <w:r>
        <w:rPr>
          <w:rFonts w:ascii="Arial" w:cs="Arial" w:eastAsia="Arial" w:hAnsi="Arial"/>
          <w:sz w:val="18"/>
          <w:szCs w:val="18"/>
          <w:b w:val="1"/>
          <w:bCs w:val="1"/>
          <w:color w:val="auto"/>
        </w:rPr>
        <w:t>5.7 Severability</w:t>
      </w:r>
      <w:r>
        <w:rPr>
          <w:rFonts w:ascii="Arial" w:cs="Arial" w:eastAsia="Arial" w:hAnsi="Arial"/>
          <w:sz w:val="18"/>
          <w:szCs w:val="18"/>
          <w:color w:val="auto"/>
        </w:rPr>
        <w:t>. If any provision of this Agreement becomes or is declared by a court of competent jurisdiction to be illegal,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or 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37" w:name="page338"/>
    <w:bookmarkEnd w:id="337"/>
    <w:p>
      <w:pPr>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5.8 Titles and Subtitles</w:t>
      </w:r>
      <w:r>
        <w:rPr>
          <w:rFonts w:ascii="Arial" w:cs="Arial" w:eastAsia="Arial" w:hAnsi="Arial"/>
          <w:sz w:val="18"/>
          <w:szCs w:val="18"/>
          <w:color w:val="auto"/>
        </w:rPr>
        <w:t>. The titles and subtitles used in this Agreement are used for convenience only and are not to be considered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construing or interpreting this Agreement. All references in this Agreement to sections, paragraphs and exhibits shall, unless otherwise provided, refer to sections and paragraphs hereof and exhibits attached hereto.</w:t>
      </w:r>
    </w:p>
    <w:p>
      <w:pPr>
        <w:spacing w:after="0" w:line="176"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5.9 Counterparts</w:t>
      </w:r>
      <w:r>
        <w:rPr>
          <w:rFonts w:ascii="Arial" w:cs="Arial" w:eastAsia="Arial" w:hAnsi="Arial"/>
          <w:sz w:val="18"/>
          <w:szCs w:val="18"/>
          <w:color w:val="auto"/>
        </w:rPr>
        <w:t>. This Agreement may be executed in any number of counterparts, each of which shall be enforceable against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execute such counterparts, and all of which together shall constitute one instrument.</w:t>
      </w:r>
    </w:p>
    <w:p>
      <w:pPr>
        <w:spacing w:after="0" w:line="162"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5.10 Telecopy Execution and Delivery</w:t>
      </w:r>
      <w:r>
        <w:rPr>
          <w:rFonts w:ascii="Arial" w:cs="Arial" w:eastAsia="Arial" w:hAnsi="Arial"/>
          <w:sz w:val="16"/>
          <w:szCs w:val="16"/>
          <w:color w:val="auto"/>
        </w:rPr>
        <w:t>. A facsimile, telecopy or other reproduction of this Agreement may be executed by one or more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delivered by such party by facsimile or any similar electronic transmission device pursuant to which the signature of or on behalf of such party can be seen. Such execution and delivery shall be considered valid, binding and effective for all purposes. At the request of any party hereto, all parties hereto agree to execute and deliver an original of this Agreement as well as any facsimile, telecopy or other reproduction hereof.</w:t>
      </w:r>
    </w:p>
    <w:p>
      <w:pPr>
        <w:spacing w:after="0" w:line="151" w:lineRule="exact"/>
        <w:rPr>
          <w:sz w:val="20"/>
          <w:szCs w:val="20"/>
          <w:color w:val="auto"/>
        </w:rPr>
      </w:pPr>
    </w:p>
    <w:p>
      <w:pPr>
        <w:ind w:right="260" w:firstLine="440"/>
        <w:spacing w:after="0" w:line="303" w:lineRule="auto"/>
        <w:rPr>
          <w:sz w:val="20"/>
          <w:szCs w:val="20"/>
          <w:color w:val="auto"/>
        </w:rPr>
      </w:pPr>
      <w:r>
        <w:rPr>
          <w:rFonts w:ascii="Arial" w:cs="Arial" w:eastAsia="Arial" w:hAnsi="Arial"/>
          <w:sz w:val="16"/>
          <w:szCs w:val="16"/>
          <w:b w:val="1"/>
          <w:bCs w:val="1"/>
          <w:color w:val="auto"/>
        </w:rPr>
        <w:t>5.11 Jurisdiction; Venue</w:t>
      </w:r>
      <w:r>
        <w:rPr>
          <w:rFonts w:ascii="Arial" w:cs="Arial" w:eastAsia="Arial" w:hAnsi="Arial"/>
          <w:sz w:val="16"/>
          <w:szCs w:val="16"/>
          <w:color w:val="auto"/>
        </w:rPr>
        <w:t>. With respect to any disputes arising out of or related to this Agreement, each of the parties hereto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consents to the exclusive jurisdiction of, and venue in, the courts of the State of Delaware and the United States District Court for the District of Delaware. Notwithstanding the foregoing, the parties hereto acknowledge and agree that UC Regents, as an instrumentality of the State of California, maintains its rights under the Eleventh Amendment of the United States Constitution to decline to be sued in United States federal courts.</w:t>
      </w:r>
    </w:p>
    <w:p>
      <w:pPr>
        <w:spacing w:after="0" w:line="151"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5.12 Further Assurances</w:t>
      </w:r>
      <w:r>
        <w:rPr>
          <w:rFonts w:ascii="Arial" w:cs="Arial" w:eastAsia="Arial" w:hAnsi="Arial"/>
          <w:sz w:val="18"/>
          <w:szCs w:val="18"/>
          <w:color w:val="auto"/>
        </w:rPr>
        <w:t>. Each party hereto agrees to execute and deliver, by the proper exercise of its corporate,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other powers, all such other and additional instruments and documents and do all such other acts and things as may be necessary to more fully effectuate this Agreement.</w:t>
      </w:r>
    </w:p>
    <w:p>
      <w:pPr>
        <w:spacing w:after="0" w:line="176"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5.13 Conflict</w:t>
      </w:r>
      <w:r>
        <w:rPr>
          <w:rFonts w:ascii="Arial" w:cs="Arial" w:eastAsia="Arial" w:hAnsi="Arial"/>
          <w:sz w:val="18"/>
          <w:szCs w:val="18"/>
          <w:color w:val="auto"/>
        </w:rPr>
        <w:t>. In the event of any conflict between the terms of this Agreement and the Restated Certificate or its bylaws,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Certificate or its bylaws, as the case may be, will control.</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Arial" w:cs="Arial" w:eastAsia="Arial" w:hAnsi="Arial"/>
          <w:sz w:val="18"/>
          <w:szCs w:val="18"/>
          <w:b w:val="1"/>
          <w:bCs w:val="1"/>
          <w:color w:val="auto"/>
        </w:rPr>
        <w:t>5.14 Attorney’s Fees</w:t>
      </w:r>
      <w:r>
        <w:rPr>
          <w:rFonts w:ascii="Arial" w:cs="Arial" w:eastAsia="Arial" w:hAnsi="Arial"/>
          <w:sz w:val="18"/>
          <w:szCs w:val="18"/>
          <w:color w:val="auto"/>
        </w:rPr>
        <w:t>. In the event that any suit or action is instituted to enforce any provisions in this Agreement, the prevailing party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80"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5.15 Aggregation of Stock</w:t>
      </w:r>
      <w:r>
        <w:rPr>
          <w:rFonts w:ascii="Arial" w:cs="Arial" w:eastAsia="Arial" w:hAnsi="Arial"/>
          <w:sz w:val="18"/>
          <w:szCs w:val="18"/>
          <w:color w:val="auto"/>
        </w:rPr>
        <w:t>. All securities held or acquired by affiliated entities (including affiliated venture capital funds) or persons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aggregated together for purposes of determining the availability of any rights under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338" w:name="page339"/>
    <w:bookmarkEnd w:id="3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TENAYA THERAPEUTICS,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Faraz Ali, Chief Executive Officer</w:t>
      </w:r>
    </w:p>
    <w:p>
      <w:pPr>
        <w:spacing w:after="0" w:line="23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39" w:name="page340"/>
    <w:bookmarkEnd w:id="3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are signing this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Roderick Wong, M.D., Director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RTW INNOVATION MASTER FUND, LTD.</w:t>
      </w:r>
    </w:p>
    <w:p>
      <w:pPr>
        <w:spacing w:after="0" w:line="225"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Roderick Wong, M.D., Director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RTW VENTURE FUND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RTW Investments, LP, its Investment Manager</w:t>
      </w:r>
    </w:p>
    <w:p>
      <w:pPr>
        <w:spacing w:after="0" w:line="248"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Roderick Wong, M.D., Managing Partner</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900"/>
          </w:cols>
          <w:pgMar w:left="880" w:top="274" w:right="1119" w:bottom="1440" w:gutter="0" w:footer="0" w:header="0"/>
        </w:sectPr>
      </w:pPr>
    </w:p>
    <w:bookmarkStart w:id="340" w:name="page341"/>
    <w:bookmarkEnd w:id="3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By: RA Capital Healthcare Fund GP, LLC, its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Rajeev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740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Rajeev Smith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 CAPITAL NEXUS FUND II,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RA Capital Nexus Fund II GP, LLC, its</w:t>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Rajeev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740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Rajeev Smith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41" w:name="page342"/>
    <w:bookmarkEnd w:id="3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COLUMN GROUP III,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The Column Group III GP, LP, its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The Column Group, LLC, its General</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James Evangelista, CFO</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42" w:name="page343"/>
    <w:bookmarkEnd w:id="3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COLUMN GROUP III-A,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The Column Group III GP, LP, its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The Column Group, LLC, its General</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James Evangelista, CFO</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43" w:name="page344"/>
    <w:bookmarkEnd w:id="3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FIDELITY ADVISOR SERIES VII: FIDELITY</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ADVISOR BIOTECHNOLOGY FUND</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660"/>
          </w:cols>
          <w:pgMar w:left="880" w:top="274" w:right="1359" w:bottom="1440" w:gutter="0" w:footer="0" w:header="0"/>
        </w:sectPr>
      </w:pPr>
    </w:p>
    <w:bookmarkStart w:id="344" w:name="page345"/>
    <w:bookmarkEnd w:id="3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FIDELITY SELECT PORTFOLIOS: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BIOTECHNOLOGY PORTFOLIO</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45" w:name="page346"/>
    <w:bookmarkEnd w:id="3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GREENLAND NFP B LTD.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Euclidean Capital LLC, its Manager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Monique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Monique Miller, Senior Vice President</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46" w:name="page347"/>
    <w:bookmarkEnd w:id="34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WAYCROSS VENTURES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Brook Byers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Brook Byers, Managing Member</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47" w:name="page348"/>
    <w:bookmarkEnd w:id="3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CASDIN PARTNERS MASTER FUND, L.P.</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Casdin Partners GP, LLC, its General</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Kevin O’Brien, General Counsel</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48" w:name="page349"/>
    <w:bookmarkEnd w:id="3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CASDIN PRIVATE GROWTH EQUITY FUND, L.P.</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Casdin Private Growth Equity Fund GP,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LLC, its 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Kevin O’Brien, General Counsel</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10060"/>
          </w:cols>
          <w:pgMar w:left="880" w:top="274" w:right="959" w:bottom="1440" w:gutter="0" w:footer="0" w:header="0"/>
        </w:sectPr>
      </w:pPr>
    </w:p>
    <w:bookmarkStart w:id="349" w:name="page350"/>
    <w:bookmarkEnd w:id="3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SYMBIOSIS II,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Erron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740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Erron Smith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Secretary</w:t>
      </w:r>
    </w:p>
    <w:p>
      <w:pPr>
        <w:spacing w:after="0" w:line="14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50" w:name="page351"/>
    <w:bookmarkEnd w:id="3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HARVARD MANAGEMENT PRIVATE EQUITY</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Richard Slocum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740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Richard Slocum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Kathryn Murtagh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740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Kathryn Murtagh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840"/>
          </w:cols>
          <w:pgMar w:left="880" w:top="274" w:right="1179" w:bottom="1440" w:gutter="0" w:footer="0" w:header="0"/>
        </w:sectPr>
      </w:pPr>
    </w:p>
    <w:bookmarkStart w:id="351" w:name="page352"/>
    <w:bookmarkEnd w:id="3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GV 2019,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GV 2019 GP, L.P., its General Partner</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GV 2019 GP, L.L.C., its General Partner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Daphne M.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Daphne M. Chang, Authorized Signatory</w:t>
      </w:r>
    </w:p>
    <w:p>
      <w:pPr>
        <w:spacing w:after="0" w:line="15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52" w:name="page353"/>
    <w:bookmarkEnd w:id="35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HARTFORD HEALTHCARE ENDOWMENT, LLC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David J.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David J. Holmgren, Chief Investment Officer</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10000"/>
          </w:cols>
          <w:pgMar w:left="880" w:top="274" w:right="101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HARTFORD HEALTHCARE CORPORATION DEFINED</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BENEFIT MASTER TRUST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David J.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David J. Holmgren, Chief Investment Officer</w:t>
      </w:r>
    </w:p>
    <w:p>
      <w:pPr>
        <w:spacing w:after="0" w:line="15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10480"/>
          </w:cols>
          <w:pgMar w:left="880" w:top="274" w:right="5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GREENSPRING EARLY STAGE I, L.P.</w:t>
      </w:r>
    </w:p>
    <w:p>
      <w:pPr>
        <w:spacing w:after="0" w:line="225" w:lineRule="exact"/>
        <w:rPr>
          <w:sz w:val="20"/>
          <w:szCs w:val="20"/>
          <w:color w:val="auto"/>
        </w:rPr>
      </w:pPr>
    </w:p>
    <w:p>
      <w:pPr>
        <w:jc w:val="right"/>
        <w:ind w:right="1580"/>
        <w:spacing w:after="0"/>
        <w:tabs>
          <w:tab w:leader="none" w:pos="3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Early Stage General</w:t>
      </w:r>
    </w:p>
    <w:p>
      <w:pPr>
        <w:spacing w:after="0" w:line="23"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Partner I, L.P., its general partner</w:t>
      </w:r>
    </w:p>
    <w:p>
      <w:pPr>
        <w:spacing w:after="0" w:line="211"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Early Stage GP I, LLC, its general partner</w:t>
      </w:r>
    </w:p>
    <w:p>
      <w:pPr>
        <w:spacing w:after="0" w:line="225"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Associates, LLC, its sole member</w:t>
      </w:r>
    </w:p>
    <w:p>
      <w:pPr>
        <w:spacing w:after="0" w:line="225"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14605</wp:posOffset>
            </wp:positionV>
            <wp:extent cx="25374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Eric Thompson, Chief Operating Officer</w:t>
      </w:r>
    </w:p>
    <w:p>
      <w:pPr>
        <w:spacing w:after="0" w:line="15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10540"/>
          </w:cols>
          <w:pgMar w:left="880" w:top="274" w:right="47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GREENSPRING EARLY STAGE I-G, L.P.</w:t>
      </w:r>
    </w:p>
    <w:p>
      <w:pPr>
        <w:spacing w:after="0" w:line="225" w:lineRule="exact"/>
        <w:rPr>
          <w:sz w:val="20"/>
          <w:szCs w:val="20"/>
          <w:color w:val="auto"/>
        </w:rPr>
      </w:pPr>
    </w:p>
    <w:p>
      <w:pPr>
        <w:jc w:val="right"/>
        <w:ind w:right="1580"/>
        <w:spacing w:after="0"/>
        <w:tabs>
          <w:tab w:leader="none" w:pos="3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Early Stage General</w:t>
      </w:r>
    </w:p>
    <w:p>
      <w:pPr>
        <w:spacing w:after="0" w:line="23"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Partner I, L.P., its general partner</w:t>
      </w:r>
    </w:p>
    <w:p>
      <w:pPr>
        <w:spacing w:after="0" w:line="211"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Early Stage GP I, LLC, its general partner</w:t>
      </w:r>
    </w:p>
    <w:p>
      <w:pPr>
        <w:spacing w:after="0" w:line="225"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Associates, LLC, its sole member</w:t>
      </w:r>
    </w:p>
    <w:p>
      <w:pPr>
        <w:spacing w:after="0" w:line="225"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14605</wp:posOffset>
            </wp:positionV>
            <wp:extent cx="25374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Eric Thompson, Chief Operating Officer</w:t>
      </w:r>
    </w:p>
    <w:p>
      <w:pPr>
        <w:spacing w:after="0" w:line="15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10540"/>
          </w:cols>
          <w:pgMar w:left="880" w:top="274" w:right="47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 Rowe Price Health Sciences Fund,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TD Mutual Funds – TD Health Sciences Fund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 Rowe Price Health Sciences Portfolio</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Each account, severally not jointly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 Rowe Price Associates, Inc., Investment Adviser or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Subadviser, as applicable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Baek</w:t>
      </w:r>
    </w:p>
    <w:p>
      <w:pPr>
        <w:spacing w:after="0" w:line="23" w:lineRule="exact"/>
        <w:rPr>
          <w:sz w:val="20"/>
          <w:szCs w:val="20"/>
          <w:color w:val="auto"/>
        </w:rPr>
      </w:pPr>
    </w:p>
    <w:p>
      <w:pPr>
        <w:jc w:val="both"/>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ind w:righ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10440"/>
          </w:cols>
          <w:pgMar w:left="880" w:top="274" w:right="57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 Rowe Price New Horizons Fund,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 Rowe Price New Horizons Trust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 Rowe Price U.S. Equities Trust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MassMutual Select Funds – MassMutual Select T. Rowe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Price Small and Mid Cap Blend Fund</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Each account, severally not jointly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T. Rowe Price Associates, Inc., Investment Adviser or</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Subadviser, as applicable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Baek</w:t>
      </w:r>
    </w:p>
    <w:p>
      <w:pPr>
        <w:spacing w:after="0" w:line="23" w:lineRule="exact"/>
        <w:rPr>
          <w:sz w:val="20"/>
          <w:szCs w:val="20"/>
          <w:color w:val="auto"/>
        </w:rPr>
      </w:pPr>
    </w:p>
    <w:p>
      <w:pPr>
        <w:jc w:val="both"/>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ind w:righ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10480"/>
          </w:cols>
          <w:pgMar w:left="880" w:top="274" w:right="53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THE TRUSTEES OF COLUMBIA UNIVERSITY IN THE</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CITY OF NEW YORK</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Julius Mercado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Printed Name: Julius Mercado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COO, Columbia Investment Mgmt Co., LLC</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10480"/>
          </w:cols>
          <w:pgMar w:left="880" w:top="274" w:right="539" w:bottom="1440" w:gutter="0" w:footer="0" w:header="0"/>
        </w:sectPr>
      </w:pPr>
    </w:p>
    <w:bookmarkStart w:id="359" w:name="page360"/>
    <w:bookmarkEnd w:id="3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GREENLAND FP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Euclidean Capital LLC, its Manager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Monique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Monique Miller, Senior Vice President</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60" w:name="page361"/>
    <w:bookmarkEnd w:id="36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480"/>
        <w:spacing w:after="0"/>
        <w:rPr>
          <w:sz w:val="20"/>
          <w:szCs w:val="20"/>
          <w:color w:val="auto"/>
        </w:rPr>
      </w:pPr>
      <w:r>
        <w:rPr>
          <w:rFonts w:ascii="Arial" w:cs="Arial" w:eastAsia="Arial" w:hAnsi="Arial"/>
          <w:sz w:val="17"/>
          <w:szCs w:val="17"/>
          <w:color w:val="auto"/>
        </w:rPr>
        <w:t>SCHRODER ADVEQ TECHNOLOGY IX S.C.S.</w:t>
      </w:r>
    </w:p>
    <w:p>
      <w:pPr>
        <w:spacing w:after="0" w:line="23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Schroder Adveq Management</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Luxembourg S.à r.l., its General Partner</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 Viswanathan Parameswar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14605</wp:posOffset>
            </wp:positionV>
            <wp:extent cx="237426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Printed Name: Viswanathan Parameswar</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 Mark Nieuwenhuis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14605</wp:posOffset>
            </wp:positionV>
            <wp:extent cx="237426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Printed Name: Mark Nieuwenhuis</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10120"/>
          </w:cols>
          <w:pgMar w:left="880" w:top="274" w:right="899" w:bottom="1440" w:gutter="0" w:footer="0" w:header="0"/>
        </w:sectPr>
      </w:pPr>
    </w:p>
    <w:bookmarkStart w:id="361" w:name="page362"/>
    <w:bookmarkEnd w:id="3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THE REGENTS OF THE UNIVERSITY OF</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CALIFORNIA</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Jagdeep Singh Bachher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Printed Name: Jagdeep Singh Bachher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Investment Officer</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Amended and Restated Investors’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62" w:name="page363"/>
    <w:bookmarkEnd w:id="362"/>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NEXUS FUND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ROWE PRICE NEW HORIZONS FUND,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ROWE PRICE NEW HORIZONS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ROWE PRICE U.S. EQUITIES TRUST</w:t>
      </w:r>
    </w:p>
    <w:p>
      <w:pPr>
        <w:spacing w:after="0" w:line="225" w:lineRule="exact"/>
        <w:rPr>
          <w:sz w:val="20"/>
          <w:szCs w:val="20"/>
          <w:color w:val="auto"/>
        </w:rPr>
      </w:pPr>
    </w:p>
    <w:p>
      <w:pPr>
        <w:ind w:right="899"/>
        <w:spacing w:after="0" w:line="500" w:lineRule="auto"/>
        <w:rPr>
          <w:sz w:val="20"/>
          <w:szCs w:val="20"/>
          <w:color w:val="auto"/>
        </w:rPr>
      </w:pPr>
      <w:r>
        <w:rPr>
          <w:rFonts w:ascii="Arial" w:cs="Arial" w:eastAsia="Arial" w:hAnsi="Arial"/>
          <w:sz w:val="18"/>
          <w:szCs w:val="18"/>
          <w:color w:val="auto"/>
        </w:rPr>
        <w:t>MASSMUTUAL SELECT FUNDS - MASS MUTUAL SELECT T. ROWE PRICE SMALL AND MID CAP BLEND FUND T. ROWE PRICE HEALTH SCIENCES FUND,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TD MUTUAL FUNDS - TD HEALTH SCIENCES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T.ROWE PRICE HEALTH SCIENCES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III-A, L.P.</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GRANT HEIDRICH III AND JEANNETTE YVONNE HEIDRICH COMMUNITY PROPERTY TRUST, UDT AUGUST 9, 1984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JEENJOO KANG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WAYCROSS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CASDIN PARTNERS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CASDIN PRIVATE GROWTH EQUITY FUND, L.P.</w:t>
      </w:r>
    </w:p>
    <w:p>
      <w:pPr>
        <w:sectPr>
          <w:pgSz w:w="11900" w:h="16838" w:orient="portrait"/>
          <w:cols w:equalWidth="0" w:num="1">
            <w:col w:w="10019"/>
          </w:cols>
          <w:pgMar w:left="440" w:top="274" w:right="1440"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SYMBIOSIS 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GV 2019,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HEALTHCARE ENDOWMENT, LLC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HARTFORD HEALTHCARE CORPORATION DEFINED BENEFIT MASTER TRUST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GREENSPRING EARLY STAGE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GREENSPRING EARLY STAGE I-G,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UNIVERSITY OF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GREENLAND FP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GREENLAND NFP B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SCHRODER ADVEQ TECHNOLOGY IX S.C.S.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SCHRODER ADVEQ TECHNOLOGY VIII L.P.</w:t>
      </w:r>
    </w:p>
    <w:p>
      <w:pPr>
        <w:spacing w:after="0" w:line="225" w:lineRule="exact"/>
        <w:rPr>
          <w:sz w:val="20"/>
          <w:szCs w:val="20"/>
          <w:color w:val="auto"/>
        </w:rPr>
      </w:pPr>
    </w:p>
    <w:p>
      <w:pPr>
        <w:ind w:right="3959"/>
        <w:spacing w:after="0" w:line="500" w:lineRule="auto"/>
        <w:rPr>
          <w:sz w:val="20"/>
          <w:szCs w:val="20"/>
          <w:color w:val="auto"/>
        </w:rPr>
      </w:pPr>
      <w:r>
        <w:rPr>
          <w:rFonts w:ascii="Arial" w:cs="Arial" w:eastAsia="Arial" w:hAnsi="Arial"/>
          <w:sz w:val="18"/>
          <w:szCs w:val="18"/>
          <w:color w:val="auto"/>
        </w:rPr>
        <w:t>THE TRUSTEES OF COLUMBIA UNIVERSITY IN THE CITY OF NEW YORK HARVARD MANAGEMENT PRIVATE EQUITY CORPORATION RTW MASTER FUND, LTD.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RTW INNOVATION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RTW VENTURE FUND LIMITED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FIDELITY ADVISOR SERIES VII: FIDELITY ADVISOR BIOTECHNOLOGY FUND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FIDELITY SELECT PORTFOLIOS: BIOTECHNOLOGY PORTFOLIO</w:t>
      </w:r>
    </w:p>
    <w:p>
      <w:pPr>
        <w:sectPr>
          <w:pgSz w:w="11900" w:h="16838" w:orient="portrait"/>
          <w:cols w:equalWidth="0" w:num="1">
            <w:col w:w="10019"/>
          </w:cols>
          <w:pgMar w:left="440" w:top="274" w:right="1440"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This License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dated as of January 10, 2020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The Board of Regents</w:t>
      </w:r>
    </w:p>
    <w:p>
      <w:pPr>
        <w:spacing w:after="0" w:line="3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of the University of Texas System (“</w:t>
      </w:r>
      <w:r>
        <w:rPr>
          <w:rFonts w:ascii="Arial" w:cs="Arial" w:eastAsia="Arial" w:hAnsi="Arial"/>
          <w:sz w:val="18"/>
          <w:szCs w:val="18"/>
          <w:b w:val="1"/>
          <w:bCs w:val="1"/>
          <w:color w:val="auto"/>
        </w:rPr>
        <w:t>System</w:t>
      </w:r>
      <w:r>
        <w:rPr>
          <w:rFonts w:ascii="Arial" w:cs="Arial" w:eastAsia="Arial" w:hAnsi="Arial"/>
          <w:sz w:val="18"/>
          <w:szCs w:val="18"/>
          <w:color w:val="auto"/>
        </w:rPr>
        <w:t>”), an agency of the State of Texas, on behalf of The University of Texas Southwestern Medical Center (“</w:t>
      </w:r>
      <w:r>
        <w:rPr>
          <w:rFonts w:ascii="Arial" w:cs="Arial" w:eastAsia="Arial" w:hAnsi="Arial"/>
          <w:sz w:val="18"/>
          <w:szCs w:val="18"/>
          <w:b w:val="1"/>
          <w:bCs w:val="1"/>
          <w:color w:val="auto"/>
        </w:rPr>
        <w:t>UT Southwestern</w:t>
      </w:r>
      <w:r>
        <w:rPr>
          <w:rFonts w:ascii="Arial" w:cs="Arial" w:eastAsia="Arial" w:hAnsi="Arial"/>
          <w:sz w:val="18"/>
          <w:szCs w:val="18"/>
          <w:color w:val="auto"/>
        </w:rPr>
        <w:t>”), a component institution of System (“</w:t>
      </w:r>
      <w:r>
        <w:rPr>
          <w:rFonts w:ascii="Arial" w:cs="Arial" w:eastAsia="Arial" w:hAnsi="Arial"/>
          <w:sz w:val="18"/>
          <w:szCs w:val="18"/>
          <w:b w:val="1"/>
          <w:bCs w:val="1"/>
          <w:color w:val="auto"/>
        </w:rPr>
        <w:t>Licensor</w:t>
      </w:r>
      <w:r>
        <w:rPr>
          <w:rFonts w:ascii="Arial" w:cs="Arial" w:eastAsia="Arial" w:hAnsi="Arial"/>
          <w:sz w:val="18"/>
          <w:szCs w:val="18"/>
          <w:color w:val="auto"/>
        </w:rPr>
        <w:t>”), and Tenaya Therapeutics, Inc., a Delaware corporation (“</w:t>
      </w:r>
      <w:r>
        <w:rPr>
          <w:rFonts w:ascii="Arial" w:cs="Arial" w:eastAsia="Arial" w:hAnsi="Arial"/>
          <w:sz w:val="18"/>
          <w:szCs w:val="18"/>
          <w:b w:val="1"/>
          <w:bCs w:val="1"/>
          <w:color w:val="auto"/>
        </w:rPr>
        <w:t>Licensee</w:t>
      </w:r>
      <w:r>
        <w:rPr>
          <w:rFonts w:ascii="Arial" w:cs="Arial" w:eastAsia="Arial" w:hAnsi="Arial"/>
          <w:sz w:val="18"/>
          <w:szCs w:val="18"/>
          <w:color w:val="auto"/>
        </w:rPr>
        <w:t>”). Licensor and Licensee may be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Licensor owns and controls certain innovative technology relating to therapeutics overexpressing the peptide named Dwarf Open</w:t>
      </w:r>
      <w:r>
        <w:rPr>
          <w:rFonts w:ascii="Arial" w:cs="Arial" w:eastAsia="Arial" w:hAnsi="Arial"/>
          <w:sz w:val="18"/>
          <w:szCs w:val="18"/>
          <w:b w:val="1"/>
          <w:bCs w:val="1"/>
          <w:color w:val="auto"/>
        </w:rPr>
        <w:t xml:space="preserve"> </w:t>
      </w:r>
      <w:r>
        <w:rPr>
          <w:rFonts w:ascii="Arial" w:cs="Arial" w:eastAsia="Arial" w:hAnsi="Arial"/>
          <w:sz w:val="18"/>
          <w:szCs w:val="18"/>
          <w:color w:val="auto"/>
        </w:rPr>
        <w:t>Reading Frame (“</w:t>
      </w:r>
      <w:r>
        <w:rPr>
          <w:rFonts w:ascii="Arial" w:cs="Arial" w:eastAsia="Arial" w:hAnsi="Arial"/>
          <w:sz w:val="18"/>
          <w:szCs w:val="18"/>
          <w:b w:val="1"/>
          <w:bCs w:val="1"/>
          <w:color w:val="auto"/>
        </w:rPr>
        <w:t>DWORF Technology</w:t>
      </w:r>
      <w:r>
        <w:rPr>
          <w:rFonts w:ascii="Arial" w:cs="Arial" w:eastAsia="Arial" w:hAnsi="Arial"/>
          <w:sz w:val="18"/>
          <w:szCs w:val="18"/>
          <w:color w:val="auto"/>
        </w:rPr>
        <w:t>”);</w:t>
      </w:r>
    </w:p>
    <w:p>
      <w:pPr>
        <w:spacing w:after="0" w:line="162"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Licensor desires to license Licensor’s patent rights in such DWORF Technology, in a manner that will benefit the public and best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facilitate the distribution of useful products and the utilization of new technology, and where such is consistent with Licensor’s educational and research missions and goals; and</w:t>
      </w:r>
    </w:p>
    <w:p>
      <w:pPr>
        <w:spacing w:after="0" w:line="176" w:lineRule="exact"/>
        <w:rPr>
          <w:sz w:val="20"/>
          <w:szCs w:val="20"/>
          <w:color w:val="auto"/>
        </w:rPr>
      </w:pPr>
    </w:p>
    <w:p>
      <w:pPr>
        <w:ind w:right="20" w:firstLine="440"/>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Licensee desires to license from Licensor, on an exclusive basis, the DWORF Technology, including Licensor’s patent rights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DWORF Technology, to develop, manufacture and commercialize such DWORF Technology, all on the terms and conditions of this Agreement.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various promises and undertakings set forth herein, the Parties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127"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Accounting Standards</w:t>
      </w:r>
      <w:r>
        <w:rPr>
          <w:rFonts w:ascii="Arial" w:cs="Arial" w:eastAsia="Arial" w:hAnsi="Arial"/>
          <w:sz w:val="18"/>
          <w:szCs w:val="18"/>
          <w:color w:val="auto"/>
        </w:rPr>
        <w:t>” means either GAAP or International Financial Reporting Standards (“</w:t>
      </w:r>
      <w:r>
        <w:rPr>
          <w:rFonts w:ascii="Arial" w:cs="Arial" w:eastAsia="Arial" w:hAnsi="Arial"/>
          <w:sz w:val="18"/>
          <w:szCs w:val="18"/>
          <w:b w:val="1"/>
          <w:bCs w:val="1"/>
          <w:color w:val="auto"/>
        </w:rPr>
        <w:t>IFRS</w:t>
      </w:r>
      <w:r>
        <w:rPr>
          <w:rFonts w:ascii="Arial" w:cs="Arial" w:eastAsia="Arial" w:hAnsi="Arial"/>
          <w:sz w:val="18"/>
          <w:szCs w:val="18"/>
          <w:color w:val="auto"/>
        </w:rPr>
        <w:t>”), as applicable to the Selling Party, in each case applied on a consistent basis.</w:t>
      </w:r>
    </w:p>
    <w:p>
      <w:pPr>
        <w:spacing w:after="0" w:line="67" w:lineRule="exact"/>
        <w:rPr>
          <w:sz w:val="20"/>
          <w:szCs w:val="20"/>
          <w:color w:val="auto"/>
        </w:rPr>
      </w:pPr>
    </w:p>
    <w:p>
      <w:pPr>
        <w:ind w:left="540" w:right="360" w:hanging="539"/>
        <w:spacing w:after="0" w:line="282"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Achievement Date</w:t>
      </w:r>
      <w:r>
        <w:rPr>
          <w:rFonts w:ascii="Arial" w:cs="Arial" w:eastAsia="Arial" w:hAnsi="Arial"/>
          <w:sz w:val="18"/>
          <w:szCs w:val="18"/>
          <w:color w:val="auto"/>
        </w:rPr>
        <w:t>” means, with respect to a Diligence Event, the corresponding date such Diligence Event is to be achieved subject to the provision of Section 3.2.1 below.</w:t>
      </w:r>
    </w:p>
    <w:p>
      <w:pPr>
        <w:spacing w:after="0" w:line="67"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that controls, is controlled by or is under common control with a Party, but only for so long as such control exists. For the purposes of this Section 1.3, the word “control” (including, with correlative meaning, the terms “controlled by” or “under the common control with”) means the actual power, either directly or indirectly through one or more intermediaries, to direct the management and policies of such Person or entity, whether by the ownership of more than fifty percent (50%) of the voting stock of such entity, or by contract or otherwise. Notwithstanding the foregoing, [***] and any other entity controlled by [***] that is not controlled by Licensee shall not be deemed Affiliates of Licensee for purposes of this Agreement.</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Net Sales</w:t>
      </w:r>
      <w:r>
        <w:rPr>
          <w:rFonts w:ascii="Arial" w:cs="Arial" w:eastAsia="Arial" w:hAnsi="Arial"/>
          <w:sz w:val="16"/>
          <w:szCs w:val="16"/>
          <w:color w:val="auto"/>
        </w:rPr>
        <w:t>” means the total Net Sales of all Products sold in a particular calendar year.</w:t>
      </w:r>
    </w:p>
    <w:p>
      <w:pPr>
        <w:sectPr>
          <w:pgSz w:w="11900" w:h="16838" w:orient="portrait"/>
          <w:cols w:equalWidth="0" w:num="1">
            <w:col w:w="11020"/>
          </w:cols>
          <w:pgMar w:left="440" w:top="121" w:right="439" w:bottom="1440" w:gutter="0" w:footer="0" w:header="0"/>
        </w:sectPr>
      </w:pPr>
    </w:p>
    <w:bookmarkStart w:id="365" w:name="page366"/>
    <w:bookmarkEnd w:id="36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BLA</w:t>
      </w:r>
      <w:r>
        <w:rPr>
          <w:rFonts w:ascii="Arial" w:cs="Arial" w:eastAsia="Arial" w:hAnsi="Arial"/>
          <w:sz w:val="16"/>
          <w:szCs w:val="16"/>
          <w:color w:val="auto"/>
        </w:rPr>
        <w:t>” means (a) a biologics license application as that term is used in and defined in the PHS Act and the regulations promulgated thereunder,</w:t>
      </w:r>
    </w:p>
    <w:p>
      <w:pPr>
        <w:spacing w:after="0" w:line="27" w:lineRule="exact"/>
        <w:rPr>
          <w:sz w:val="20"/>
          <w:szCs w:val="20"/>
          <w:color w:val="auto"/>
        </w:rPr>
      </w:pPr>
    </w:p>
    <w:p>
      <w:pPr>
        <w:ind w:left="540" w:right="80" w:hanging="4"/>
        <w:spacing w:after="0" w:line="260" w:lineRule="auto"/>
        <w:tabs>
          <w:tab w:leader="none" w:pos="79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marketing authorization application in the European Union, or (c) any equivalent or comparable application, registration or certification in any other country or region.</w:t>
      </w:r>
    </w:p>
    <w:p>
      <w:pPr>
        <w:spacing w:after="0" w:line="87" w:lineRule="exact"/>
        <w:rPr>
          <w:sz w:val="20"/>
          <w:szCs w:val="20"/>
          <w:color w:val="auto"/>
        </w:rPr>
      </w:pPr>
    </w:p>
    <w:p>
      <w:pPr>
        <w:ind w:left="540" w:hanging="539"/>
        <w:spacing w:after="0" w:line="281"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b w:val="1"/>
          <w:bCs w:val="1"/>
          <w:color w:val="auto"/>
        </w:rPr>
        <w:t xml:space="preserve">“cGMP” </w:t>
      </w:r>
      <w:r>
        <w:rPr>
          <w:rFonts w:ascii="Arial" w:cs="Arial" w:eastAsia="Arial" w:hAnsi="Arial"/>
          <w:sz w:val="17"/>
          <w:szCs w:val="17"/>
          <w:color w:val="auto"/>
        </w:rPr>
        <w:t>means those current good manufacturing practices and standards, as amended from time to time, related to the manufacture of</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 products as provided for in 21 United States Code of Federal Regulations § 210 and § 211 et seq., § 600 and § 610 or the European Community Guide to Good Manufacturing Practice in the production of pharmaceutical products, or equivalent guidelines, regulations and standards in any other jurisdiction, as such guidelines, regulations and standards may be amended from time to time.</w:t>
      </w:r>
    </w:p>
    <w:p>
      <w:pPr>
        <w:spacing w:after="0" w:line="70" w:lineRule="exact"/>
        <w:rPr>
          <w:sz w:val="20"/>
          <w:szCs w:val="20"/>
          <w:color w:val="auto"/>
        </w:rPr>
      </w:pPr>
    </w:p>
    <w:p>
      <w:pPr>
        <w:ind w:left="540" w:right="60" w:hanging="539"/>
        <w:spacing w:after="0" w:line="285" w:lineRule="auto"/>
        <w:tabs>
          <w:tab w:leader="none" w:pos="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any of the following events following the Effective Date of the Agreement: (a) any Third Party (excluding any existing stockholder of Licensee as of the Effective Date) becoming the owner, directly or indirectly, of more than fifty percent (50%) of the total voting power (on an as converted basis) of the equity units or other interests of Licensee then outstanding that are normally entitled to vote in the election of directors of Licensee other than in connection with a financing or series of financing transactions; (b) the merger, consolidation or amalgamation of Licensee with or into any other Person, other than any transaction in which the holders of the outstanding voting securities of Licensee immediately prior to the transaction own, directly or indirectly, not less than fifty percent (50%) of the total voting power (on an as converted basis) of the voting securities of the party surviving such merger, consolidation or amalgamation; or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 the sale of all or substantially all of the assets of Licensee.</w:t>
      </w:r>
    </w:p>
    <w:p>
      <w:pPr>
        <w:spacing w:after="0" w:line="112" w:lineRule="exact"/>
        <w:rPr>
          <w:sz w:val="20"/>
          <w:szCs w:val="20"/>
          <w:color w:val="auto"/>
        </w:rPr>
      </w:pPr>
    </w:p>
    <w:p>
      <w:pPr>
        <w:ind w:left="540" w:hanging="539"/>
        <w:spacing w:after="0" w:line="261" w:lineRule="auto"/>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Product that is delivered with one or more additional active ingredients and/or other items or services incident to the administration of such Product (with or without one or more such other active ingredients), in each such case when the Product and any of the foregoing are co-formulated, co-packaged or sold under one pricing scheme (whether payment of such price is paid to the same or to more than one seller).</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540" w:right="100" w:hanging="539"/>
        <w:spacing w:after="0" w:line="266" w:lineRule="auto"/>
        <w:tabs>
          <w:tab w:leader="none" w:pos="520" w:val="left"/>
        </w:tabs>
        <w:rPr>
          <w:sz w:val="20"/>
          <w:szCs w:val="20"/>
          <w:color w:val="auto"/>
        </w:rPr>
      </w:pPr>
      <w:r>
        <w:rPr>
          <w:rFonts w:ascii="Arial" w:cs="Arial" w:eastAsia="Arial" w:hAnsi="Arial"/>
          <w:sz w:val="18"/>
          <w:szCs w:val="18"/>
          <w:color w:val="auto"/>
        </w:rPr>
        <w:t>1.10</w:t>
        <w:tab/>
        <w:t>“</w:t>
      </w:r>
      <w:r>
        <w:rPr>
          <w:rFonts w:ascii="Arial" w:cs="Arial" w:eastAsia="Arial" w:hAnsi="Arial"/>
          <w:sz w:val="18"/>
          <w:szCs w:val="18"/>
          <w:b w:val="1"/>
          <w:bCs w:val="1"/>
          <w:color w:val="auto"/>
        </w:rPr>
        <w:t>Compulsory License</w:t>
      </w:r>
      <w:r>
        <w:rPr>
          <w:rFonts w:ascii="Arial" w:cs="Arial" w:eastAsia="Arial" w:hAnsi="Arial"/>
          <w:sz w:val="18"/>
          <w:szCs w:val="18"/>
          <w:color w:val="auto"/>
        </w:rPr>
        <w:t>” means a compulsory license under Licensor Patent Rights obtained by a Third Party through the order, decree, or grant of a competent Governmental Body or court, authorizing such Third Party to develop, make, have made, use, sell, offer to sell or import a Product in any country.</w:t>
      </w:r>
    </w:p>
    <w:p>
      <w:pPr>
        <w:spacing w:after="0" w:line="81" w:lineRule="exact"/>
        <w:rPr>
          <w:sz w:val="20"/>
          <w:szCs w:val="20"/>
          <w:color w:val="auto"/>
        </w:rPr>
      </w:pPr>
    </w:p>
    <w:p>
      <w:pPr>
        <w:ind w:left="540" w:right="80" w:hanging="539"/>
        <w:spacing w:after="0" w:line="347" w:lineRule="auto"/>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a Party, means (a) information relating to the business, operations or products of a Party or any of its Affiliates, including any know-how, that such Party discloses to the other Party under this Agreement, and (b) the terms of this Agreement.</w:t>
      </w:r>
    </w:p>
    <w:p>
      <w:pPr>
        <w:spacing w:after="0" w:line="21" w:lineRule="exact"/>
        <w:rPr>
          <w:sz w:val="20"/>
          <w:szCs w:val="20"/>
          <w:color w:val="auto"/>
        </w:rPr>
      </w:pPr>
    </w:p>
    <w:p>
      <w:pPr>
        <w:ind w:left="540" w:right="100" w:hanging="539"/>
        <w:spacing w:after="0" w:line="261" w:lineRule="auto"/>
        <w:tabs>
          <w:tab w:leader="none" w:pos="520" w:val="left"/>
        </w:tabs>
        <w:rPr>
          <w:sz w:val="20"/>
          <w:szCs w:val="20"/>
          <w:color w:val="auto"/>
        </w:rPr>
      </w:pPr>
      <w:r>
        <w:rPr>
          <w:rFonts w:ascii="Arial" w:cs="Arial" w:eastAsia="Arial" w:hAnsi="Arial"/>
          <w:sz w:val="18"/>
          <w:szCs w:val="18"/>
          <w:color w:val="auto"/>
        </w:rPr>
        <w:t>1.12</w:t>
        <w:tab/>
        <w:t>“</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intellectual property rights, that a Party or one of its Affiliates owns or has a license or sublicense to such intellectual property rights and has the ability to provide to, grant a license or sublicense to, or assign its right, title and interest in and to, such intellectual property rights as provided for in this Agreement without violating the terms of any agreement or other arrangement with any Third Party.</w:t>
      </w:r>
    </w:p>
    <w:p>
      <w:pPr>
        <w:spacing w:after="0" w:line="85" w:lineRule="exact"/>
        <w:rPr>
          <w:sz w:val="20"/>
          <w:szCs w:val="20"/>
          <w:color w:val="auto"/>
        </w:rPr>
      </w:pPr>
    </w:p>
    <w:p>
      <w:pPr>
        <w:jc w:val="both"/>
        <w:ind w:left="540" w:right="360" w:hanging="539"/>
        <w:spacing w:after="0" w:line="289" w:lineRule="auto"/>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Cover</w:t>
      </w:r>
      <w:r>
        <w:rPr>
          <w:rFonts w:ascii="Arial" w:cs="Arial" w:eastAsia="Arial" w:hAnsi="Arial"/>
          <w:sz w:val="17"/>
          <w:szCs w:val="17"/>
          <w:color w:val="auto"/>
        </w:rPr>
        <w:t>” means, with respect to any subject matter and a Patent Right, that the making, using, selling, offering for sale, importation or other exploitation of such subject matter would (absent a license thereunder or ownership thereof) infringe, induce infringement or contributorily infringe a Valid Claim of such Patent Right. Cognates of the word “Cover” shall have correlative meanings.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366" w:name="page367"/>
    <w:bookmarkEnd w:id="36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Diligence Event</w:t>
      </w:r>
      <w:r>
        <w:rPr>
          <w:rFonts w:ascii="Arial" w:cs="Arial" w:eastAsia="Arial" w:hAnsi="Arial"/>
          <w:sz w:val="16"/>
          <w:szCs w:val="16"/>
          <w:color w:val="auto"/>
        </w:rPr>
        <w:t>” means each of the events provided in the table in Section 3.2.1.</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FD&amp;C Act</w:t>
      </w:r>
      <w:r>
        <w:rPr>
          <w:rFonts w:ascii="Arial" w:cs="Arial" w:eastAsia="Arial" w:hAnsi="Arial"/>
          <w:sz w:val="16"/>
          <w:szCs w:val="16"/>
          <w:color w:val="auto"/>
        </w:rPr>
        <w:t>” means the United States Federal Food, Drug and Cosmetic Act, as amended.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 of Use</w:t>
      </w:r>
      <w:r>
        <w:rPr>
          <w:rFonts w:ascii="Arial" w:cs="Arial" w:eastAsia="Arial" w:hAnsi="Arial"/>
          <w:sz w:val="16"/>
          <w:szCs w:val="16"/>
          <w:color w:val="auto"/>
        </w:rPr>
        <w:t>” means any and all uses.</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1.17</w:t>
        <w:tab/>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on a country-by-country basis, the first commercial transfer or disposition for value of Product in such country to a Third Party by Licensee, or any of its Affiliates or Sublicensees.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United States generally accepted accounting principles applied on a consistent basis.</w:t>
      </w:r>
    </w:p>
    <w:p>
      <w:pPr>
        <w:spacing w:after="0" w:line="131" w:lineRule="exact"/>
        <w:rPr>
          <w:sz w:val="20"/>
          <w:szCs w:val="20"/>
          <w:color w:val="auto"/>
        </w:rPr>
      </w:pPr>
    </w:p>
    <w:p>
      <w:pPr>
        <w:ind w:left="540" w:hanging="539"/>
        <w:spacing w:after="0" w:line="287" w:lineRule="auto"/>
        <w:tabs>
          <w:tab w:leader="none" w:pos="5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Generic Product</w:t>
      </w:r>
      <w:r>
        <w:rPr>
          <w:rFonts w:ascii="Arial" w:cs="Arial" w:eastAsia="Arial" w:hAnsi="Arial"/>
          <w:sz w:val="16"/>
          <w:szCs w:val="16"/>
          <w:color w:val="auto"/>
        </w:rPr>
        <w:t>” means, with respect to a particular Product in a country, a generic or biosimilar pharmaceutical product, that is not produced, licensed or owned by Licensee, any of its Affiliates or Sublicensees, that: (a) has the same active ingredient as such Product, is approved in reliance, in whole or in part, on a prior Regulatory Approval of the Product, and is determined by a Regulatory Authority to be substitutable for the Product, including as a “biosimilar” (in the United States) of such Product or as the foreign equivalent of a “biosimilar” of such Product; or</w:t>
      </w:r>
    </w:p>
    <w:p>
      <w:pPr>
        <w:spacing w:after="0" w:line="2" w:lineRule="exact"/>
        <w:rPr>
          <w:sz w:val="20"/>
          <w:szCs w:val="20"/>
          <w:color w:val="auto"/>
        </w:rPr>
      </w:pPr>
    </w:p>
    <w:p>
      <w:pPr>
        <w:ind w:left="540" w:right="80" w:hanging="4"/>
        <w:spacing w:after="0" w:line="295" w:lineRule="auto"/>
        <w:tabs>
          <w:tab w:leader="none" w:pos="79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is approved by the Regulatory Authority as a substitutable generic or substitutable biosimilar for such Product or otherwise is approved in a manner that relies on or incorporates data submitted by Licensee, its Affiliates or Sublicensees in connection with the regulatory filings for such Product through an abbreviated new drug application or 505(b)(2) pathway, or any enabling legislation thereof, or any equivalent process where bioequivalence to such Product has been asserted (including under the Biologic Price Competition and Innovation Act of 2000).</w:t>
      </w:r>
    </w:p>
    <w:p>
      <w:pPr>
        <w:spacing w:after="0" w:line="63" w:lineRule="exact"/>
        <w:rPr>
          <w:sz w:val="20"/>
          <w:szCs w:val="20"/>
          <w:color w:val="auto"/>
        </w:rPr>
      </w:pPr>
    </w:p>
    <w:p>
      <w:pPr>
        <w:ind w:left="540" w:right="200" w:hanging="539"/>
        <w:spacing w:after="0" w:line="312" w:lineRule="auto"/>
        <w:tabs>
          <w:tab w:leader="none" w:pos="5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means, with respect to a Product in a country or region, all approvals, licenses, registrations and authorizations of the relevant Governmental Body, if applicable, required for the commercialization of such Product in such country.</w:t>
      </w:r>
    </w:p>
    <w:p>
      <w:pPr>
        <w:spacing w:after="0" w:line="45" w:lineRule="exact"/>
        <w:rPr>
          <w:sz w:val="20"/>
          <w:szCs w:val="20"/>
          <w:color w:val="auto"/>
        </w:rPr>
      </w:pPr>
    </w:p>
    <w:p>
      <w:pPr>
        <w:ind w:left="540" w:right="180" w:hanging="539"/>
        <w:spacing w:after="0" w:line="274" w:lineRule="auto"/>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Governmental Body</w:t>
      </w:r>
      <w:r>
        <w:rPr>
          <w:rFonts w:ascii="Arial" w:cs="Arial" w:eastAsia="Arial" w:hAnsi="Arial"/>
          <w:sz w:val="17"/>
          <w:szCs w:val="17"/>
          <w:color w:val="auto"/>
        </w:rPr>
        <w:t>” means any: (a) nation, principality, state, commonwealth, province, territory, county, municipality, district or other jurisdiction of any nature; (b) federal, provincial,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79"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Arial" w:cs="Arial" w:eastAsia="Arial" w:hAnsi="Arial"/>
          <w:sz w:val="18"/>
          <w:szCs w:val="18"/>
          <w:color w:val="auto"/>
        </w:rPr>
        <w:t>1.22</w:t>
        <w:tab/>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as defined in the FD&amp;C Act and the regulations promulgated thereunder, or the comparable application to the comparable regulatory authority in any other regulatory jurisdiction, the filing of which is necessary to initiate or conduct clinical testing of a pharmaceutical product in humans in such jurisdiction.</w:t>
      </w:r>
    </w:p>
    <w:p>
      <w:pPr>
        <w:spacing w:after="0" w:line="81" w:lineRule="exact"/>
        <w:rPr>
          <w:sz w:val="20"/>
          <w:szCs w:val="20"/>
          <w:color w:val="auto"/>
        </w:rPr>
      </w:pPr>
    </w:p>
    <w:p>
      <w:pPr>
        <w:ind w:left="540" w:right="120" w:hanging="539"/>
        <w:spacing w:after="0" w:line="282" w:lineRule="auto"/>
        <w:tabs>
          <w:tab w:leader="none" w:pos="520" w:val="left"/>
        </w:tabs>
        <w:rPr>
          <w:sz w:val="20"/>
          <w:szCs w:val="20"/>
          <w:color w:val="auto"/>
        </w:rPr>
      </w:pPr>
      <w:r>
        <w:rPr>
          <w:rFonts w:ascii="Arial" w:cs="Arial" w:eastAsia="Arial" w:hAnsi="Arial"/>
          <w:sz w:val="18"/>
          <w:szCs w:val="18"/>
          <w:color w:val="auto"/>
        </w:rPr>
        <w:t>1.23</w:t>
        <w:tab/>
        <w:t>“</w:t>
      </w:r>
      <w:r>
        <w:rPr>
          <w:rFonts w:ascii="Arial" w:cs="Arial" w:eastAsia="Arial" w:hAnsi="Arial"/>
          <w:sz w:val="18"/>
          <w:szCs w:val="18"/>
          <w:b w:val="1"/>
          <w:bCs w:val="1"/>
          <w:color w:val="auto"/>
        </w:rPr>
        <w:t>Law</w:t>
      </w:r>
      <w:r>
        <w:rPr>
          <w:rFonts w:ascii="Arial" w:cs="Arial" w:eastAsia="Arial" w:hAnsi="Arial"/>
          <w:sz w:val="18"/>
          <w:szCs w:val="18"/>
          <w:color w:val="auto"/>
        </w:rPr>
        <w:t>” or “</w:t>
      </w:r>
      <w:r>
        <w:rPr>
          <w:rFonts w:ascii="Arial" w:cs="Arial" w:eastAsia="Arial" w:hAnsi="Arial"/>
          <w:sz w:val="18"/>
          <w:szCs w:val="18"/>
          <w:b w:val="1"/>
          <w:bCs w:val="1"/>
          <w:color w:val="auto"/>
        </w:rPr>
        <w:t>Laws</w:t>
      </w:r>
      <w:r>
        <w:rPr>
          <w:rFonts w:ascii="Arial" w:cs="Arial" w:eastAsia="Arial" w:hAnsi="Arial"/>
          <w:sz w:val="18"/>
          <w:szCs w:val="18"/>
          <w:color w:val="auto"/>
        </w:rPr>
        <w:t>” means all applicable laws, statutes, rules, regulations, ordinances and other pronouncements having the binding effect of law of any Governmental Body.</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Licensor Material</w:t>
      </w:r>
      <w:r>
        <w:rPr>
          <w:rFonts w:ascii="Arial" w:cs="Arial" w:eastAsia="Arial" w:hAnsi="Arial"/>
          <w:sz w:val="16"/>
          <w:szCs w:val="16"/>
          <w:color w:val="auto"/>
        </w:rPr>
        <w:t xml:space="preserve">” means the materials listed in </w:t>
      </w:r>
      <w:r>
        <w:rPr>
          <w:rFonts w:ascii="Arial" w:cs="Arial" w:eastAsia="Arial" w:hAnsi="Arial"/>
          <w:sz w:val="16"/>
          <w:szCs w:val="16"/>
          <w:b w:val="1"/>
          <w:bCs w:val="1"/>
          <w:u w:val="single" w:color="auto"/>
          <w:color w:val="auto"/>
        </w:rPr>
        <w:t>Schedule 1.24</w:t>
      </w:r>
      <w:r>
        <w:rPr>
          <w:rFonts w:ascii="Arial" w:cs="Arial" w:eastAsia="Arial" w:hAnsi="Arial"/>
          <w:sz w:val="16"/>
          <w:szCs w:val="16"/>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367" w:name="page368"/>
    <w:bookmarkEnd w:id="367"/>
    <w:p>
      <w:pPr>
        <w:ind w:left="540" w:right="220" w:hanging="539"/>
        <w:spacing w:after="0" w:line="29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Licensor Patent Rights</w:t>
      </w:r>
      <w:r>
        <w:rPr>
          <w:rFonts w:ascii="Arial" w:cs="Arial" w:eastAsia="Arial" w:hAnsi="Arial"/>
          <w:sz w:val="16"/>
          <w:szCs w:val="16"/>
          <w:color w:val="auto"/>
        </w:rPr>
        <w:t xml:space="preserve">” means (a) the Patent Rights listed in </w:t>
      </w:r>
      <w:r>
        <w:rPr>
          <w:rFonts w:ascii="Arial" w:cs="Arial" w:eastAsia="Arial" w:hAnsi="Arial"/>
          <w:sz w:val="16"/>
          <w:szCs w:val="16"/>
          <w:b w:val="1"/>
          <w:bCs w:val="1"/>
          <w:u w:val="single" w:color="auto"/>
          <w:color w:val="auto"/>
        </w:rPr>
        <w:t>Schedule 1.25</w:t>
      </w:r>
      <w:r>
        <w:rPr>
          <w:rFonts w:ascii="Arial" w:cs="Arial" w:eastAsia="Arial" w:hAnsi="Arial"/>
          <w:sz w:val="16"/>
          <w:szCs w:val="16"/>
          <w:color w:val="auto"/>
        </w:rPr>
        <w:t xml:space="preserve">, any Patent Rights claiming any invention described in any invention disclosure listed in </w:t>
      </w:r>
      <w:r>
        <w:rPr>
          <w:rFonts w:ascii="Arial" w:cs="Arial" w:eastAsia="Arial" w:hAnsi="Arial"/>
          <w:sz w:val="16"/>
          <w:szCs w:val="16"/>
          <w:b w:val="1"/>
          <w:bCs w:val="1"/>
          <w:u w:val="single" w:color="auto"/>
          <w:color w:val="auto"/>
        </w:rPr>
        <w:t>Schedule 1.25</w:t>
      </w:r>
      <w:r>
        <w:rPr>
          <w:rFonts w:ascii="Arial" w:cs="Arial" w:eastAsia="Arial" w:hAnsi="Arial"/>
          <w:sz w:val="16"/>
          <w:szCs w:val="16"/>
          <w:color w:val="auto"/>
        </w:rPr>
        <w:t>, (b) any continuations, provisionals, continued prosecution applications, substitutions, extensions and term restorations, registrations, confirmations, reexaminations, renewals, supplementary protection certificates or reissues of subpart (a), including divisions, but excluding continuations-in-part (unless filed by Licensor without Licensee’s prior written consent), (c) any corresponding foreign Patent Rights to any of the foregoing and (d) any patent issuing on any of the foregoing applications.</w:t>
      </w:r>
    </w:p>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w:t>
      </w:r>
      <w:r>
        <w:rPr>
          <w:rFonts w:ascii="Arial" w:cs="Arial" w:eastAsia="Arial" w:hAnsi="Arial"/>
          <w:sz w:val="17"/>
          <w:szCs w:val="17"/>
          <w:color w:val="auto"/>
        </w:rPr>
        <w:t>” means the [***].</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1.27</w:t>
        <w:tab/>
        <w:t>[***].</w:t>
      </w:r>
    </w:p>
    <w:p>
      <w:pPr>
        <w:spacing w:after="0" w:line="127" w:lineRule="exact"/>
        <w:rPr>
          <w:sz w:val="20"/>
          <w:szCs w:val="20"/>
          <w:color w:val="auto"/>
        </w:rPr>
      </w:pPr>
    </w:p>
    <w:p>
      <w:pPr>
        <w:ind w:left="540" w:right="160" w:hanging="539"/>
        <w:spacing w:after="0" w:line="266" w:lineRule="auto"/>
        <w:tabs>
          <w:tab w:leader="none" w:pos="520" w:val="left"/>
        </w:tabs>
        <w:rPr>
          <w:sz w:val="20"/>
          <w:szCs w:val="20"/>
          <w:color w:val="auto"/>
        </w:rPr>
      </w:pPr>
      <w:r>
        <w:rPr>
          <w:rFonts w:ascii="Arial" w:cs="Arial" w:eastAsia="Arial" w:hAnsi="Arial"/>
          <w:sz w:val="18"/>
          <w:szCs w:val="18"/>
          <w:color w:val="auto"/>
        </w:rPr>
        <w:t>1.28</w:t>
        <w:tab/>
        <w:t>“</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filed with the FDA in accordance with the FD&amp;C Act with respect to pharmaceutical products or an analogous application or filing with any Regulatory Authority outside of the United States for the purpose of obtaining approval to market and sell a pharmaceutical product in such jurisdiction.</w:t>
      </w:r>
    </w:p>
    <w:p>
      <w:pPr>
        <w:spacing w:after="0" w:line="81" w:lineRule="exact"/>
        <w:rPr>
          <w:sz w:val="20"/>
          <w:szCs w:val="20"/>
          <w:color w:val="auto"/>
        </w:rPr>
      </w:pPr>
    </w:p>
    <w:p>
      <w:pPr>
        <w:ind w:left="540" w:right="60" w:hanging="539"/>
        <w:spacing w:after="0" w:line="261" w:lineRule="auto"/>
        <w:tabs>
          <w:tab w:leader="none" w:pos="520" w:val="left"/>
        </w:tabs>
        <w:rPr>
          <w:sz w:val="20"/>
          <w:szCs w:val="20"/>
          <w:color w:val="auto"/>
        </w:rPr>
      </w:pPr>
      <w:r>
        <w:rPr>
          <w:rFonts w:ascii="Arial" w:cs="Arial" w:eastAsia="Arial" w:hAnsi="Arial"/>
          <w:sz w:val="18"/>
          <w:szCs w:val="18"/>
          <w:color w:val="auto"/>
        </w:rPr>
        <w:t>1.29</w:t>
        <w:tab/>
        <w:t>“</w:t>
      </w:r>
      <w:r>
        <w:rPr>
          <w:rFonts w:ascii="Arial" w:cs="Arial" w:eastAsia="Arial" w:hAnsi="Arial"/>
          <w:sz w:val="18"/>
          <w:szCs w:val="18"/>
          <w:b w:val="1"/>
          <w:bCs w:val="1"/>
          <w:color w:val="auto"/>
        </w:rPr>
        <w:t>Net Sales</w:t>
      </w:r>
      <w:r>
        <w:rPr>
          <w:rFonts w:ascii="Arial" w:cs="Arial" w:eastAsia="Arial" w:hAnsi="Arial"/>
          <w:sz w:val="18"/>
          <w:szCs w:val="18"/>
          <w:color w:val="auto"/>
        </w:rPr>
        <w:t>” means the gross amounts invoiced or received by Licensee or any of its Affiliates or Sublicensees (each, a “</w:t>
      </w:r>
      <w:r>
        <w:rPr>
          <w:rFonts w:ascii="Arial" w:cs="Arial" w:eastAsia="Arial" w:hAnsi="Arial"/>
          <w:sz w:val="18"/>
          <w:szCs w:val="18"/>
          <w:b w:val="1"/>
          <w:bCs w:val="1"/>
          <w:color w:val="auto"/>
        </w:rPr>
        <w:t>Selling Party</w:t>
      </w:r>
      <w:r>
        <w:rPr>
          <w:rFonts w:ascii="Arial" w:cs="Arial" w:eastAsia="Arial" w:hAnsi="Arial"/>
          <w:sz w:val="18"/>
          <w:szCs w:val="18"/>
          <w:color w:val="auto"/>
        </w:rPr>
        <w:t>”) for Sales of Product (whether consisting of cash or any other forms of consideration recognized as revenue by the Selling Party under Accounting Standards), less the following deductions (to the extent actually incurred and not already deducted from the gross amounts invoiced, received or otherwise charged) to the extent reasonable and customary:</w:t>
      </w:r>
    </w:p>
    <w:p>
      <w:pPr>
        <w:spacing w:after="0" w:line="89"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1.29.1</w:t>
      </w:r>
      <w:r>
        <w:rPr>
          <w:sz w:val="20"/>
          <w:szCs w:val="20"/>
          <w:color w:val="auto"/>
        </w:rPr>
        <w:tab/>
      </w:r>
      <w:r>
        <w:rPr>
          <w:rFonts w:ascii="Arial" w:cs="Arial" w:eastAsia="Arial" w:hAnsi="Arial"/>
          <w:sz w:val="16"/>
          <w:szCs w:val="16"/>
          <w:color w:val="auto"/>
        </w:rPr>
        <w:t>trade discounts, including trade, cash and quantity discounts or rebates, credits and refunds;</w:t>
      </w:r>
    </w:p>
    <w:p>
      <w:pPr>
        <w:spacing w:after="0" w:line="131"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1.29.2</w:t>
        <w:tab/>
        <w:t>allowances and amounts repaid or credits actually granted upon claims, returns or rejections of products, including recalls, regardless of the party requesting such recall, spoiled, damaged or outdated product, or for price adjustments;</w:t>
      </w:r>
    </w:p>
    <w:p>
      <w:pPr>
        <w:spacing w:after="0" w:line="76" w:lineRule="exact"/>
        <w:rPr>
          <w:sz w:val="20"/>
          <w:szCs w:val="20"/>
          <w:color w:val="auto"/>
        </w:rPr>
      </w:pPr>
    </w:p>
    <w:p>
      <w:pPr>
        <w:ind w:left="1180" w:right="280" w:hanging="647"/>
        <w:spacing w:after="0" w:line="277" w:lineRule="auto"/>
        <w:tabs>
          <w:tab w:leader="none" w:pos="1160" w:val="left"/>
        </w:tabs>
        <w:rPr>
          <w:sz w:val="20"/>
          <w:szCs w:val="20"/>
          <w:color w:val="auto"/>
        </w:rPr>
      </w:pPr>
      <w:r>
        <w:rPr>
          <w:rFonts w:ascii="Arial" w:cs="Arial" w:eastAsia="Arial" w:hAnsi="Arial"/>
          <w:sz w:val="18"/>
          <w:szCs w:val="18"/>
          <w:color w:val="auto"/>
        </w:rPr>
        <w:t>1.29.3</w:t>
        <w:tab/>
        <w:t>charges for freight, insurance, transportation, postage, handling and any other charges relating to the sale, transportation, delivery or return of such Product;</w:t>
      </w:r>
    </w:p>
    <w:p>
      <w:pPr>
        <w:spacing w:after="0" w:line="76" w:lineRule="exact"/>
        <w:rPr>
          <w:sz w:val="20"/>
          <w:szCs w:val="20"/>
          <w:color w:val="auto"/>
        </w:rPr>
      </w:pPr>
    </w:p>
    <w:p>
      <w:pPr>
        <w:ind w:left="1180" w:right="420" w:hanging="647"/>
        <w:spacing w:after="0" w:line="342" w:lineRule="auto"/>
        <w:tabs>
          <w:tab w:leader="none" w:pos="1160" w:val="left"/>
        </w:tabs>
        <w:rPr>
          <w:sz w:val="20"/>
          <w:szCs w:val="20"/>
          <w:color w:val="auto"/>
        </w:rPr>
      </w:pPr>
      <w:r>
        <w:rPr>
          <w:rFonts w:ascii="Arial" w:cs="Arial" w:eastAsia="Arial" w:hAnsi="Arial"/>
          <w:sz w:val="18"/>
          <w:szCs w:val="18"/>
          <w:color w:val="auto"/>
        </w:rPr>
        <w:t>1.29.4</w:t>
      </w:r>
      <w:r>
        <w:rPr>
          <w:sz w:val="20"/>
          <w:szCs w:val="20"/>
          <w:color w:val="auto"/>
        </w:rPr>
        <w:tab/>
      </w:r>
      <w:r>
        <w:rPr>
          <w:rFonts w:ascii="Arial" w:cs="Arial" w:eastAsia="Arial" w:hAnsi="Arial"/>
          <w:sz w:val="16"/>
          <w:szCs w:val="16"/>
          <w:color w:val="auto"/>
        </w:rPr>
        <w:t>customs duties, sales, excise and use taxes (including value added tax) actually incurred, paid or collected in connection with the transportation, distribution, import, export, use or sale of such Product (but excluding what is commonly known as income taxes);</w:t>
      </w:r>
    </w:p>
    <w:p>
      <w:pPr>
        <w:spacing w:after="0" w:line="29" w:lineRule="exact"/>
        <w:rPr>
          <w:sz w:val="20"/>
          <w:szCs w:val="20"/>
          <w:color w:val="auto"/>
        </w:rPr>
      </w:pPr>
    </w:p>
    <w:p>
      <w:pPr>
        <w:ind w:left="1180" w:right="120" w:hanging="647"/>
        <w:spacing w:after="0" w:line="342" w:lineRule="auto"/>
        <w:tabs>
          <w:tab w:leader="none" w:pos="1160" w:val="left"/>
        </w:tabs>
        <w:rPr>
          <w:sz w:val="20"/>
          <w:szCs w:val="20"/>
          <w:color w:val="auto"/>
        </w:rPr>
      </w:pPr>
      <w:r>
        <w:rPr>
          <w:rFonts w:ascii="Arial" w:cs="Arial" w:eastAsia="Arial" w:hAnsi="Arial"/>
          <w:sz w:val="18"/>
          <w:szCs w:val="18"/>
          <w:color w:val="auto"/>
        </w:rPr>
        <w:t>1.29.5</w:t>
      </w:r>
      <w:r>
        <w:rPr>
          <w:sz w:val="20"/>
          <w:szCs w:val="20"/>
          <w:color w:val="auto"/>
        </w:rPr>
        <w:tab/>
      </w:r>
      <w:r>
        <w:rPr>
          <w:rFonts w:ascii="Arial" w:cs="Arial" w:eastAsia="Arial" w:hAnsi="Arial"/>
          <w:sz w:val="16"/>
          <w:szCs w:val="16"/>
          <w:color w:val="auto"/>
        </w:rPr>
        <w:t>rebates and chargebacks or retroactive price reductions made to federal, state or local governments (or their agencies), or any Third Party payor, administrator or contractor, including managed health organizations, customers, wholesalers, distributors or resellers; and</w:t>
      </w:r>
    </w:p>
    <w:p>
      <w:pPr>
        <w:spacing w:after="0" w:line="29" w:lineRule="exact"/>
        <w:rPr>
          <w:sz w:val="20"/>
          <w:szCs w:val="20"/>
          <w:color w:val="auto"/>
        </w:rPr>
      </w:pPr>
    </w:p>
    <w:p>
      <w:pPr>
        <w:ind w:left="1180" w:right="380" w:hanging="647"/>
        <w:spacing w:after="0" w:line="277" w:lineRule="auto"/>
        <w:tabs>
          <w:tab w:leader="none" w:pos="1160" w:val="left"/>
        </w:tabs>
        <w:rPr>
          <w:sz w:val="20"/>
          <w:szCs w:val="20"/>
          <w:color w:val="auto"/>
        </w:rPr>
      </w:pPr>
      <w:r>
        <w:rPr>
          <w:rFonts w:ascii="Arial" w:cs="Arial" w:eastAsia="Arial" w:hAnsi="Arial"/>
          <w:sz w:val="18"/>
          <w:szCs w:val="18"/>
          <w:color w:val="auto"/>
        </w:rPr>
        <w:t>1.29.6</w:t>
        <w:tab/>
        <w:t>amounts reserved and credited for uncollectible accounts with respect to invoiced amounts determined in a manner consistent with Accounting Standards of such Selling Party [***].</w:t>
      </w:r>
    </w:p>
    <w:p>
      <w:pPr>
        <w:spacing w:after="0" w:line="62" w:lineRule="exact"/>
        <w:rPr>
          <w:sz w:val="20"/>
          <w:szCs w:val="20"/>
          <w:color w:val="auto"/>
        </w:rPr>
      </w:pPr>
    </w:p>
    <w:p>
      <w:pPr>
        <w:ind w:left="540" w:right="140"/>
        <w:spacing w:after="0" w:line="263" w:lineRule="auto"/>
        <w:rPr>
          <w:sz w:val="20"/>
          <w:szCs w:val="20"/>
          <w:color w:val="auto"/>
        </w:rPr>
      </w:pPr>
      <w:r>
        <w:rPr>
          <w:rFonts w:ascii="Arial" w:cs="Arial" w:eastAsia="Arial" w:hAnsi="Arial"/>
          <w:sz w:val="18"/>
          <w:szCs w:val="18"/>
          <w:color w:val="auto"/>
        </w:rPr>
        <w:t>In the event that a Product is sold as a Combination Product, the gross amount invoiced for such Product shall be calculated by multiplying the gross amount invoiced for such Combination Product by the fraction A/(A+B), where “A” is the gross amount invoiced for such Product sold separately and “B” is the gross amount invoiced for such other component(s) sold separately.</w:t>
      </w:r>
    </w:p>
    <w:p>
      <w:pPr>
        <w:spacing w:after="0" w:line="76" w:lineRule="exact"/>
        <w:rPr>
          <w:sz w:val="20"/>
          <w:szCs w:val="20"/>
          <w:color w:val="auto"/>
        </w:rPr>
      </w:pPr>
    </w:p>
    <w:p>
      <w:pPr>
        <w:ind w:left="540" w:right="100"/>
        <w:spacing w:after="0" w:line="263" w:lineRule="auto"/>
        <w:rPr>
          <w:sz w:val="20"/>
          <w:szCs w:val="20"/>
          <w:color w:val="auto"/>
        </w:rPr>
      </w:pPr>
      <w:r>
        <w:rPr>
          <w:rFonts w:ascii="Arial" w:cs="Arial" w:eastAsia="Arial" w:hAnsi="Arial"/>
          <w:sz w:val="18"/>
          <w:szCs w:val="18"/>
          <w:color w:val="auto"/>
        </w:rPr>
        <w:t>In the event that such other component(s) are not sold separately (but such Product is), the gross amount invoiced for such Product shall be calculated by multiplying the gross amount invoiced for such Combination Product by the fraction A/C, where “A” is the gross invoice amount for such Product, and “C” is the gross invoice amount for the Combination Product.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368" w:name="page369"/>
    <w:bookmarkEnd w:id="368"/>
    <w:p>
      <w:pPr>
        <w:jc w:val="both"/>
        <w:ind w:left="540" w:right="3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Combination Product where such Product is not sold separately, the Parties shall negotiate in good faith an allocation of Net Sales of such Combination Product to the respective Product component and other components thereof, as the case may be, based on the fair market value of such components and the Product for the purposes of determining a product-specific allocation of such Net Sales. Payments related to such Combination Product under this Agreement, including royalties and Milestone Payments, will be calculated, due and payable based only on the portion of such Net Sales so allocated to the Product component of such Combination Product.</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ind w:left="540" w:right="340" w:hanging="539"/>
        <w:spacing w:after="0" w:line="281" w:lineRule="auto"/>
        <w:tabs>
          <w:tab w:leader="none" w:pos="5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Non-Royalty Sublicense Income</w:t>
      </w:r>
      <w:r>
        <w:rPr>
          <w:rFonts w:ascii="Arial" w:cs="Arial" w:eastAsia="Arial" w:hAnsi="Arial"/>
          <w:sz w:val="17"/>
          <w:szCs w:val="17"/>
          <w:color w:val="auto"/>
        </w:rPr>
        <w:t>” means non-refundable cash payments received by Licensee from a non-Affiliate Sublicensee in consideration of the grant of a Sublicense or option or other right to obtain a Sublicense under the Licensor Patent Rights (including, without limitation, license fees, fees to maintain such sublicense rights, and milestone payments), as well as any securities received from the non-Affiliate Sublicensee in lieu of such cash payments [***]. Notwithstanding the foregoing [***].</w:t>
      </w:r>
    </w:p>
    <w:p>
      <w:pPr>
        <w:spacing w:after="0" w:line="70" w:lineRule="exact"/>
        <w:rPr>
          <w:sz w:val="20"/>
          <w:szCs w:val="20"/>
          <w:color w:val="auto"/>
        </w:rPr>
      </w:pPr>
    </w:p>
    <w:p>
      <w:pPr>
        <w:ind w:left="540" w:right="80" w:hanging="539"/>
        <w:spacing w:after="0" w:line="261" w:lineRule="auto"/>
        <w:tabs>
          <w:tab w:leader="none" w:pos="520" w:val="left"/>
        </w:tabs>
        <w:rPr>
          <w:sz w:val="20"/>
          <w:szCs w:val="20"/>
          <w:color w:val="auto"/>
        </w:rPr>
      </w:pPr>
      <w:r>
        <w:rPr>
          <w:rFonts w:ascii="Arial" w:cs="Arial" w:eastAsia="Arial" w:hAnsi="Arial"/>
          <w:sz w:val="18"/>
          <w:szCs w:val="18"/>
          <w:color w:val="auto"/>
        </w:rPr>
        <w:t>1.31</w:t>
        <w:tab/>
        <w:t>“</w:t>
      </w:r>
      <w:r>
        <w:rPr>
          <w:rFonts w:ascii="Arial" w:cs="Arial" w:eastAsia="Arial" w:hAnsi="Arial"/>
          <w:sz w:val="18"/>
          <w:szCs w:val="18"/>
          <w:b w:val="1"/>
          <w:bCs w:val="1"/>
          <w:color w:val="auto"/>
        </w:rPr>
        <w:t>Patent Rights</w:t>
      </w:r>
      <w:r>
        <w:rPr>
          <w:rFonts w:ascii="Arial" w:cs="Arial" w:eastAsia="Arial" w:hAnsi="Arial"/>
          <w:sz w:val="18"/>
          <w:szCs w:val="18"/>
          <w:color w:val="auto"/>
        </w:rPr>
        <w:t>” means any of the following, whether existing now or in the future anywhere in the world: issued patent, including inventor’s certificates, supplementary protection certificates, substitutions, extensions, confirmations, reissues, re-examination, renewal or any like governmental grant for protection of inventions, and any pending application, including all provisional applications, continuations, divisions and all patents granted thereon, for any of the foregoing.</w:t>
      </w:r>
    </w:p>
    <w:p>
      <w:pPr>
        <w:spacing w:after="0" w:line="85" w:lineRule="exact"/>
        <w:rPr>
          <w:sz w:val="20"/>
          <w:szCs w:val="20"/>
          <w:color w:val="auto"/>
        </w:rPr>
      </w:pPr>
    </w:p>
    <w:p>
      <w:pPr>
        <w:ind w:left="540" w:right="400" w:hanging="539"/>
        <w:spacing w:after="0" w:line="282" w:lineRule="auto"/>
        <w:tabs>
          <w:tab w:leader="none" w:pos="520" w:val="left"/>
        </w:tabs>
        <w:rPr>
          <w:sz w:val="20"/>
          <w:szCs w:val="20"/>
          <w:color w:val="auto"/>
        </w:rPr>
      </w:pPr>
      <w:r>
        <w:rPr>
          <w:rFonts w:ascii="Arial" w:cs="Arial" w:eastAsia="Arial" w:hAnsi="Arial"/>
          <w:sz w:val="18"/>
          <w:szCs w:val="18"/>
          <w:color w:val="auto"/>
        </w:rPr>
        <w:t>1.32</w:t>
        <w:tab/>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firm, business trust, joint venture, association, organization, company, partnership or other business entity, or any government or agency or political subdivision thereof.</w:t>
      </w:r>
    </w:p>
    <w:p>
      <w:pPr>
        <w:spacing w:after="0" w:line="67" w:lineRule="exact"/>
        <w:rPr>
          <w:sz w:val="20"/>
          <w:szCs w:val="20"/>
          <w:color w:val="auto"/>
        </w:rPr>
      </w:pPr>
    </w:p>
    <w:p>
      <w:pPr>
        <w:ind w:left="540" w:right="80" w:hanging="539"/>
        <w:spacing w:after="0" w:line="281" w:lineRule="auto"/>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I Clinical Trial</w:t>
      </w:r>
      <w:r>
        <w:rPr>
          <w:rFonts w:ascii="Arial" w:cs="Arial" w:eastAsia="Arial" w:hAnsi="Arial"/>
          <w:sz w:val="17"/>
          <w:szCs w:val="17"/>
          <w:color w:val="auto"/>
        </w:rPr>
        <w:t>” means a clinical study of a drug candidate in human patients with the primary objective of characterizing its safety, tolerability, and pharmacokinetics and identifying a recommended dose and regimen for future studies as described in 21 C.F.R. §312.21(a), or a comparable clinical study prescribed by the relevant Regulatory Authority in a country other than the United States. The drug candidate can be administered to patients as a single agent or in combination with other investigational or marketed agents.</w:t>
      </w:r>
    </w:p>
    <w:p>
      <w:pPr>
        <w:spacing w:after="0" w:line="70" w:lineRule="exact"/>
        <w:rPr>
          <w:sz w:val="20"/>
          <w:szCs w:val="20"/>
          <w:color w:val="auto"/>
        </w:rPr>
      </w:pPr>
    </w:p>
    <w:p>
      <w:pPr>
        <w:ind w:left="540" w:right="60" w:hanging="539"/>
        <w:spacing w:after="0" w:line="293" w:lineRule="auto"/>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III Clinical Trial</w:t>
      </w:r>
      <w:r>
        <w:rPr>
          <w:rFonts w:ascii="Arial" w:cs="Arial" w:eastAsia="Arial" w:hAnsi="Arial"/>
          <w:sz w:val="16"/>
          <w:szCs w:val="16"/>
          <w:color w:val="auto"/>
        </w:rPr>
        <w:t>” means a clinical study of a drug candidate in human patients that incorporates accepted endpoints for confirmation of statistical significance of efficacy and safety with the aim to (a) establish that the drug candidate is safe and efficacious for its intended use,</w:t>
      </w:r>
    </w:p>
    <w:p>
      <w:pPr>
        <w:spacing w:after="0" w:line="1" w:lineRule="exact"/>
        <w:rPr>
          <w:sz w:val="20"/>
          <w:szCs w:val="20"/>
          <w:color w:val="auto"/>
        </w:rPr>
      </w:pPr>
    </w:p>
    <w:p>
      <w:pPr>
        <w:jc w:val="both"/>
        <w:ind w:left="540" w:right="20" w:hanging="4"/>
        <w:spacing w:after="0" w:line="253" w:lineRule="auto"/>
        <w:tabs>
          <w:tab w:leader="none" w:pos="79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define adverse reactions associated with the drug candidate and (c) be the basis for applying for and obtaining Regulatory Approval in any country as described in 21 C.F.R. 312.21(c), or a comparable clinical study prescribed by the relevant Regulatory Authority in a country other than the United States. The relevant drug candidate may be administered to patients as a single agent or in combination with other investigational or marketed agents.</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PHS Act</w:t>
      </w:r>
      <w:r>
        <w:rPr>
          <w:rFonts w:ascii="Arial" w:cs="Arial" w:eastAsia="Arial" w:hAnsi="Arial"/>
          <w:sz w:val="16"/>
          <w:szCs w:val="16"/>
          <w:color w:val="auto"/>
        </w:rPr>
        <w:t>” means the United States Public Health Service Act, as amended.</w:t>
      </w:r>
    </w:p>
    <w:p>
      <w:pPr>
        <w:spacing w:after="0" w:line="131"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color w:val="auto"/>
        </w:rPr>
        <w:t>1.36</w:t>
        <w:tab/>
        <w:t>“</w:t>
      </w:r>
      <w:r>
        <w:rPr>
          <w:rFonts w:ascii="Arial" w:cs="Arial" w:eastAsia="Arial" w:hAnsi="Arial"/>
          <w:sz w:val="18"/>
          <w:szCs w:val="18"/>
          <w:b w:val="1"/>
          <w:bCs w:val="1"/>
          <w:color w:val="auto"/>
        </w:rPr>
        <w:t>Product</w:t>
      </w:r>
      <w:r>
        <w:rPr>
          <w:rFonts w:ascii="Arial" w:cs="Arial" w:eastAsia="Arial" w:hAnsi="Arial"/>
          <w:sz w:val="18"/>
          <w:szCs w:val="18"/>
          <w:color w:val="auto"/>
        </w:rPr>
        <w:t>” means any article, composition, apparatus, substance, chemical or any other material whose manufacture, import, use, offer for sale or sale would, absent a license under the Licensor Patent Rights, constitute an infringement, inducement of infringement or contributory infringement of any Valid Claim of the Licensor Patent Rights.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69" w:name="page370"/>
    <w:bookmarkEnd w:id="369"/>
    <w:p>
      <w:pPr>
        <w:ind w:left="540" w:hanging="539"/>
        <w:spacing w:after="0" w:line="26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1.37</w:t>
        <w:tab/>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with respect to a product in any regulatory jurisdiction, approval from the applicable Regulatory Authority sufficient for the manufacture, distribution, use, marketing and sale of such pharmaceutical product in such jurisdiction in accordance with Laws. “Regulatory Approval” does not include authorization by a Regulatory Authority to conduct named patient, compassionate use or other similar activities.</w:t>
      </w:r>
    </w:p>
    <w:p>
      <w:pPr>
        <w:spacing w:after="0" w:line="85" w:lineRule="exact"/>
        <w:rPr>
          <w:sz w:val="20"/>
          <w:szCs w:val="20"/>
          <w:color w:val="auto"/>
        </w:rPr>
      </w:pPr>
    </w:p>
    <w:p>
      <w:pPr>
        <w:ind w:left="540" w:right="280" w:hanging="539"/>
        <w:spacing w:after="0" w:line="266" w:lineRule="auto"/>
        <w:tabs>
          <w:tab w:leader="none" w:pos="520" w:val="left"/>
        </w:tabs>
        <w:rPr>
          <w:sz w:val="20"/>
          <w:szCs w:val="20"/>
          <w:color w:val="auto"/>
        </w:rPr>
      </w:pPr>
      <w:r>
        <w:rPr>
          <w:rFonts w:ascii="Arial" w:cs="Arial" w:eastAsia="Arial" w:hAnsi="Arial"/>
          <w:sz w:val="18"/>
          <w:szCs w:val="18"/>
          <w:color w:val="auto"/>
        </w:rPr>
        <w:t>1.38</w:t>
        <w:tab/>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Body, including, but not limited to the FDA, or any successor agency thereto, that has responsibility for granting any licenses or approvals or granting pricing or reimbursement approvals necessary for the marketing and sale of a pharmaceutical product in any country.</w:t>
      </w:r>
    </w:p>
    <w:p>
      <w:pPr>
        <w:spacing w:after="0" w:line="81" w:lineRule="exact"/>
        <w:rPr>
          <w:sz w:val="20"/>
          <w:szCs w:val="20"/>
          <w:color w:val="auto"/>
        </w:rPr>
      </w:pPr>
    </w:p>
    <w:p>
      <w:pPr>
        <w:ind w:left="540" w:right="240" w:hanging="539"/>
        <w:spacing w:after="0" w:line="261" w:lineRule="auto"/>
        <w:tabs>
          <w:tab w:leader="none" w:pos="520" w:val="left"/>
        </w:tabs>
        <w:rPr>
          <w:sz w:val="20"/>
          <w:szCs w:val="20"/>
          <w:color w:val="auto"/>
        </w:rPr>
      </w:pPr>
      <w:r>
        <w:rPr>
          <w:rFonts w:ascii="Arial" w:cs="Arial" w:eastAsia="Arial" w:hAnsi="Arial"/>
          <w:sz w:val="18"/>
          <w:szCs w:val="18"/>
          <w:color w:val="auto"/>
        </w:rPr>
        <w:t>1.39</w:t>
        <w:tab/>
        <w:t>“</w:t>
      </w:r>
      <w:r>
        <w:rPr>
          <w:rFonts w:ascii="Arial" w:cs="Arial" w:eastAsia="Arial" w:hAnsi="Arial"/>
          <w:sz w:val="18"/>
          <w:szCs w:val="18"/>
          <w:b w:val="1"/>
          <w:bCs w:val="1"/>
          <w:color w:val="auto"/>
        </w:rPr>
        <w:t>Sale</w:t>
      </w:r>
      <w:r>
        <w:rPr>
          <w:rFonts w:ascii="Arial" w:cs="Arial" w:eastAsia="Arial" w:hAnsi="Arial"/>
          <w:sz w:val="18"/>
          <w:szCs w:val="18"/>
          <w:color w:val="auto"/>
        </w:rPr>
        <w:t>” means any transaction for which consideration is received or expected by Licensee, its Affiliates or Sublicensees for sale, use, lease, transfer or other disposition of a Product to or for the benefit of a Third Party. Sales or other dispositions for [***] shall not be deemed to be a Sale or be included in the calculation of Net Sales hereunder [***]. For clarity, sale, use, lease, transfer or other disposition of a Product [***] shall not be deemed a Sale.</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 Person (including any Affiliate) to which a Sublicense is granted pursuant to the terms of Section 2.4.</w:t>
      </w:r>
    </w:p>
    <w:p>
      <w:pPr>
        <w:spacing w:after="0" w:line="131" w:lineRule="exact"/>
        <w:rPr>
          <w:sz w:val="20"/>
          <w:szCs w:val="20"/>
          <w:color w:val="auto"/>
        </w:rPr>
      </w:pPr>
    </w:p>
    <w:p>
      <w:pPr>
        <w:ind w:left="540" w:right="140" w:hanging="539"/>
        <w:spacing w:after="0" w:line="303" w:lineRule="auto"/>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 Documents</w:t>
      </w:r>
      <w:r>
        <w:rPr>
          <w:rFonts w:ascii="Arial" w:cs="Arial" w:eastAsia="Arial" w:hAnsi="Arial"/>
          <w:sz w:val="16"/>
          <w:szCs w:val="16"/>
          <w:color w:val="auto"/>
        </w:rPr>
        <w:t>” means any and all agreements, amendments or written understandings entered into by Licensee with a non-Affiliate Sublicensee for the grant of a Sublicense. For clarity, a development agreement (other than for the development on behalf of Licensee such as a clinical research organization) or distribution agreement (other than where the distributor is not primarily responsible for the marketing of a Product) for a Product, in each case, pursuant to which a Sublicense is granted pursuant to the terms of Section 2.4, is a Sublicense Document.</w:t>
      </w:r>
    </w:p>
    <w:p>
      <w:pPr>
        <w:spacing w:after="0" w:line="56"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color w:val="auto"/>
        </w:rPr>
        <w:t>1.42</w:t>
        <w:tab/>
        <w:t>“</w:t>
      </w:r>
      <w:r>
        <w:rPr>
          <w:rFonts w:ascii="Arial" w:cs="Arial" w:eastAsia="Arial" w:hAnsi="Arial"/>
          <w:sz w:val="18"/>
          <w:szCs w:val="18"/>
          <w:b w:val="1"/>
          <w:bCs w:val="1"/>
          <w:color w:val="auto"/>
        </w:rPr>
        <w:t>Tax</w:t>
      </w:r>
      <w:r>
        <w:rPr>
          <w:rFonts w:ascii="Arial" w:cs="Arial" w:eastAsia="Arial" w:hAnsi="Arial"/>
          <w:sz w:val="18"/>
          <w:szCs w:val="18"/>
          <w:color w:val="auto"/>
        </w:rPr>
        <w:t>” means all taxes, duties, fees, premiums, assessments, imposts, levies, rates, withholdings, dues, government contributions and other charges of any kind whatsoever, whether direct or indirect, together with all interest, penalties, fines, additions to tax or other additional amounts, imposed by any Governmental Body on any payments made by or on behalf of Licensee hereunder.</w:t>
      </w:r>
    </w:p>
    <w:p>
      <w:pPr>
        <w:spacing w:after="0" w:line="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Licensor, Licensee or any of their respective Affiliates.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or “</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its territories and possessions.</w:t>
      </w:r>
    </w:p>
    <w:p>
      <w:pPr>
        <w:spacing w:after="0" w:line="131"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Arial" w:cs="Arial" w:eastAsia="Arial" w:hAnsi="Arial"/>
          <w:sz w:val="18"/>
          <w:szCs w:val="18"/>
          <w:color w:val="auto"/>
        </w:rPr>
        <w:t>1.45</w:t>
        <w:tab/>
        <w:t>“</w:t>
      </w:r>
      <w:r>
        <w:rPr>
          <w:rFonts w:ascii="Arial" w:cs="Arial" w:eastAsia="Arial" w:hAnsi="Arial"/>
          <w:sz w:val="18"/>
          <w:szCs w:val="18"/>
          <w:b w:val="1"/>
          <w:bCs w:val="1"/>
          <w:color w:val="auto"/>
        </w:rPr>
        <w:t>Upfront Amount</w:t>
      </w:r>
      <w:r>
        <w:rPr>
          <w:rFonts w:ascii="Arial" w:cs="Arial" w:eastAsia="Arial" w:hAnsi="Arial"/>
          <w:sz w:val="18"/>
          <w:szCs w:val="18"/>
          <w:color w:val="auto"/>
        </w:rPr>
        <w:t>” means amounts paid upon execution of a Sublicense, or within a defined time period thereafter, and which in each case are not contingent on milestones or other events occurring after the effective date of the Sublicense.</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USD</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the lawful currency of the United States of America.</w:t>
      </w:r>
    </w:p>
    <w:p>
      <w:pPr>
        <w:spacing w:after="0" w:line="131" w:lineRule="exact"/>
        <w:rPr>
          <w:sz w:val="20"/>
          <w:szCs w:val="20"/>
          <w:color w:val="auto"/>
        </w:rPr>
      </w:pPr>
    </w:p>
    <w:p>
      <w:pPr>
        <w:ind w:left="540" w:right="40" w:hanging="539"/>
        <w:spacing w:after="0" w:line="258" w:lineRule="auto"/>
        <w:tabs>
          <w:tab w:leader="none" w:pos="520" w:val="left"/>
        </w:tabs>
        <w:rPr>
          <w:sz w:val="20"/>
          <w:szCs w:val="20"/>
          <w:color w:val="auto"/>
        </w:rPr>
      </w:pPr>
      <w:r>
        <w:rPr>
          <w:rFonts w:ascii="Arial" w:cs="Arial" w:eastAsia="Arial" w:hAnsi="Arial"/>
          <w:sz w:val="18"/>
          <w:szCs w:val="18"/>
          <w:color w:val="auto"/>
        </w:rPr>
        <w:t>1.47</w:t>
        <w:tab/>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 an issued and unexpired patent in Licensor Patent Rights which claim has not been revoked or held unenforceable or invalid by a decision of a court or governmental agency of competent jurisdiction from which no further appeal can be taken or has been taken within the time allowed for appeal, and has not been abandoned, disclaimed, denied or admitted to be invalid or unenforceable through reissue or disclaimer and that is not admitted to be invalid or unenforceable through reissue, disclaimer or otherwise; or (b) a pending patent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70" w:name="page371"/>
    <w:bookmarkEnd w:id="370"/>
    <w:p>
      <w:pPr>
        <w:ind w:left="5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 that is included in Licensor Patent Rights which was filed and is being prosecuted in good faith, and has not been abandoned, finally disallowed or expired without the possibility of appeal or re-filing of the application; provided however that not more than [***] have elapsed from the earliest priority filing date for such application. If a claim of a patent application that ceased to be a Valid Claim under clause (b) of this subsection later issues or grants as a patent within the scope of clause (a) of this subsection, then such claim shall again be considered to be a Valid Claim, effective as of the earlier of the grant or issuance of such patent.</w:t>
      </w:r>
    </w:p>
    <w:p>
      <w:pPr>
        <w:spacing w:after="0" w:line="7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b w:val="1"/>
          <w:bCs w:val="1"/>
          <w:color w:val="auto"/>
        </w:rPr>
        <w:t>Other Terms</w:t>
      </w:r>
      <w:r>
        <w:rPr>
          <w:rFonts w:ascii="Arial" w:cs="Arial" w:eastAsia="Arial" w:hAnsi="Arial"/>
          <w:sz w:val="16"/>
          <w:szCs w:val="16"/>
          <w:color w:val="auto"/>
        </w:rPr>
        <w:t>. The definition of each of the following terms is set forth in the section of the Agreement indicated below:</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3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Section</w:t>
            </w:r>
          </w:p>
        </w:tc>
      </w:tr>
      <w:tr>
        <w:trPr>
          <w:trHeight w:val="189"/>
        </w:trPr>
        <w:tc>
          <w:tcPr>
            <w:tcW w:w="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Agreement</w:t>
            </w:r>
          </w:p>
        </w:tc>
        <w:tc>
          <w:tcPr>
            <w:tcW w:w="22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Preamble</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Anti-Stacking Percentage</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4.3.3(b)(i)</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Bankruptcy Action</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8.3.4</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Board</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Commercial Milestone</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4.2.2(a)</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Commercial Milestone Payment</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4.2.2(a)</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Development Milestone</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4.2.1(a)</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Development Milestone Payment</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4.2.1(a)</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DWORF Technology</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Recitals</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Election Notice</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5.1.1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Enforcement Action</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5.3.2</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Financial Report</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95"/>
              </w:rPr>
              <w:t>4.6</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First Step Down Date</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4.4.1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Funding Reserve</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91"/>
              </w:rPr>
              <w:t>1.30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IFRS</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95"/>
              </w:rPr>
              <w:t>1.1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Infringement Notice</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5.3.1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Issue Fee</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95"/>
              </w:rPr>
              <w:t>4.1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License</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95"/>
              </w:rPr>
              <w:t>2.1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Licensee</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Licensor</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Licensor Indemnitees</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7.1.1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M&amp;A Transaction</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91"/>
              </w:rPr>
              <w:t>1.30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Maximum Anti-Stacking Reduction</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4.3.3(b)(iii)</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Parties</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Party</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Patent Costs</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5.2.1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Patent Counsel</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5.1.1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Patent Extensions</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5.1.2</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Progress Report</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3.3.1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Royalty</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4.3.1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Royalty Period</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4.3.2</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Second Step Down Date</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4.4.1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Sublicense</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2.4.1</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System</w:t>
            </w: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95"/>
              </w:rPr>
              <w:t>1.3</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Term</w:t>
            </w:r>
          </w:p>
        </w:tc>
        <w:tc>
          <w:tcPr>
            <w:tcW w:w="4340" w:type="dxa"/>
            <w:vAlign w:val="bottom"/>
            <w:gridSpan w:val="2"/>
          </w:tcPr>
          <w:p>
            <w:pPr>
              <w:jc w:val="center"/>
              <w:ind w:left="3410"/>
              <w:spacing w:after="0"/>
              <w:rPr>
                <w:sz w:val="20"/>
                <w:szCs w:val="20"/>
                <w:color w:val="auto"/>
              </w:rPr>
            </w:pPr>
            <w:r>
              <w:rPr>
                <w:rFonts w:ascii="Arial" w:cs="Arial" w:eastAsia="Arial" w:hAnsi="Arial"/>
                <w:sz w:val="18"/>
                <w:szCs w:val="18"/>
                <w:color w:val="auto"/>
                <w:w w:val="95"/>
              </w:rPr>
              <w:t>8.1</w:t>
            </w: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UT Southwestern</w:t>
            </w:r>
          </w:p>
        </w:tc>
        <w:tc>
          <w:tcPr>
            <w:tcW w:w="35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365"/>
        </w:trPr>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500" w:type="dxa"/>
            <w:vAlign w:val="bottom"/>
          </w:tcPr>
          <w:p>
            <w:pPr>
              <w:jc w:val="right"/>
              <w:ind w:right="277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LICENSES AND OTHER RIGHTS</w:t>
      </w: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Grant of License</w:t>
      </w:r>
      <w:r>
        <w:rPr>
          <w:rFonts w:ascii="Arial" w:cs="Arial" w:eastAsia="Arial" w:hAnsi="Arial"/>
          <w:sz w:val="16"/>
          <w:szCs w:val="16"/>
          <w:color w:val="auto"/>
        </w:rPr>
        <w:t>. Subject to the terms and conditions of this Agreement, Licensor hereby grants to Licensee:</w:t>
      </w:r>
    </w:p>
    <w:p>
      <w:pPr>
        <w:spacing w:after="0" w:line="121" w:lineRule="exact"/>
        <w:rPr>
          <w:sz w:val="20"/>
          <w:szCs w:val="20"/>
          <w:color w:val="auto"/>
        </w:rPr>
      </w:pPr>
    </w:p>
    <w:p>
      <w:pPr>
        <w:ind w:left="980" w:right="100" w:firstLine="7"/>
        <w:spacing w:after="0" w:line="286" w:lineRule="auto"/>
        <w:tabs>
          <w:tab w:leader="none" w:pos="122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an exclusive, worldwide, royalty-bearing right and license (with the right to grant sublicenses, through multiple tiers, as provided in, and subject to, the provisions of Section 2.4) under the Licensor Patent Rights to develop, make, have made, use, sell, offer to sell, import and commercialize Products and otherwise exploit the Licensor Patent Rights in the Field of Use; and</w:t>
      </w:r>
    </w:p>
    <w:p>
      <w:pPr>
        <w:spacing w:after="0" w:line="57" w:lineRule="exact"/>
        <w:rPr>
          <w:rFonts w:ascii="Arial" w:cs="Arial" w:eastAsia="Arial" w:hAnsi="Arial"/>
          <w:sz w:val="17"/>
          <w:szCs w:val="17"/>
          <w:color w:val="auto"/>
        </w:rPr>
      </w:pPr>
    </w:p>
    <w:p>
      <w:pPr>
        <w:ind w:left="980" w:firstLine="7"/>
        <w:spacing w:after="0" w:line="286" w:lineRule="auto"/>
        <w:tabs>
          <w:tab w:leader="none" w:pos="123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 limited, worldwide, non-exclusive, non-sublicensable (except in connection with a Sublicense for the Product) right and license to the Licensor Material for exploitation of the license under the Licensor Patent Rights in subsection (a) (the “</w:t>
      </w:r>
      <w:r>
        <w:rPr>
          <w:rFonts w:ascii="Arial" w:cs="Arial" w:eastAsia="Arial" w:hAnsi="Arial"/>
          <w:sz w:val="17"/>
          <w:szCs w:val="17"/>
          <w:b w:val="1"/>
          <w:bCs w:val="1"/>
          <w:color w:val="auto"/>
        </w:rPr>
        <w:t>License</w:t>
      </w:r>
      <w:r>
        <w:rPr>
          <w:rFonts w:ascii="Arial" w:cs="Arial" w:eastAsia="Arial" w:hAnsi="Arial"/>
          <w:sz w:val="17"/>
          <w:szCs w:val="17"/>
          <w:color w:val="auto"/>
        </w:rPr>
        <w:t>”). For clarity, nothing in this Section 2.1(b) shall limit the exclusivity of the license granted under Licensor Patent Rights in Section 2.1(a).</w:t>
      </w:r>
    </w:p>
    <w:p>
      <w:pPr>
        <w:spacing w:after="0" w:line="57" w:lineRule="exact"/>
        <w:rPr>
          <w:rFonts w:ascii="Arial" w:cs="Arial" w:eastAsia="Arial" w:hAnsi="Arial"/>
          <w:sz w:val="17"/>
          <w:szCs w:val="17"/>
          <w:color w:val="auto"/>
        </w:rPr>
      </w:pPr>
    </w:p>
    <w:p>
      <w:pPr>
        <w:ind w:left="1240" w:hanging="253"/>
        <w:spacing w:after="0"/>
        <w:tabs>
          <w:tab w:leader="none" w:pos="12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For clarity, the license granted pursuant to Section 2.1(b) includes the right to transfer the Licensor Materials to (x) Sublicensees and</w:t>
      </w:r>
    </w:p>
    <w:p>
      <w:pPr>
        <w:spacing w:after="0" w:line="46" w:lineRule="exact"/>
        <w:rPr>
          <w:rFonts w:ascii="Arial" w:cs="Arial" w:eastAsia="Arial" w:hAnsi="Arial"/>
          <w:sz w:val="16"/>
          <w:szCs w:val="16"/>
          <w:color w:val="auto"/>
        </w:rPr>
      </w:pPr>
    </w:p>
    <w:p>
      <w:pPr>
        <w:ind w:left="980" w:right="80" w:firstLine="7"/>
        <w:spacing w:after="0" w:line="281" w:lineRule="auto"/>
        <w:tabs>
          <w:tab w:leader="none" w:pos="123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Third Parties acting on behalf of Licensee or a Sublicensee and to grant limited rights in such Licensor Materials to such Third Parties acting on behalf of Licensee and Sublicensee, provided that: (i) such transfer is solely for Licensee’s or Sublicensees’ exploitation of the license granted under the Licensor Patent Rights in Section 2.1(a); and (ii) such Sublicensees and Third Parties are bound in a writing that includes: (x) a restriction that prohibits the further transfer or any use of the Licensor Materials inconsistent with this Agreement; and</w:t>
      </w:r>
    </w:p>
    <w:p>
      <w:pPr>
        <w:spacing w:after="0" w:line="2" w:lineRule="exact"/>
        <w:rPr>
          <w:rFonts w:ascii="Arial" w:cs="Arial" w:eastAsia="Arial" w:hAnsi="Arial"/>
          <w:sz w:val="16"/>
          <w:szCs w:val="16"/>
          <w:color w:val="auto"/>
        </w:rPr>
      </w:pPr>
    </w:p>
    <w:p>
      <w:pPr>
        <w:ind w:left="980" w:right="80" w:firstLine="7"/>
        <w:spacing w:after="0" w:line="260" w:lineRule="auto"/>
        <w:tabs>
          <w:tab w:leader="none" w:pos="123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confidentiality provisions with respect to Confidential Information of Licensor concerning such Licensor Materials consistent with the restrictions on Licensee in Section 5.5 of this Agreement.</w:t>
      </w:r>
    </w:p>
    <w:p>
      <w:pPr>
        <w:spacing w:after="0" w:line="87" w:lineRule="exact"/>
        <w:rPr>
          <w:sz w:val="20"/>
          <w:szCs w:val="20"/>
          <w:color w:val="auto"/>
        </w:rPr>
      </w:pPr>
    </w:p>
    <w:p>
      <w:pPr>
        <w:ind w:left="540" w:right="80" w:hanging="539"/>
        <w:spacing w:after="0" w:line="266" w:lineRule="auto"/>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Retained Rights by Licensor</w:t>
      </w:r>
      <w:r>
        <w:rPr>
          <w:rFonts w:ascii="Arial" w:cs="Arial" w:eastAsia="Arial" w:hAnsi="Arial"/>
          <w:sz w:val="18"/>
          <w:szCs w:val="18"/>
          <w:color w:val="auto"/>
        </w:rPr>
        <w:t>. Notwithstanding the License, Licensor retains the right under Licensor Patent Rights to: (a) conduct educational,</w:t>
      </w:r>
      <w:r>
        <w:rPr>
          <w:rFonts w:ascii="Arial" w:cs="Arial" w:eastAsia="Arial" w:hAnsi="Arial"/>
          <w:sz w:val="18"/>
          <w:szCs w:val="18"/>
          <w:b w:val="1"/>
          <w:bCs w:val="1"/>
          <w:color w:val="auto"/>
        </w:rPr>
        <w:t xml:space="preserve"> </w:t>
      </w:r>
      <w:r>
        <w:rPr>
          <w:rFonts w:ascii="Arial" w:cs="Arial" w:eastAsia="Arial" w:hAnsi="Arial"/>
          <w:sz w:val="18"/>
          <w:szCs w:val="18"/>
          <w:color w:val="auto"/>
        </w:rPr>
        <w:t>non-commercial research activities itself and (b) authorize non-commercial Third Parties to conduct educational and non-commercial research activities.</w:t>
      </w:r>
    </w:p>
    <w:p>
      <w:pPr>
        <w:spacing w:after="0" w:line="81" w:lineRule="exact"/>
        <w:rPr>
          <w:sz w:val="20"/>
          <w:szCs w:val="20"/>
          <w:color w:val="auto"/>
        </w:rPr>
      </w:pPr>
    </w:p>
    <w:p>
      <w:pPr>
        <w:ind w:left="540" w:hanging="539"/>
        <w:spacing w:after="0" w:line="274"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b w:val="1"/>
          <w:bCs w:val="1"/>
          <w:color w:val="auto"/>
        </w:rPr>
        <w:t>U.S. Government Rights</w:t>
      </w:r>
      <w:r>
        <w:rPr>
          <w:rFonts w:ascii="Arial" w:cs="Arial" w:eastAsia="Arial" w:hAnsi="Arial"/>
          <w:sz w:val="17"/>
          <w:szCs w:val="17"/>
          <w:color w:val="auto"/>
        </w:rPr>
        <w:t>. The License is expressly subject to all applicable obligations to the United States Federal Government under 35</w:t>
      </w:r>
      <w:r>
        <w:rPr>
          <w:rFonts w:ascii="Arial" w:cs="Arial" w:eastAsia="Arial" w:hAnsi="Arial"/>
          <w:sz w:val="17"/>
          <w:szCs w:val="17"/>
          <w:b w:val="1"/>
          <w:bCs w:val="1"/>
          <w:color w:val="auto"/>
        </w:rPr>
        <w:t xml:space="preserve"> </w:t>
      </w:r>
      <w:r>
        <w:rPr>
          <w:rFonts w:ascii="Arial" w:cs="Arial" w:eastAsia="Arial" w:hAnsi="Arial"/>
          <w:sz w:val="17"/>
          <w:szCs w:val="17"/>
          <w:color w:val="auto"/>
        </w:rPr>
        <w:t>U.S.C. §§200-212, applicable governmental implementing regulations, including that products that result from intellectual property funded by the United States Federal Government that are sold in the United States be substantially manufactured in the United States to the extent so required by such Laws and regulations. In the event that Licensee makes a good faith request to Licensor in writing to assist in obtaining a waiver of such requirement to substantially manufacture products in the United States from the United States Government, then Licensor shall, at the reasonable cost of Licensee, diligently cooperate and assist in obtaining such waiver.</w:t>
      </w:r>
    </w:p>
    <w:p>
      <w:pPr>
        <w:spacing w:after="0" w:line="7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color w:val="auto"/>
        </w:rPr>
        <w:t>Grant of Sublicense by Licensee</w:t>
      </w:r>
      <w:r>
        <w:rPr>
          <w:rFonts w:ascii="Arial" w:cs="Arial" w:eastAsia="Arial" w:hAnsi="Arial"/>
          <w:sz w:val="15"/>
          <w:szCs w:val="15"/>
          <w:color w:val="auto"/>
        </w:rPr>
        <w:t>.</w:t>
      </w:r>
    </w:p>
    <w:p>
      <w:pPr>
        <w:spacing w:after="0" w:line="135" w:lineRule="exact"/>
        <w:rPr>
          <w:sz w:val="20"/>
          <w:szCs w:val="20"/>
          <w:color w:val="auto"/>
        </w:rPr>
      </w:pPr>
    </w:p>
    <w:p>
      <w:pPr>
        <w:ind w:left="1180" w:right="140" w:hanging="647"/>
        <w:spacing w:after="0" w:line="342" w:lineRule="auto"/>
        <w:tabs>
          <w:tab w:leader="none" w:pos="11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Licensor grants to Licensee the right to grant sublicenses under the Licensor Patent Rights, in whole or in part, through multiple tiers, under the license granted in Section 2.1(a) of the License (each, a “</w:t>
      </w:r>
      <w:r>
        <w:rPr>
          <w:rFonts w:ascii="Arial" w:cs="Arial" w:eastAsia="Arial" w:hAnsi="Arial"/>
          <w:sz w:val="16"/>
          <w:szCs w:val="16"/>
          <w:b w:val="1"/>
          <w:bCs w:val="1"/>
          <w:color w:val="auto"/>
        </w:rPr>
        <w:t>Sublicense</w:t>
      </w:r>
      <w:r>
        <w:rPr>
          <w:rFonts w:ascii="Arial" w:cs="Arial" w:eastAsia="Arial" w:hAnsi="Arial"/>
          <w:sz w:val="16"/>
          <w:szCs w:val="16"/>
          <w:color w:val="auto"/>
        </w:rPr>
        <w:t>”) subject to the terms and conditions of this Agreement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72" w:name="page373"/>
    <w:bookmarkEnd w:id="372"/>
    <w:p>
      <w:pPr>
        <w:ind w:left="118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specifically this Section 2.4. For clarity, Licensee may grant sublicenses to the Licensor Material in connection with a Sublicense for the Product as provided in Section 2.1(b) and 2.1(c).</w:t>
      </w:r>
    </w:p>
    <w:p>
      <w:pPr>
        <w:spacing w:after="0" w:line="76" w:lineRule="exact"/>
        <w:rPr>
          <w:sz w:val="20"/>
          <w:szCs w:val="20"/>
          <w:color w:val="auto"/>
        </w:rPr>
      </w:pPr>
    </w:p>
    <w:p>
      <w:pPr>
        <w:ind w:left="1160" w:right="240" w:hanging="647"/>
        <w:spacing w:after="0" w:line="277" w:lineRule="auto"/>
        <w:tabs>
          <w:tab w:leader="none" w:pos="11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All Sublicenses granted to a non-Affiliate will be granted in agreements that (a) are in writing, (b) to the extent applicable, include or incorporate terms and conditions [***] and (c) [***]:</w:t>
      </w:r>
    </w:p>
    <w:p>
      <w:pPr>
        <w:spacing w:after="0" w:line="76" w:lineRule="exact"/>
        <w:rPr>
          <w:sz w:val="20"/>
          <w:szCs w:val="20"/>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20" w:hanging="543"/>
        <w:spacing w:after="0"/>
        <w:tabs>
          <w:tab w:leader="none" w:pos="1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1160" w:right="80" w:hanging="647"/>
        <w:spacing w:after="0" w:line="275" w:lineRule="auto"/>
        <w:tabs>
          <w:tab w:leader="none" w:pos="11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7"/>
          <w:szCs w:val="17"/>
          <w:color w:val="auto"/>
        </w:rPr>
        <w:t>If Licensee grants a Sublicense in an agreement that does not [***] as set forth in Section 2.4.2 or is not granted in accordance with Section 2.4.1, Licensor shall notify Licensee that such Sublicense is not accordance with Sections 2.4.1 and 2.4.2, and specify the basis for such notice. Upon receipt of such notice from Licensor, Licensee shall have the right, for [***] such notice from Licensor to obtain from such Sublicensee written agreement that such Sublicensee will comply with the terms and conditions [***] applicable to such Sublicensee. If Licensee receives such agreement from such Sublicensee within such [***], Licensee [***].</w:t>
      </w:r>
    </w:p>
    <w:p>
      <w:pPr>
        <w:spacing w:after="0" w:line="82" w:lineRule="exact"/>
        <w:rPr>
          <w:sz w:val="20"/>
          <w:szCs w:val="20"/>
          <w:color w:val="auto"/>
        </w:rPr>
      </w:pPr>
    </w:p>
    <w:p>
      <w:pPr>
        <w:ind w:left="1160" w:right="300" w:hanging="647"/>
        <w:spacing w:after="0" w:line="277" w:lineRule="auto"/>
        <w:tabs>
          <w:tab w:leader="none" w:pos="11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Within [***] after the execution of a Sublicense Document, Licensee shall provide a complete and accurate copy of such Sublicense Document to Licensor.</w:t>
      </w:r>
    </w:p>
    <w:p>
      <w:pPr>
        <w:spacing w:after="0" w:line="72" w:lineRule="exact"/>
        <w:rPr>
          <w:sz w:val="20"/>
          <w:szCs w:val="20"/>
          <w:color w:val="auto"/>
        </w:rPr>
      </w:pPr>
    </w:p>
    <w:p>
      <w:pPr>
        <w:ind w:left="520" w:right="140" w:hanging="539"/>
        <w:spacing w:after="0" w:line="281" w:lineRule="auto"/>
        <w:tabs>
          <w:tab w:leader="none" w:pos="5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b w:val="1"/>
          <w:bCs w:val="1"/>
          <w:color w:val="auto"/>
        </w:rPr>
        <w:t>No Implied License</w:t>
      </w:r>
      <w:r>
        <w:rPr>
          <w:rFonts w:ascii="Arial" w:cs="Arial" w:eastAsia="Arial" w:hAnsi="Arial"/>
          <w:sz w:val="17"/>
          <w:szCs w:val="17"/>
          <w:color w:val="auto"/>
        </w:rPr>
        <w:t>. Each Party acknowledges that the rights and licenses granted in this Agreement are limited to the scope expressly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Accordingly, except for the rights expressly granted under this Agreement, no right, title, or interest of any nature whatsoever is granted whether by implication, estoppel, reliance, or otherwise, by either Party to the other Party. All rights with respect to any know-how, patent or other intellectual property rights that are not specifically granted herein are reserved to the owner thereof.</w:t>
      </w:r>
    </w:p>
    <w:p>
      <w:pPr>
        <w:spacing w:after="0" w:line="38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DILIGENCE</w:t>
      </w:r>
    </w:p>
    <w:p>
      <w:pPr>
        <w:spacing w:after="0" w:line="234" w:lineRule="exact"/>
        <w:rPr>
          <w:sz w:val="20"/>
          <w:szCs w:val="20"/>
          <w:color w:val="auto"/>
        </w:rPr>
      </w:pPr>
    </w:p>
    <w:p>
      <w:pPr>
        <w:ind w:left="520" w:hanging="539"/>
        <w:spacing w:after="0" w:line="282" w:lineRule="auto"/>
        <w:tabs>
          <w:tab w:leader="none" w:pos="5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color w:val="auto"/>
        </w:rPr>
        <w:t>General Diligence</w:t>
      </w:r>
      <w:r>
        <w:rPr>
          <w:rFonts w:ascii="Arial" w:cs="Arial" w:eastAsia="Arial" w:hAnsi="Arial"/>
          <w:sz w:val="18"/>
          <w:szCs w:val="18"/>
          <w:color w:val="auto"/>
        </w:rPr>
        <w:t>. Licensee, itself or through its Affiliates, Sublicensees or partners and/or its or their contractors shall use [***] to: (a)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one Product [***], and obtain and maintain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373" w:name="page374"/>
    <w:bookmarkEnd w:id="373"/>
    <w:p>
      <w:pPr>
        <w:jc w:val="both"/>
        <w:ind w:left="540"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Governmental Approvals and Regulatory Approvals, as may be necessary for the sale of such Product, (b) after receipt of Regulatory Approval for such Product, commercialize such Product and (c) develop at least one Product (whether the same as or different than the first Product) [***].</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Diligence Events</w:t>
      </w:r>
      <w:r>
        <w:rPr>
          <w:rFonts w:ascii="Arial" w:cs="Arial" w:eastAsia="Arial" w:hAnsi="Arial"/>
          <w:sz w:val="15"/>
          <w:szCs w:val="15"/>
          <w:color w:val="auto"/>
        </w:rPr>
        <w:t>.</w:t>
      </w:r>
    </w:p>
    <w:p>
      <w:pPr>
        <w:spacing w:after="0" w:line="135" w:lineRule="exact"/>
        <w:rPr>
          <w:sz w:val="20"/>
          <w:szCs w:val="20"/>
          <w:color w:val="auto"/>
        </w:rPr>
      </w:pPr>
    </w:p>
    <w:p>
      <w:pPr>
        <w:ind w:left="1180" w:right="20" w:hanging="647"/>
        <w:spacing w:after="0" w:line="259"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Licensee, itself or through its Affiliates, Sublicensees or partners and/or its or their contractors shall use [***] to achieve each Diligence Event by the corresponding Achievement Date with respect to a Product. Licensee may extend any Achievement Date for a Diligence Event by [***]. If a Diligence Event is so extended, subsequent Diligence Events would be automatically extended by the same amount of time.</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2"/>
              </w:rPr>
              <w:t>Diligence Event</w:t>
            </w:r>
          </w:p>
        </w:tc>
        <w:tc>
          <w:tcPr>
            <w:tcW w:w="57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Achievement</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vMerge w:val="continue"/>
          </w:tcPr>
          <w:p>
            <w:pPr>
              <w:spacing w:after="0"/>
              <w:rPr>
                <w:sz w:val="15"/>
                <w:szCs w:val="15"/>
                <w:color w:val="auto"/>
              </w:rPr>
            </w:pPr>
          </w:p>
        </w:tc>
        <w:tc>
          <w:tcPr>
            <w:tcW w:w="570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98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570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6500" w:type="dxa"/>
            <w:vAlign w:val="bottom"/>
            <w:gridSpan w:val="2"/>
          </w:tcPr>
          <w:p>
            <w:pPr>
              <w:jc w:val="center"/>
              <w:ind w:left="5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6500" w:type="dxa"/>
            <w:vAlign w:val="bottom"/>
            <w:gridSpan w:val="2"/>
          </w:tcPr>
          <w:p>
            <w:pPr>
              <w:jc w:val="center"/>
              <w:ind w:left="5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6500" w:type="dxa"/>
            <w:vAlign w:val="bottom"/>
            <w:gridSpan w:val="2"/>
          </w:tcPr>
          <w:p>
            <w:pPr>
              <w:jc w:val="center"/>
              <w:ind w:left="5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Licensee’s obligation to use [***] with respect to a [***] for the Product as set forth in Section 3.1(c) shall be deemed satisfied upon the completion of [***] for [***].</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color w:val="auto"/>
        </w:rPr>
        <w:t>Progress Reports</w:t>
      </w:r>
      <w:r>
        <w:rPr>
          <w:rFonts w:ascii="Arial" w:cs="Arial" w:eastAsia="Arial" w:hAnsi="Arial"/>
          <w:sz w:val="15"/>
          <w:szCs w:val="15"/>
          <w:color w:val="auto"/>
        </w:rPr>
        <w:t>.</w:t>
      </w:r>
    </w:p>
    <w:p>
      <w:pPr>
        <w:spacing w:after="0" w:line="135" w:lineRule="exact"/>
        <w:rPr>
          <w:sz w:val="20"/>
          <w:szCs w:val="20"/>
          <w:color w:val="auto"/>
        </w:rPr>
      </w:pPr>
    </w:p>
    <w:p>
      <w:pPr>
        <w:jc w:val="both"/>
        <w:ind w:left="1180" w:right="360" w:hanging="647"/>
        <w:spacing w:after="0" w:line="311" w:lineRule="auto"/>
        <w:tabs>
          <w:tab w:leader="none" w:pos="11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Until the First Commercial Sale of a Product in a Major Market, Licensee on [***] basis, [***], shall submit to Licensor a progress report (each, a “</w:t>
      </w:r>
      <w:r>
        <w:rPr>
          <w:rFonts w:ascii="Arial" w:cs="Arial" w:eastAsia="Arial" w:hAnsi="Arial"/>
          <w:sz w:val="16"/>
          <w:szCs w:val="16"/>
          <w:b w:val="1"/>
          <w:bCs w:val="1"/>
          <w:color w:val="auto"/>
        </w:rPr>
        <w:t>Progress Report</w:t>
      </w:r>
      <w:r>
        <w:rPr>
          <w:rFonts w:ascii="Arial" w:cs="Arial" w:eastAsia="Arial" w:hAnsi="Arial"/>
          <w:sz w:val="16"/>
          <w:szCs w:val="16"/>
          <w:color w:val="auto"/>
        </w:rPr>
        <w:t>”) providing a high-level summary of Licensee’s (and any Affiliates’ and Sublicensees’) activities related to the development of Products and the obtaining of Governmental Approvals necessary for commercialization of Products.</w:t>
      </w:r>
    </w:p>
    <w:p>
      <w:pPr>
        <w:spacing w:after="0" w:line="54"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Progress Reports must include a summary of the following as applicable:</w:t>
      </w:r>
    </w:p>
    <w:p>
      <w:pPr>
        <w:spacing w:after="0" w:line="131" w:lineRule="exact"/>
        <w:rPr>
          <w:sz w:val="20"/>
          <w:szCs w:val="20"/>
          <w:color w:val="auto"/>
        </w:rPr>
      </w:pPr>
    </w:p>
    <w:p>
      <w:pPr>
        <w:ind w:left="1740" w:hanging="543"/>
        <w:spacing w:after="0"/>
        <w:tabs>
          <w:tab w:leader="none" w:pos="17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Summary of work completed for such period and high-level summary of activities anticipated for the following calendar year;</w:t>
      </w:r>
    </w:p>
    <w:p>
      <w:pPr>
        <w:spacing w:after="0" w:line="153" w:lineRule="exact"/>
        <w:rPr>
          <w:rFonts w:ascii="Arial" w:cs="Arial" w:eastAsia="Arial" w:hAnsi="Arial"/>
          <w:sz w:val="16"/>
          <w:szCs w:val="16"/>
          <w:color w:val="auto"/>
        </w:rPr>
      </w:pPr>
    </w:p>
    <w:p>
      <w:pPr>
        <w:ind w:left="1740" w:hanging="543"/>
        <w:spacing w:after="0"/>
        <w:tabs>
          <w:tab w:leader="none" w:pos="17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Work in progress;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Current schedule of anticipated events or milestones, including anticipated timeline for achievement of Diligence Events; and</w:t>
      </w:r>
    </w:p>
    <w:p>
      <w:pPr>
        <w:spacing w:after="0" w:line="153" w:lineRule="exact"/>
        <w:rPr>
          <w:rFonts w:ascii="Arial" w:cs="Arial" w:eastAsia="Arial" w:hAnsi="Arial"/>
          <w:sz w:val="16"/>
          <w:szCs w:val="16"/>
          <w:color w:val="auto"/>
        </w:rPr>
      </w:pPr>
    </w:p>
    <w:p>
      <w:pPr>
        <w:ind w:left="1740" w:hanging="543"/>
        <w:spacing w:after="0"/>
        <w:tabs>
          <w:tab w:leader="none" w:pos="17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 updated listing of any and all Sublicenses granted by Licensee.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PROVISIONS</w:t>
      </w:r>
    </w:p>
    <w:p>
      <w:pPr>
        <w:spacing w:after="0" w:line="234"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Issue Fee</w:t>
      </w:r>
      <w:r>
        <w:rPr>
          <w:rFonts w:ascii="Arial" w:cs="Arial" w:eastAsia="Arial" w:hAnsi="Arial"/>
          <w:sz w:val="18"/>
          <w:szCs w:val="18"/>
          <w:color w:val="auto"/>
        </w:rPr>
        <w:t>. In partial consideration of the License, Licensee will pay to Licensor a one-time license issue fee of [***] (“</w:t>
      </w:r>
      <w:r>
        <w:rPr>
          <w:rFonts w:ascii="Arial" w:cs="Arial" w:eastAsia="Arial" w:hAnsi="Arial"/>
          <w:sz w:val="18"/>
          <w:szCs w:val="18"/>
          <w:b w:val="1"/>
          <w:bCs w:val="1"/>
          <w:color w:val="auto"/>
        </w:rPr>
        <w:t>Issue Fee</w:t>
      </w:r>
      <w:r>
        <w:rPr>
          <w:rFonts w:ascii="Arial" w:cs="Arial" w:eastAsia="Arial" w:hAnsi="Arial"/>
          <w:sz w:val="18"/>
          <w:szCs w:val="18"/>
          <w:color w:val="auto"/>
        </w:rPr>
        <w:t>”) within [***]</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Effective Date. The Issue Fee is non-refundable and non-creditable against any other amounts, including any royalties due by Licensee. Notwithstanding the foregoing, the Issue Fee is inclusive of the reimbursable patent prosecution costs incurred by Licensor prior to the Effective Date of the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74" w:name="page375"/>
    <w:bookmarkEnd w:id="37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w:t>
      </w:r>
      <w:r>
        <w:rPr>
          <w:sz w:val="20"/>
          <w:szCs w:val="20"/>
          <w:color w:val="auto"/>
        </w:rPr>
        <w:tab/>
      </w:r>
      <w:r>
        <w:rPr>
          <w:rFonts w:ascii="Arial" w:cs="Arial" w:eastAsia="Arial" w:hAnsi="Arial"/>
          <w:sz w:val="15"/>
          <w:szCs w:val="15"/>
          <w:b w:val="1"/>
          <w:bCs w:val="1"/>
          <w:color w:val="auto"/>
        </w:rPr>
        <w:t>Milestone Payments</w:t>
      </w:r>
      <w:r>
        <w:rPr>
          <w:rFonts w:ascii="Arial" w:cs="Arial" w:eastAsia="Arial" w:hAnsi="Arial"/>
          <w:sz w:val="15"/>
          <w:szCs w:val="15"/>
          <w:color w:val="auto"/>
        </w:rPr>
        <w: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b w:val="1"/>
          <w:bCs w:val="1"/>
          <w:color w:val="auto"/>
        </w:rPr>
        <w:t>Development Milestones</w:t>
      </w:r>
    </w:p>
    <w:p>
      <w:pPr>
        <w:spacing w:after="0" w:line="135" w:lineRule="exact"/>
        <w:rPr>
          <w:sz w:val="20"/>
          <w:szCs w:val="20"/>
          <w:color w:val="auto"/>
        </w:rPr>
      </w:pPr>
    </w:p>
    <w:p>
      <w:pPr>
        <w:ind w:left="1740" w:right="40" w:hanging="543"/>
        <w:spacing w:after="0" w:line="273" w:lineRule="auto"/>
        <w:tabs>
          <w:tab w:leader="none" w:pos="17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As additional consideration for the License, Licensee will pay Licensor the following development milestone payments (each, a “</w:t>
      </w:r>
      <w:r>
        <w:rPr>
          <w:rFonts w:ascii="Arial" w:cs="Arial" w:eastAsia="Arial" w:hAnsi="Arial"/>
          <w:sz w:val="17"/>
          <w:szCs w:val="17"/>
          <w:b w:val="1"/>
          <w:bCs w:val="1"/>
          <w:color w:val="auto"/>
        </w:rPr>
        <w:t>Development Milestone Payment</w:t>
      </w:r>
      <w:r>
        <w:rPr>
          <w:rFonts w:ascii="Arial" w:cs="Arial" w:eastAsia="Arial" w:hAnsi="Arial"/>
          <w:sz w:val="17"/>
          <w:szCs w:val="17"/>
          <w:color w:val="auto"/>
        </w:rPr>
        <w:t>”) upon the first achievement of such milestones by Licensee, its Affiliates or Sublicensee (each, a “</w:t>
      </w:r>
      <w:r>
        <w:rPr>
          <w:rFonts w:ascii="Arial" w:cs="Arial" w:eastAsia="Arial" w:hAnsi="Arial"/>
          <w:sz w:val="17"/>
          <w:szCs w:val="17"/>
          <w:b w:val="1"/>
          <w:bCs w:val="1"/>
          <w:color w:val="auto"/>
        </w:rPr>
        <w:t>Development Milestone</w:t>
      </w:r>
      <w:r>
        <w:rPr>
          <w:rFonts w:ascii="Arial" w:cs="Arial" w:eastAsia="Arial" w:hAnsi="Arial"/>
          <w:sz w:val="17"/>
          <w:szCs w:val="17"/>
          <w:color w:val="auto"/>
        </w:rPr>
        <w:t>”). Licensee shall notify Licensor in writing of the achievement of any such Development Milestone within [***] of such achievement by Licensee or its Affiliates (or if achieved by a Sublicensee, then within [***] of such Sublicensee notifying Licensee of such achievement by Sublicensee) and Licensee shall pay Licensor, in full, the corresponding Development Milestone Payment within [***] after such notice to Licensor. For clarity, [***].</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48"/>
        </w:trPr>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w w:val="88"/>
              </w:rPr>
              <w:t>No.</w:t>
            </w:r>
          </w:p>
        </w:tc>
        <w:tc>
          <w:tcPr>
            <w:tcW w:w="520" w:type="dxa"/>
            <w:vAlign w:val="bottom"/>
          </w:tcPr>
          <w:p>
            <w:pPr>
              <w:spacing w:after="0"/>
              <w:rPr>
                <w:sz w:val="12"/>
                <w:szCs w:val="12"/>
                <w:color w:val="auto"/>
              </w:rPr>
            </w:pPr>
          </w:p>
        </w:tc>
        <w:tc>
          <w:tcPr>
            <w:tcW w:w="644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Development Milestone</w:t>
            </w:r>
          </w:p>
        </w:tc>
        <w:tc>
          <w:tcPr>
            <w:tcW w:w="1180" w:type="dxa"/>
            <w:vAlign w:val="bottom"/>
            <w:gridSpan w:val="3"/>
          </w:tcPr>
          <w:p>
            <w:pPr>
              <w:jc w:val="center"/>
              <w:ind w:right="270"/>
              <w:spacing w:after="0" w:line="149" w:lineRule="exact"/>
              <w:rPr>
                <w:sz w:val="20"/>
                <w:szCs w:val="20"/>
                <w:color w:val="auto"/>
              </w:rPr>
            </w:pPr>
            <w:r>
              <w:rPr>
                <w:rFonts w:ascii="Arial" w:cs="Arial" w:eastAsia="Arial" w:hAnsi="Arial"/>
                <w:sz w:val="14"/>
                <w:szCs w:val="14"/>
                <w:b w:val="1"/>
                <w:bCs w:val="1"/>
                <w:color w:val="auto"/>
                <w:w w:val="93"/>
              </w:rPr>
              <w:t>Payment (in</w:t>
            </w:r>
          </w:p>
        </w:tc>
        <w:tc>
          <w:tcPr>
            <w:tcW w:w="0" w:type="dxa"/>
            <w:vAlign w:val="bottom"/>
          </w:tcPr>
          <w:p>
            <w:pPr>
              <w:spacing w:after="0"/>
              <w:rPr>
                <w:sz w:val="1"/>
                <w:szCs w:val="1"/>
                <w:color w:val="auto"/>
              </w:rPr>
            </w:pPr>
          </w:p>
        </w:tc>
      </w:tr>
      <w:tr>
        <w:trPr>
          <w:trHeight w:val="178"/>
        </w:trPr>
        <w:tc>
          <w:tcPr>
            <w:tcW w:w="220" w:type="dxa"/>
            <w:vAlign w:val="bottom"/>
            <w:tcBorders>
              <w:bottom w:val="single" w:sz="8" w:color="auto"/>
            </w:tcBorders>
            <w:vMerge w:val="continue"/>
          </w:tcPr>
          <w:p>
            <w:pPr>
              <w:spacing w:after="0"/>
              <w:rPr>
                <w:sz w:val="15"/>
                <w:szCs w:val="15"/>
                <w:color w:val="auto"/>
              </w:rPr>
            </w:pPr>
          </w:p>
        </w:tc>
        <w:tc>
          <w:tcPr>
            <w:tcW w:w="520" w:type="dxa"/>
            <w:vAlign w:val="bottom"/>
          </w:tcPr>
          <w:p>
            <w:pPr>
              <w:spacing w:after="0"/>
              <w:rPr>
                <w:sz w:val="15"/>
                <w:szCs w:val="15"/>
                <w:color w:val="auto"/>
              </w:rPr>
            </w:pPr>
          </w:p>
        </w:tc>
        <w:tc>
          <w:tcPr>
            <w:tcW w:w="6440" w:type="dxa"/>
            <w:vAlign w:val="bottom"/>
            <w:gridSpan w:val="2"/>
            <w:vMerge w:val="continue"/>
          </w:tcPr>
          <w:p>
            <w:pPr>
              <w:spacing w:after="0"/>
              <w:rPr>
                <w:sz w:val="15"/>
                <w:szCs w:val="15"/>
                <w:color w:val="auto"/>
              </w:rPr>
            </w:pPr>
          </w:p>
        </w:tc>
        <w:tc>
          <w:tcPr>
            <w:tcW w:w="1180" w:type="dxa"/>
            <w:vAlign w:val="bottom"/>
            <w:gridSpan w:val="3"/>
          </w:tcPr>
          <w:p>
            <w:pPr>
              <w:jc w:val="center"/>
              <w:ind w:right="290"/>
              <w:spacing w:after="0" w:line="158" w:lineRule="exact"/>
              <w:rPr>
                <w:sz w:val="20"/>
                <w:szCs w:val="20"/>
                <w:color w:val="auto"/>
              </w:rPr>
            </w:pPr>
            <w:r>
              <w:rPr>
                <w:rFonts w:ascii="Arial" w:cs="Arial" w:eastAsia="Arial" w:hAnsi="Arial"/>
                <w:sz w:val="14"/>
                <w:szCs w:val="14"/>
                <w:b w:val="1"/>
                <w:bCs w:val="1"/>
                <w:color w:val="auto"/>
                <w:w w:val="92"/>
              </w:rPr>
              <w:t>U.S. dollars)</w:t>
            </w:r>
          </w:p>
        </w:tc>
        <w:tc>
          <w:tcPr>
            <w:tcW w:w="0" w:type="dxa"/>
            <w:vAlign w:val="bottom"/>
          </w:tcPr>
          <w:p>
            <w:pPr>
              <w:spacing w:after="0"/>
              <w:rPr>
                <w:sz w:val="1"/>
                <w:szCs w:val="1"/>
                <w:color w:val="auto"/>
              </w:rPr>
            </w:pPr>
          </w:p>
        </w:tc>
      </w:tr>
      <w:tr>
        <w:trPr>
          <w:trHeight w:val="203"/>
        </w:trPr>
        <w:tc>
          <w:tcPr>
            <w:tcW w:w="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520" w:type="dxa"/>
            <w:vAlign w:val="bottom"/>
            <w:tcBorders>
              <w:top w:val="single" w:sz="8" w:color="CCEEFF"/>
            </w:tcBorders>
            <w:shd w:val="clear" w:color="auto" w:fill="CCEEFF"/>
          </w:tcPr>
          <w:p>
            <w:pPr>
              <w:spacing w:after="0"/>
              <w:rPr>
                <w:sz w:val="17"/>
                <w:szCs w:val="17"/>
                <w:color w:val="auto"/>
              </w:rPr>
            </w:pPr>
          </w:p>
        </w:tc>
        <w:tc>
          <w:tcPr>
            <w:tcW w:w="5920" w:type="dxa"/>
            <w:vAlign w:val="bottom"/>
            <w:tcBorders>
              <w:top w:val="single" w:sz="8" w:color="auto"/>
            </w:tcBorders>
            <w:shd w:val="clear" w:color="auto" w:fill="CCEEFF"/>
          </w:tcPr>
          <w:p>
            <w:pPr>
              <w:jc w:val="right"/>
              <w:ind w:right="5439"/>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2</w:t>
            </w:r>
          </w:p>
        </w:tc>
        <w:tc>
          <w:tcPr>
            <w:tcW w:w="6440" w:type="dxa"/>
            <w:vAlign w:val="bottom"/>
            <w:gridSpan w:val="2"/>
          </w:tcPr>
          <w:p>
            <w:pPr>
              <w:jc w:val="right"/>
              <w:ind w:right="543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440" w:type="dxa"/>
            <w:vAlign w:val="bottom"/>
            <w:gridSpan w:val="2"/>
            <w:shd w:val="clear" w:color="auto" w:fill="CCEEFF"/>
          </w:tcPr>
          <w:p>
            <w:pPr>
              <w:jc w:val="right"/>
              <w:ind w:right="54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4</w:t>
            </w:r>
          </w:p>
        </w:tc>
        <w:tc>
          <w:tcPr>
            <w:tcW w:w="6440" w:type="dxa"/>
            <w:vAlign w:val="bottom"/>
            <w:gridSpan w:val="2"/>
          </w:tcPr>
          <w:p>
            <w:pPr>
              <w:jc w:val="right"/>
              <w:ind w:right="543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6440" w:type="dxa"/>
            <w:vAlign w:val="bottom"/>
            <w:gridSpan w:val="2"/>
            <w:shd w:val="clear" w:color="auto" w:fill="CCEEFF"/>
          </w:tcPr>
          <w:p>
            <w:pPr>
              <w:jc w:val="right"/>
              <w:ind w:right="54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6</w:t>
            </w:r>
          </w:p>
        </w:tc>
        <w:tc>
          <w:tcPr>
            <w:tcW w:w="6440" w:type="dxa"/>
            <w:vAlign w:val="bottom"/>
            <w:gridSpan w:val="2"/>
          </w:tcPr>
          <w:p>
            <w:pPr>
              <w:jc w:val="right"/>
              <w:ind w:right="543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740" w:hanging="543"/>
        <w:spacing w:after="0"/>
        <w:tabs>
          <w:tab w:leader="none" w:pos="1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Notwithstanding the foregoing, [***].</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 purposes of this Section 4.2.1, (i) [***] and (ii) [***]. For clarity, [***].</w:t>
      </w:r>
    </w:p>
    <w:p>
      <w:pPr>
        <w:spacing w:after="0" w:line="130" w:lineRule="exact"/>
        <w:rPr>
          <w:rFonts w:ascii="Arial" w:cs="Arial" w:eastAsia="Arial" w:hAnsi="Arial"/>
          <w:sz w:val="18"/>
          <w:szCs w:val="18"/>
          <w:color w:val="auto"/>
        </w:rPr>
      </w:pPr>
    </w:p>
    <w:p>
      <w:pPr>
        <w:jc w:val="both"/>
        <w:ind w:left="1740" w:right="120" w:hanging="543"/>
        <w:spacing w:after="0" w:line="263" w:lineRule="auto"/>
        <w:tabs>
          <w:tab w:leader="none" w:pos="1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With respect to each Development Milestone, the Development Milestone Payments to be made under this Agreement shall be due and payable only once, and in no event shall the aggregate amount to be paid by Licensee to Licensor under Section 4.2.1 [***]).</w:t>
      </w:r>
    </w:p>
    <w:p>
      <w:pPr>
        <w:spacing w:after="0" w:line="328"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b w:val="1"/>
          <w:bCs w:val="1"/>
          <w:color w:val="auto"/>
        </w:rPr>
        <w:t>Commercial Milestones</w:t>
      </w:r>
    </w:p>
    <w:p>
      <w:pPr>
        <w:spacing w:after="0" w:line="135" w:lineRule="exact"/>
        <w:rPr>
          <w:sz w:val="20"/>
          <w:szCs w:val="20"/>
          <w:color w:val="auto"/>
        </w:rPr>
      </w:pPr>
    </w:p>
    <w:p>
      <w:pPr>
        <w:ind w:left="1740" w:hanging="543"/>
        <w:spacing w:after="0" w:line="271" w:lineRule="auto"/>
        <w:tabs>
          <w:tab w:leader="none" w:pos="174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As additional consideration for the License, Licensee will pay Licensor the following commercial milestone payments (each, a “</w:t>
      </w:r>
      <w:r>
        <w:rPr>
          <w:rFonts w:ascii="Arial" w:cs="Arial" w:eastAsia="Arial" w:hAnsi="Arial"/>
          <w:sz w:val="17"/>
          <w:szCs w:val="17"/>
          <w:b w:val="1"/>
          <w:bCs w:val="1"/>
          <w:color w:val="auto"/>
        </w:rPr>
        <w:t>Commercial Milestone Payment</w:t>
      </w:r>
      <w:r>
        <w:rPr>
          <w:rFonts w:ascii="Arial" w:cs="Arial" w:eastAsia="Arial" w:hAnsi="Arial"/>
          <w:sz w:val="17"/>
          <w:szCs w:val="17"/>
          <w:color w:val="auto"/>
        </w:rPr>
        <w:t>”) upon the first achievement of the corresponding milestone (each, a “</w:t>
      </w:r>
      <w:r>
        <w:rPr>
          <w:rFonts w:ascii="Arial" w:cs="Arial" w:eastAsia="Arial" w:hAnsi="Arial"/>
          <w:sz w:val="17"/>
          <w:szCs w:val="17"/>
          <w:b w:val="1"/>
          <w:bCs w:val="1"/>
          <w:color w:val="auto"/>
        </w:rPr>
        <w:t>Commercial</w:t>
      </w:r>
      <w:r>
        <w:rPr>
          <w:rFonts w:ascii="Arial" w:cs="Arial" w:eastAsia="Arial" w:hAnsi="Arial"/>
          <w:sz w:val="17"/>
          <w:szCs w:val="17"/>
          <w:color w:val="auto"/>
        </w:rPr>
        <w:t xml:space="preserve"> </w:t>
      </w:r>
      <w:r>
        <w:rPr>
          <w:rFonts w:ascii="Arial" w:cs="Arial" w:eastAsia="Arial" w:hAnsi="Arial"/>
          <w:sz w:val="17"/>
          <w:szCs w:val="17"/>
          <w:b w:val="1"/>
          <w:bCs w:val="1"/>
          <w:color w:val="auto"/>
        </w:rPr>
        <w:t>Milestone</w:t>
      </w:r>
      <w:r>
        <w:rPr>
          <w:rFonts w:ascii="Arial" w:cs="Arial" w:eastAsia="Arial" w:hAnsi="Arial"/>
          <w:sz w:val="17"/>
          <w:szCs w:val="17"/>
          <w:color w:val="auto"/>
        </w:rPr>
        <w:t>”). Licensee shall notify Licensor of the achievement of any such Commercial Milestone in the Financial Report</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to the quarter in which such Commercial Milestone is achieved and Licensee shall pay Licensor in full the corresponding Commercial Milestone Payment within [***] after the end of the calendar year in which such milestone was achieved. For clarity, each Commercial Milestone Payment is [***]. With respect to each Commercial Milestone, the Commercial Milestone Payments to be made under this Agreement shall be due and payable only once, and in no event shall the aggregate amount to be paid by Licensee to Licensor under Section 4.2.2 [***].</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375" w:name="page376"/>
    <w:bookmarkEnd w:id="375"/>
    <w:tbl>
      <w:tblPr>
        <w:tblLayout w:type="fixed"/>
        <w:tblInd w:w="176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95"/>
              </w:rPr>
              <w:t>One-Time</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48"/>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Commercial Milestone Event</w:t>
            </w: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78"/>
        </w:trPr>
        <w:tc>
          <w:tcPr>
            <w:tcW w:w="1800" w:type="dxa"/>
            <w:vAlign w:val="bottom"/>
            <w:tcBorders>
              <w:bottom w:val="single" w:sz="8" w:color="auto"/>
            </w:tcBorders>
            <w:vMerge w:val="continue"/>
          </w:tcPr>
          <w:p>
            <w:pPr>
              <w:spacing w:after="0"/>
              <w:rPr>
                <w:sz w:val="15"/>
                <w:szCs w:val="15"/>
                <w:color w:val="auto"/>
              </w:rPr>
            </w:pPr>
          </w:p>
        </w:tc>
        <w:tc>
          <w:tcPr>
            <w:tcW w:w="4480" w:type="dxa"/>
            <w:vAlign w:val="bottom"/>
          </w:tcPr>
          <w:p>
            <w:pPr>
              <w:spacing w:after="0"/>
              <w:rPr>
                <w:sz w:val="15"/>
                <w:szCs w:val="15"/>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(U.S. dollars)</w:t>
            </w: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w:t>
            </w:r>
          </w:p>
        </w:tc>
        <w:tc>
          <w:tcPr>
            <w:tcW w:w="4580" w:type="dxa"/>
            <w:vAlign w:val="bottom"/>
            <w:gridSpan w:val="2"/>
          </w:tcPr>
          <w:p>
            <w:pPr>
              <w:ind w:left="44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58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Arial" w:cs="Arial" w:eastAsia="Arial" w:hAnsi="Arial"/>
                <w:sz w:val="18"/>
                <w:szCs w:val="18"/>
                <w:color w:val="auto"/>
              </w:rPr>
              <w:t>[***]</w:t>
            </w:r>
          </w:p>
        </w:tc>
        <w:tc>
          <w:tcPr>
            <w:tcW w:w="4580" w:type="dxa"/>
            <w:vAlign w:val="bottom"/>
            <w:gridSpan w:val="2"/>
          </w:tcPr>
          <w:p>
            <w:pPr>
              <w:ind w:left="448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Royalties</w:t>
      </w:r>
      <w:r>
        <w:rPr>
          <w:rFonts w:ascii="Arial" w:cs="Arial" w:eastAsia="Arial" w:hAnsi="Arial"/>
          <w:sz w:val="16"/>
          <w:szCs w:val="16"/>
          <w:color w:val="auto"/>
        </w:rPr>
        <w:t>.</w:t>
      </w:r>
    </w:p>
    <w:p>
      <w:pPr>
        <w:spacing w:after="0" w:line="131" w:lineRule="exact"/>
        <w:rPr>
          <w:sz w:val="20"/>
          <w:szCs w:val="20"/>
          <w:color w:val="auto"/>
        </w:rPr>
      </w:pPr>
    </w:p>
    <w:p>
      <w:pPr>
        <w:ind w:left="1180" w:right="540" w:hanging="647"/>
        <w:spacing w:after="0" w:line="266" w:lineRule="auto"/>
        <w:tabs>
          <w:tab w:leader="none" w:pos="11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b w:val="1"/>
          <w:bCs w:val="1"/>
          <w:color w:val="auto"/>
        </w:rPr>
        <w:t>Royalty</w:t>
      </w:r>
      <w:r>
        <w:rPr>
          <w:rFonts w:ascii="Arial" w:cs="Arial" w:eastAsia="Arial" w:hAnsi="Arial"/>
          <w:sz w:val="18"/>
          <w:szCs w:val="18"/>
          <w:color w:val="auto"/>
        </w:rPr>
        <w:t>. As further consideration for the License and subject to Sections 4.3.3 and 4.3.4, on a Product-by-Product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country-by-country basis, during the Royalty Period, Licensee shall pay to Licensor a [***] royalty on Net Sales of each Product (“</w:t>
      </w:r>
      <w:r>
        <w:rPr>
          <w:rFonts w:ascii="Arial" w:cs="Arial" w:eastAsia="Arial" w:hAnsi="Arial"/>
          <w:sz w:val="18"/>
          <w:szCs w:val="18"/>
          <w:b w:val="1"/>
          <w:bCs w:val="1"/>
          <w:color w:val="auto"/>
        </w:rPr>
        <w:t>Royalty</w:t>
      </w:r>
      <w:r>
        <w:rPr>
          <w:rFonts w:ascii="Arial" w:cs="Arial" w:eastAsia="Arial" w:hAnsi="Arial"/>
          <w:sz w:val="18"/>
          <w:szCs w:val="18"/>
          <w:color w:val="auto"/>
        </w:rPr>
        <w:t>”) as set forth below:</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Worldwide Annual Net Sales</w:t>
            </w:r>
          </w:p>
        </w:tc>
        <w:tc>
          <w:tcPr>
            <w:tcW w:w="10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0"/>
              </w:rPr>
              <w:t>Royalty</w:t>
            </w:r>
          </w:p>
        </w:tc>
      </w:tr>
      <w:tr>
        <w:trPr>
          <w:trHeight w:val="182"/>
        </w:trPr>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(of the applicable Product)</w:t>
            </w:r>
          </w:p>
        </w:tc>
        <w:tc>
          <w:tcPr>
            <w:tcW w:w="100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Rate</w:t>
            </w:r>
          </w:p>
        </w:tc>
      </w:tr>
      <w:tr>
        <w:trPr>
          <w:trHeight w:val="203"/>
        </w:trPr>
        <w:tc>
          <w:tcPr>
            <w:tcW w:w="1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left="1180" w:right="20" w:hanging="647"/>
        <w:spacing w:after="0" w:line="273" w:lineRule="auto"/>
        <w:tabs>
          <w:tab w:leader="none" w:pos="11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7"/>
          <w:szCs w:val="17"/>
          <w:b w:val="1"/>
          <w:bCs w:val="1"/>
          <w:color w:val="auto"/>
        </w:rPr>
        <w:t>Royalty Period</w:t>
      </w:r>
      <w:r>
        <w:rPr>
          <w:rFonts w:ascii="Arial" w:cs="Arial" w:eastAsia="Arial" w:hAnsi="Arial"/>
          <w:sz w:val="17"/>
          <w:szCs w:val="17"/>
          <w:color w:val="auto"/>
        </w:rPr>
        <w:t>. Licensee’s obligation to pay Licensor the Royalty will commence on a country-by-country and Product-by-Product</w:t>
      </w:r>
      <w:r>
        <w:rPr>
          <w:rFonts w:ascii="Arial" w:cs="Arial" w:eastAsia="Arial" w:hAnsi="Arial"/>
          <w:sz w:val="17"/>
          <w:szCs w:val="17"/>
          <w:b w:val="1"/>
          <w:bCs w:val="1"/>
          <w:color w:val="auto"/>
        </w:rPr>
        <w:t xml:space="preserve"> </w:t>
      </w:r>
      <w:r>
        <w:rPr>
          <w:rFonts w:ascii="Arial" w:cs="Arial" w:eastAsia="Arial" w:hAnsi="Arial"/>
          <w:sz w:val="17"/>
          <w:szCs w:val="17"/>
          <w:color w:val="auto"/>
        </w:rPr>
        <w:t>basis from the date of First Commercial Sale of a Product Covered by a Valid Claim within the Licensor Patent Rights in the country of Sale until the latest of (a) the expiration or abandonment of the last Valid Claim within the Licensor Patent Rights Covering such Product in such country in which such Product is used or sold, (b) the expiration of the [***] exclusivity term [***] in such country with respect to such Product [***] , and (c) the [***] of the First Commercial Sale of such Product in such country (such royalty period, the “</w:t>
      </w:r>
      <w:r>
        <w:rPr>
          <w:rFonts w:ascii="Arial" w:cs="Arial" w:eastAsia="Arial" w:hAnsi="Arial"/>
          <w:sz w:val="17"/>
          <w:szCs w:val="17"/>
          <w:b w:val="1"/>
          <w:bCs w:val="1"/>
          <w:color w:val="auto"/>
        </w:rPr>
        <w:t>Royalty Period</w:t>
      </w:r>
      <w:r>
        <w:rPr>
          <w:rFonts w:ascii="Arial" w:cs="Arial" w:eastAsia="Arial" w:hAnsi="Arial"/>
          <w:sz w:val="17"/>
          <w:szCs w:val="17"/>
          <w:color w:val="auto"/>
        </w:rPr>
        <w:t>”). For purposes of this Section 4.3, Products that are different than one another shall be considered the same Product if they are (i) [***] or (ii) [***] and in the case of this clause (ii): (x) [***] or (y) [***].</w:t>
      </w:r>
    </w:p>
    <w:p>
      <w:pPr>
        <w:spacing w:after="0" w:line="77"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b w:val="1"/>
          <w:bCs w:val="1"/>
          <w:color w:val="auto"/>
        </w:rPr>
        <w:t>Royalty Reductions</w:t>
      </w:r>
      <w:r>
        <w:rPr>
          <w:rFonts w:ascii="Arial" w:cs="Arial" w:eastAsia="Arial" w:hAnsi="Arial"/>
          <w:sz w:val="16"/>
          <w:szCs w:val="16"/>
          <w:color w:val="auto"/>
        </w:rPr>
        <w:t>.</w:t>
      </w:r>
    </w:p>
    <w:p>
      <w:pPr>
        <w:spacing w:after="0" w:line="135" w:lineRule="exact"/>
        <w:rPr>
          <w:sz w:val="20"/>
          <w:szCs w:val="20"/>
          <w:color w:val="auto"/>
        </w:rPr>
      </w:pPr>
    </w:p>
    <w:p>
      <w:pPr>
        <w:ind w:left="1740" w:hanging="543"/>
        <w:spacing w:after="0" w:line="255" w:lineRule="auto"/>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Notwithstanding anything in this Section 4.3, in the event that Licensor or Licensee receives a request for a Compulsory License anywhere in the world, it shall promptly notify the other Party and, at Licensee’s request, the Parties shall cooperate to oppose such Compulsory License. If any Third Party obtains a Compulsory License in any country, then: (i) Licensor or Licensee (whoever has first notice) shall promptly notify the other Party; and (ii) beginning as of [***], (x) the royalty rate payable under this Section 4.3 to Licensor for Net Sales in such country will be adjusted to [***] and (y) any other payments required to be paid by Licensee to Licensor shall be [***].</w:t>
      </w:r>
    </w:p>
    <w:p>
      <w:pPr>
        <w:spacing w:after="0" w:line="97" w:lineRule="exact"/>
        <w:rPr>
          <w:rFonts w:ascii="Arial" w:cs="Arial" w:eastAsia="Arial" w:hAnsi="Arial"/>
          <w:sz w:val="18"/>
          <w:szCs w:val="18"/>
          <w:color w:val="auto"/>
        </w:rPr>
      </w:pPr>
    </w:p>
    <w:p>
      <w:pPr>
        <w:ind w:left="1740" w:hanging="543"/>
        <w:spacing w:after="0"/>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Third Party Licenses and Generic Competition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40" w:right="60" w:hanging="536"/>
        <w:spacing w:after="0" w:line="263" w:lineRule="auto"/>
        <w:tabs>
          <w:tab w:leader="none" w:pos="284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If Licensee or its Sublicensee is obligated to pay additional [***] to Third Parties (or is required by court order or settlement to pay [***]) to develop, commercialize, or manufacture a Product, Licensee may deduct from any [***] payments due to Licensor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53" w:right="459" w:bottom="1440" w:gutter="0" w:footer="0" w:header="0"/>
        </w:sectPr>
      </w:pPr>
    </w:p>
    <w:bookmarkStart w:id="376" w:name="page377"/>
    <w:bookmarkEnd w:id="376"/>
    <w:p>
      <w:pPr>
        <w:ind w:left="23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 of this Agreement (A) an amount equal to [***] (the “</w:t>
      </w:r>
      <w:r>
        <w:rPr>
          <w:rFonts w:ascii="Arial" w:cs="Arial" w:eastAsia="Arial" w:hAnsi="Arial"/>
          <w:sz w:val="17"/>
          <w:szCs w:val="17"/>
          <w:b w:val="1"/>
          <w:bCs w:val="1"/>
          <w:color w:val="auto"/>
        </w:rPr>
        <w:t>Anti-Stacking Percentage</w:t>
      </w:r>
      <w:r>
        <w:rPr>
          <w:rFonts w:ascii="Arial" w:cs="Arial" w:eastAsia="Arial" w:hAnsi="Arial"/>
          <w:sz w:val="17"/>
          <w:szCs w:val="17"/>
          <w:color w:val="auto"/>
        </w:rPr>
        <w:t>”) of any such</w:t>
      </w:r>
    </w:p>
    <w:p>
      <w:pPr>
        <w:spacing w:after="0" w:line="39" w:lineRule="exact"/>
        <w:rPr>
          <w:sz w:val="20"/>
          <w:szCs w:val="20"/>
          <w:color w:val="auto"/>
        </w:rPr>
      </w:pPr>
    </w:p>
    <w:p>
      <w:pPr>
        <w:ind w:left="2320" w:right="460" w:hanging="2"/>
        <w:spacing w:after="0" w:line="260" w:lineRule="auto"/>
        <w:tabs>
          <w:tab w:leader="none" w:pos="2755" w:val="left"/>
        </w:tabs>
        <w:numPr>
          <w:ilvl w:val="2"/>
          <w:numId w:val="264"/>
        </w:numPr>
        <w:rPr>
          <w:rFonts w:ascii="Arial" w:cs="Arial" w:eastAsia="Arial" w:hAnsi="Arial"/>
          <w:sz w:val="18"/>
          <w:szCs w:val="18"/>
          <w:color w:val="auto"/>
        </w:rPr>
      </w:pPr>
      <w:r>
        <w:rPr>
          <w:rFonts w:ascii="Arial" w:cs="Arial" w:eastAsia="Arial" w:hAnsi="Arial"/>
          <w:sz w:val="18"/>
          <w:szCs w:val="18"/>
          <w:color w:val="auto"/>
        </w:rPr>
        <w:t>paid by Licensee to a Third Party on Sales with respect to a particular Product in a particular country during a calendar quarter.</w:t>
      </w:r>
    </w:p>
    <w:p>
      <w:pPr>
        <w:spacing w:after="0" w:line="90" w:lineRule="exact"/>
        <w:rPr>
          <w:rFonts w:ascii="Arial" w:cs="Arial" w:eastAsia="Arial" w:hAnsi="Arial"/>
          <w:sz w:val="18"/>
          <w:szCs w:val="18"/>
          <w:color w:val="auto"/>
        </w:rPr>
      </w:pPr>
    </w:p>
    <w:p>
      <w:pPr>
        <w:ind w:left="2300" w:right="200" w:hanging="536"/>
        <w:spacing w:after="0" w:line="271" w:lineRule="auto"/>
        <w:tabs>
          <w:tab w:leader="none" w:pos="23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In the event that one or more Generic Product(s) with respect to a particular Product enter(s) the market in a particular country, and such Generic Product(s) [***], Licensee may reduce the [***] payments for [***] such Product in such country by [***]; provided that if Licensee reduced the [***] payments under this</w:t>
      </w:r>
    </w:p>
    <w:p>
      <w:pPr>
        <w:ind w:left="2300"/>
        <w:spacing w:after="0"/>
        <w:rPr>
          <w:rFonts w:ascii="Arial" w:cs="Arial" w:eastAsia="Arial" w:hAnsi="Arial"/>
          <w:sz w:val="17"/>
          <w:szCs w:val="17"/>
          <w:color w:val="auto"/>
        </w:rPr>
      </w:pPr>
      <w:r>
        <w:rPr>
          <w:rFonts w:ascii="Arial" w:cs="Arial" w:eastAsia="Arial" w:hAnsi="Arial"/>
          <w:sz w:val="16"/>
          <w:szCs w:val="16"/>
          <w:color w:val="auto"/>
        </w:rPr>
        <w:t>Section 4.3.3(b)(ii), Licensee shall resume making [***] payment without reduction under this Section 4.3.3(b)</w:t>
      </w:r>
    </w:p>
    <w:p>
      <w:pPr>
        <w:spacing w:after="0" w:line="32" w:lineRule="exact"/>
        <w:rPr>
          <w:rFonts w:ascii="Arial" w:cs="Arial" w:eastAsia="Arial" w:hAnsi="Arial"/>
          <w:sz w:val="17"/>
          <w:szCs w:val="17"/>
          <w:color w:val="auto"/>
        </w:rPr>
      </w:pPr>
    </w:p>
    <w:p>
      <w:pPr>
        <w:ind w:left="2560" w:hanging="256"/>
        <w:spacing w:after="0"/>
        <w:tabs>
          <w:tab w:leader="none" w:pos="25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as of the [***] of (a) [***] and (b) [***].</w:t>
      </w:r>
    </w:p>
    <w:p>
      <w:pPr>
        <w:spacing w:after="0" w:line="116" w:lineRule="exact"/>
        <w:rPr>
          <w:rFonts w:ascii="Arial" w:cs="Arial" w:eastAsia="Arial" w:hAnsi="Arial"/>
          <w:sz w:val="18"/>
          <w:szCs w:val="18"/>
          <w:color w:val="auto"/>
        </w:rPr>
      </w:pPr>
    </w:p>
    <w:p>
      <w:pPr>
        <w:ind w:left="2300" w:right="160" w:hanging="536"/>
        <w:spacing w:after="0" w:line="259" w:lineRule="auto"/>
        <w:tabs>
          <w:tab w:leader="none" w:pos="23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Notwithstanding the foregoing, in no event will the deductions under Section 4.3.3(b) reduce the [***] payable in respect of [***] such Product in such country in any given calendar quarter by more than [***] (the “</w:t>
      </w:r>
      <w:r>
        <w:rPr>
          <w:rFonts w:ascii="Arial" w:cs="Arial" w:eastAsia="Arial" w:hAnsi="Arial"/>
          <w:sz w:val="18"/>
          <w:szCs w:val="18"/>
          <w:b w:val="1"/>
          <w:bCs w:val="1"/>
          <w:color w:val="auto"/>
        </w:rPr>
        <w:t>Maximum Anti-Stacking Reduction</w:t>
      </w:r>
      <w:r>
        <w:rPr>
          <w:rFonts w:ascii="Arial" w:cs="Arial" w:eastAsia="Arial" w:hAnsi="Arial"/>
          <w:sz w:val="18"/>
          <w:szCs w:val="18"/>
          <w:color w:val="auto"/>
        </w:rPr>
        <w:t>”) of the [***]. Licensee shall be entitled [***] but for such Maximum Anti-Stacking Reduction.</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b w:val="1"/>
          <w:bCs w:val="1"/>
          <w:color w:val="auto"/>
        </w:rPr>
        <w:t>Calculations</w:t>
      </w:r>
      <w:r>
        <w:rPr>
          <w:rFonts w:ascii="Arial" w:cs="Arial" w:eastAsia="Arial" w:hAnsi="Arial"/>
          <w:sz w:val="16"/>
          <w:szCs w:val="16"/>
          <w:color w:val="auto"/>
        </w:rPr>
        <w:t>. Licensee must pay Royalties owed to Licensor on a calendar quarter basis within [***] after the following dates:</w:t>
      </w:r>
    </w:p>
    <w:p>
      <w:pPr>
        <w:spacing w:after="0" w:line="135" w:lineRule="exact"/>
        <w:rPr>
          <w:sz w:val="20"/>
          <w:szCs w:val="20"/>
          <w:color w:val="auto"/>
        </w:rPr>
      </w:pPr>
    </w:p>
    <w:p>
      <w:pPr>
        <w:ind w:left="1200" w:hanging="543"/>
        <w:spacing w:after="0"/>
        <w:tabs>
          <w:tab w:leader="none" w:pos="12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February 28 for any Sales that took place in the calendar quarter ending December 31, of the prior year;</w:t>
      </w:r>
    </w:p>
    <w:p>
      <w:pPr>
        <w:spacing w:after="0" w:line="130" w:lineRule="exact"/>
        <w:rPr>
          <w:rFonts w:ascii="Arial" w:cs="Arial" w:eastAsia="Arial" w:hAnsi="Arial"/>
          <w:sz w:val="18"/>
          <w:szCs w:val="18"/>
          <w:color w:val="auto"/>
        </w:rPr>
      </w:pPr>
    </w:p>
    <w:p>
      <w:pPr>
        <w:ind w:left="1200" w:hanging="543"/>
        <w:spacing w:after="0"/>
        <w:tabs>
          <w:tab w:leader="none" w:pos="12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May 31 for any Sales that took place in the calendar quarter ending March 31 of such calendar year;</w:t>
      </w:r>
    </w:p>
    <w:p>
      <w:pPr>
        <w:spacing w:after="0" w:line="130" w:lineRule="exact"/>
        <w:rPr>
          <w:rFonts w:ascii="Arial" w:cs="Arial" w:eastAsia="Arial" w:hAnsi="Arial"/>
          <w:sz w:val="18"/>
          <w:szCs w:val="18"/>
          <w:color w:val="auto"/>
        </w:rPr>
      </w:pPr>
    </w:p>
    <w:p>
      <w:pPr>
        <w:ind w:left="1200" w:hanging="543"/>
        <w:spacing w:after="0"/>
        <w:tabs>
          <w:tab w:leader="none" w:pos="12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August 31 for any Sales that took place in the calendar quarter ending June 30 of such calendar year; and</w:t>
      </w:r>
    </w:p>
    <w:p>
      <w:pPr>
        <w:spacing w:after="0" w:line="130" w:lineRule="exact"/>
        <w:rPr>
          <w:rFonts w:ascii="Arial" w:cs="Arial" w:eastAsia="Arial" w:hAnsi="Arial"/>
          <w:sz w:val="18"/>
          <w:szCs w:val="18"/>
          <w:color w:val="auto"/>
        </w:rPr>
      </w:pPr>
    </w:p>
    <w:p>
      <w:pPr>
        <w:ind w:left="-540" w:right="1340" w:firstLine="1197"/>
        <w:spacing w:after="0" w:line="391" w:lineRule="auto"/>
        <w:tabs>
          <w:tab w:leader="none" w:pos="120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November 30 for any Sales that took place in the calendar quarter ending September 30 of such calendar year. 4.4 </w:t>
      </w:r>
      <w:r>
        <w:rPr>
          <w:rFonts w:ascii="Arial" w:cs="Arial" w:eastAsia="Arial" w:hAnsi="Arial"/>
          <w:sz w:val="18"/>
          <w:szCs w:val="18"/>
          <w:b w:val="1"/>
          <w:bCs w:val="1"/>
          <w:color w:val="auto"/>
        </w:rPr>
        <w:t>Non-Royalty Sublicense Income</w:t>
      </w:r>
      <w:r>
        <w:rPr>
          <w:rFonts w:ascii="Arial" w:cs="Arial" w:eastAsia="Arial" w:hAnsi="Arial"/>
          <w:sz w:val="18"/>
          <w:szCs w:val="18"/>
          <w:color w:val="auto"/>
        </w:rPr>
        <w:t>.</w:t>
      </w:r>
    </w:p>
    <w:p>
      <w:pPr>
        <w:spacing w:after="0" w:line="1"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Licensee will pay to Licensor a percentage of Non-Royalty Sublicense Income received by Licensee from a non-Affiliate Sublicensee in consideration for a Sublicense under the Licensor Patent Rights as follows: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4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w w:val="94"/>
              </w:rPr>
              <w:t>% of Non-Royalty</w:t>
            </w:r>
          </w:p>
        </w:tc>
        <w:tc>
          <w:tcPr>
            <w:tcW w:w="0" w:type="dxa"/>
            <w:vAlign w:val="bottom"/>
          </w:tcPr>
          <w:p>
            <w:pPr>
              <w:spacing w:after="0"/>
              <w:rPr>
                <w:sz w:val="1"/>
                <w:szCs w:val="1"/>
                <w:color w:val="auto"/>
              </w:rPr>
            </w:pPr>
          </w:p>
        </w:tc>
      </w:tr>
      <w:tr>
        <w:trPr>
          <w:trHeight w:val="148"/>
        </w:trPr>
        <w:tc>
          <w:tcPr>
            <w:tcW w:w="630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Stage at Which Sublicense is Granted by Licensee</w:t>
            </w:r>
          </w:p>
        </w:tc>
        <w:tc>
          <w:tcPr>
            <w:tcW w:w="1740" w:type="dxa"/>
            <w:vAlign w:val="bottom"/>
            <w:gridSpan w:val="2"/>
          </w:tcPr>
          <w:p>
            <w:pPr>
              <w:jc w:val="center"/>
              <w:ind w:right="430"/>
              <w:spacing w:after="0" w:line="149" w:lineRule="exact"/>
              <w:rPr>
                <w:sz w:val="20"/>
                <w:szCs w:val="20"/>
                <w:color w:val="auto"/>
              </w:rPr>
            </w:pPr>
            <w:r>
              <w:rPr>
                <w:rFonts w:ascii="Arial" w:cs="Arial" w:eastAsia="Arial" w:hAnsi="Arial"/>
                <w:sz w:val="14"/>
                <w:szCs w:val="14"/>
                <w:b w:val="1"/>
                <w:bCs w:val="1"/>
                <w:color w:val="auto"/>
                <w:w w:val="89"/>
              </w:rPr>
              <w:t>Sublicense Income</w:t>
            </w:r>
          </w:p>
        </w:tc>
        <w:tc>
          <w:tcPr>
            <w:tcW w:w="0" w:type="dxa"/>
            <w:vAlign w:val="bottom"/>
          </w:tcPr>
          <w:p>
            <w:pPr>
              <w:spacing w:after="0"/>
              <w:rPr>
                <w:sz w:val="1"/>
                <w:szCs w:val="1"/>
                <w:color w:val="auto"/>
              </w:rPr>
            </w:pPr>
          </w:p>
        </w:tc>
      </w:tr>
      <w:tr>
        <w:trPr>
          <w:trHeight w:val="178"/>
        </w:trPr>
        <w:tc>
          <w:tcPr>
            <w:tcW w:w="6300" w:type="dxa"/>
            <w:vAlign w:val="bottom"/>
            <w:gridSpan w:val="3"/>
            <w:vMerge w:val="continue"/>
          </w:tcPr>
          <w:p>
            <w:pPr>
              <w:spacing w:after="0"/>
              <w:rPr>
                <w:sz w:val="15"/>
                <w:szCs w:val="15"/>
                <w:color w:val="auto"/>
              </w:rPr>
            </w:pPr>
          </w:p>
        </w:tc>
        <w:tc>
          <w:tcPr>
            <w:tcW w:w="1740" w:type="dxa"/>
            <w:vAlign w:val="bottom"/>
            <w:gridSpan w:val="2"/>
          </w:tcPr>
          <w:p>
            <w:pPr>
              <w:jc w:val="center"/>
              <w:ind w:right="430"/>
              <w:spacing w:after="0" w:line="158" w:lineRule="exact"/>
              <w:rPr>
                <w:sz w:val="20"/>
                <w:szCs w:val="20"/>
                <w:color w:val="auto"/>
              </w:rPr>
            </w:pPr>
            <w:r>
              <w:rPr>
                <w:rFonts w:ascii="Arial" w:cs="Arial" w:eastAsia="Arial" w:hAnsi="Arial"/>
                <w:sz w:val="14"/>
                <w:szCs w:val="14"/>
                <w:b w:val="1"/>
                <w:bCs w:val="1"/>
                <w:color w:val="auto"/>
                <w:w w:val="92"/>
              </w:rPr>
              <w:t>Payable to Licensor</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3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300" w:type="dxa"/>
            <w:vAlign w:val="bottom"/>
            <w:gridSpan w:val="3"/>
          </w:tcPr>
          <w:p>
            <w:pPr>
              <w:jc w:val="right"/>
              <w:ind w:right="980"/>
              <w:spacing w:after="0"/>
              <w:rPr>
                <w:sz w:val="20"/>
                <w:szCs w:val="20"/>
                <w:color w:val="auto"/>
              </w:rPr>
            </w:pPr>
            <w:r>
              <w:rPr>
                <w:rFonts w:ascii="Arial" w:cs="Arial" w:eastAsia="Arial" w:hAnsi="Arial"/>
                <w:sz w:val="18"/>
                <w:szCs w:val="18"/>
                <w:color w:val="auto"/>
                <w:w w:val="93"/>
              </w:rPr>
              <w:t>The amount owing to Licensor with respect to the foregoing would [***].</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300" w:type="dxa"/>
            <w:vAlign w:val="bottom"/>
            <w:gridSpan w:val="3"/>
          </w:tcPr>
          <w:p>
            <w:pPr>
              <w:jc w:val="right"/>
              <w:ind w:right="1900"/>
              <w:spacing w:after="0"/>
              <w:rPr>
                <w:sz w:val="20"/>
                <w:szCs w:val="20"/>
                <w:color w:val="auto"/>
              </w:rPr>
            </w:pPr>
            <w:r>
              <w:rPr>
                <w:rFonts w:ascii="Arial" w:cs="Arial" w:eastAsia="Arial" w:hAnsi="Arial"/>
                <w:sz w:val="18"/>
                <w:szCs w:val="18"/>
                <w:color w:val="auto"/>
              </w:rPr>
              <w:t>13</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980" w:top="270" w:right="459" w:bottom="1440" w:gutter="0" w:footer="0" w:header="0"/>
        </w:sectPr>
      </w:pPr>
    </w:p>
    <w:bookmarkStart w:id="377" w:name="page378"/>
    <w:bookmarkEnd w:id="377"/>
    <w:p>
      <w:pPr>
        <w:ind w:left="1180" w:hanging="647"/>
        <w:spacing w:after="0" w:line="301"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4.4.2</w:t>
      </w:r>
      <w:r>
        <w:rPr>
          <w:sz w:val="20"/>
          <w:szCs w:val="20"/>
          <w:color w:val="auto"/>
        </w:rPr>
        <w:tab/>
      </w:r>
      <w:r>
        <w:rPr>
          <w:rFonts w:ascii="Arial" w:cs="Arial" w:eastAsia="Arial" w:hAnsi="Arial"/>
          <w:sz w:val="16"/>
          <w:szCs w:val="16"/>
          <w:color w:val="auto"/>
        </w:rPr>
        <w:t>To the extent that a payment received from a Sublicensee represents an unallocated combined payment for both (a) a Sublicense or option or other right to obtain a Sublicense of the Licensor Patent Rights as well as (b) [***], such payment from such sublicensing arrangement for calculating payments due to Licensor for Non-Royalty Sublicense Income would be reasonably allocated between such Licensor Patent Rights and such other items described in clause (b) [***]; provided that (x) [***] and (y) [***].</w:t>
      </w:r>
    </w:p>
    <w:p>
      <w:pPr>
        <w:spacing w:after="0" w:line="63" w:lineRule="exact"/>
        <w:rPr>
          <w:sz w:val="20"/>
          <w:szCs w:val="20"/>
          <w:color w:val="auto"/>
        </w:rPr>
      </w:pPr>
    </w:p>
    <w:p>
      <w:pPr>
        <w:ind w:left="1180" w:right="100" w:hanging="647"/>
        <w:spacing w:after="0" w:line="277" w:lineRule="auto"/>
        <w:tabs>
          <w:tab w:leader="none" w:pos="116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To the extent a payment received from a Sublicensee will be attributed to Funding Reserve, [***], and such Funding Reserve shall not be deemed Non-Royalty Sublicense Income, provided, that, [***].</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Licensee will make payment with respect to Non-Royalty Sublicense Income to Licensor on or before the following dates:</w:t>
      </w:r>
    </w:p>
    <w:p>
      <w:pPr>
        <w:spacing w:after="0" w:line="131" w:lineRule="exact"/>
        <w:rPr>
          <w:sz w:val="20"/>
          <w:szCs w:val="20"/>
          <w:color w:val="auto"/>
        </w:rPr>
      </w:pPr>
    </w:p>
    <w:p>
      <w:pPr>
        <w:ind w:left="1740" w:right="220" w:hanging="543"/>
        <w:spacing w:after="0" w:line="277" w:lineRule="auto"/>
        <w:tabs>
          <w:tab w:leader="none" w:pos="17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for any Non-Royalty Sublicense Income received by Licensee in the calendar quarter ending December 31, of the prior year;</w:t>
      </w:r>
    </w:p>
    <w:p>
      <w:pPr>
        <w:spacing w:after="0" w:line="75" w:lineRule="exact"/>
        <w:rPr>
          <w:rFonts w:ascii="Arial" w:cs="Arial" w:eastAsia="Arial" w:hAnsi="Arial"/>
          <w:sz w:val="18"/>
          <w:szCs w:val="18"/>
          <w:color w:val="auto"/>
        </w:rPr>
      </w:pPr>
    </w:p>
    <w:p>
      <w:pPr>
        <w:ind w:left="1740" w:right="160" w:hanging="543"/>
        <w:spacing w:after="0" w:line="277" w:lineRule="auto"/>
        <w:tabs>
          <w:tab w:leader="none" w:pos="17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for any Non-Royalty Sublicense Income received by Licensee in the calendar quarter ending March 31 of such calendar year;</w:t>
      </w:r>
    </w:p>
    <w:p>
      <w:pPr>
        <w:spacing w:after="0" w:line="75" w:lineRule="exact"/>
        <w:rPr>
          <w:rFonts w:ascii="Arial" w:cs="Arial" w:eastAsia="Arial" w:hAnsi="Arial"/>
          <w:sz w:val="18"/>
          <w:szCs w:val="18"/>
          <w:color w:val="auto"/>
        </w:rPr>
      </w:pPr>
    </w:p>
    <w:p>
      <w:pPr>
        <w:ind w:left="1740" w:right="520" w:hanging="543"/>
        <w:spacing w:after="0" w:line="277" w:lineRule="auto"/>
        <w:tabs>
          <w:tab w:leader="none" w:pos="17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for any Non-Royalty Sublicense Income received by Licensee in the calendar quarter ending September 30 of such calendar year.</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Mode of Payment and Currency</w:t>
      </w:r>
      <w:r>
        <w:rPr>
          <w:rFonts w:ascii="Arial" w:cs="Arial" w:eastAsia="Arial" w:hAnsi="Arial"/>
          <w:sz w:val="16"/>
          <w:szCs w:val="16"/>
          <w:color w:val="auto"/>
        </w:rPr>
        <w:t>. All payments to Licensor hereunder shall be made by deposit of USD in the requisite amount to “UT</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Southwestern” and will be made by delivery by ACH/WIRE as follows:</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Prior to the initiation of any ACH/WIRE, Licensee must send an email to [***] for identification and documentation purposes. Such email shall include the following information:</w:t>
      </w:r>
    </w:p>
    <w:p>
      <w:pPr>
        <w:spacing w:after="0" w:line="76" w:lineRule="exact"/>
        <w:rPr>
          <w:sz w:val="20"/>
          <w:szCs w:val="20"/>
          <w:color w:val="auto"/>
        </w:rPr>
      </w:pPr>
    </w:p>
    <w:p>
      <w:pPr>
        <w:ind w:left="1740" w:hanging="543"/>
        <w:spacing w:after="0"/>
        <w:tabs>
          <w:tab w:leader="none" w:pos="17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amount of the ACH/WIRE payment and the date the ACH/WIRE payment is expected;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Sub-ledger account and account;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pertinent information that can be used to identify the payment from Licensee.</w:t>
      </w:r>
    </w:p>
    <w:p>
      <w:pPr>
        <w:spacing w:after="0" w:line="117" w:lineRule="exact"/>
        <w:rPr>
          <w:sz w:val="20"/>
          <w:szCs w:val="20"/>
          <w:color w:val="auto"/>
        </w:rPr>
      </w:pPr>
    </w:p>
    <w:p>
      <w:pPr>
        <w:ind w:left="540"/>
        <w:spacing w:after="0" w:line="263" w:lineRule="auto"/>
        <w:rPr>
          <w:sz w:val="20"/>
          <w:szCs w:val="20"/>
          <w:color w:val="auto"/>
        </w:rPr>
      </w:pPr>
      <w:r>
        <w:rPr>
          <w:rFonts w:ascii="Arial" w:cs="Arial" w:eastAsia="Arial" w:hAnsi="Arial"/>
          <w:sz w:val="18"/>
          <w:szCs w:val="18"/>
          <w:color w:val="auto"/>
        </w:rPr>
        <w:t>Payments under this Agreement shall be made in USD. All Royalties payable shall be calculated first in the currency of the jurisdiction in which payment was made, and if not in the United States, then converted into USD. The exchange rate for such conversion shall be [***] for such Royalty payment made.</w:t>
      </w:r>
    </w:p>
    <w:p>
      <w:pPr>
        <w:spacing w:after="0" w:line="85" w:lineRule="exact"/>
        <w:rPr>
          <w:sz w:val="20"/>
          <w:szCs w:val="20"/>
          <w:color w:val="auto"/>
        </w:rPr>
      </w:pPr>
    </w:p>
    <w:p>
      <w:pPr>
        <w:ind w:left="540" w:right="120" w:hanging="539"/>
        <w:spacing w:after="0" w:line="266" w:lineRule="auto"/>
        <w:tabs>
          <w:tab w:leader="none" w:pos="5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b w:val="1"/>
          <w:bCs w:val="1"/>
          <w:color w:val="auto"/>
        </w:rPr>
        <w:t>Royalty and Non-Royalty Sublicense Income Reports</w:t>
      </w:r>
      <w:r>
        <w:rPr>
          <w:rFonts w:ascii="Arial" w:cs="Arial" w:eastAsia="Arial" w:hAnsi="Arial"/>
          <w:sz w:val="18"/>
          <w:szCs w:val="18"/>
          <w:color w:val="auto"/>
        </w:rPr>
        <w:t>. Within [***] after the end of each calendar quarter (i.e. [***]), Licensee shall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to Licensor a report (“</w:t>
      </w:r>
      <w:r>
        <w:rPr>
          <w:rFonts w:ascii="Arial" w:cs="Arial" w:eastAsia="Arial" w:hAnsi="Arial"/>
          <w:sz w:val="18"/>
          <w:szCs w:val="18"/>
          <w:b w:val="1"/>
          <w:bCs w:val="1"/>
          <w:color w:val="auto"/>
        </w:rPr>
        <w:t>Financial Report</w:t>
      </w:r>
      <w:r>
        <w:rPr>
          <w:rFonts w:ascii="Arial" w:cs="Arial" w:eastAsia="Arial" w:hAnsi="Arial"/>
          <w:sz w:val="18"/>
          <w:szCs w:val="18"/>
          <w:color w:val="auto"/>
        </w:rPr>
        <w:t>”) setting out all details necessary to calculate the Commercial Milestone Payment, Royalty and Non-Royalty Sublicense Income due under this Article 4 for such calendar quarter, including:</w:t>
      </w:r>
    </w:p>
    <w:p>
      <w:pPr>
        <w:spacing w:after="0" w:line="85" w:lineRule="exact"/>
        <w:rPr>
          <w:sz w:val="20"/>
          <w:szCs w:val="20"/>
          <w:color w:val="auto"/>
        </w:rPr>
      </w:pPr>
    </w:p>
    <w:p>
      <w:pPr>
        <w:ind w:left="1180" w:right="560" w:hanging="647"/>
        <w:spacing w:after="0" w:line="277" w:lineRule="auto"/>
        <w:tabs>
          <w:tab w:leader="none" w:pos="116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8"/>
          <w:szCs w:val="18"/>
          <w:color w:val="auto"/>
        </w:rPr>
        <w:t>Number of each Product Sold by Licensee, its Affiliates and Sublicensees in each country, the corresponding name of each such Product;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378" w:name="page379"/>
    <w:bookmarkEnd w:id="378"/>
    <w:p>
      <w:pPr>
        <w:ind w:left="520"/>
        <w:spacing w:after="0"/>
        <w:tabs>
          <w:tab w:leader="none" w:pos="1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4.6.2</w:t>
      </w:r>
      <w:r>
        <w:rPr>
          <w:sz w:val="20"/>
          <w:szCs w:val="20"/>
          <w:color w:val="auto"/>
        </w:rPr>
        <w:tab/>
      </w:r>
      <w:r>
        <w:rPr>
          <w:rFonts w:ascii="Arial" w:cs="Arial" w:eastAsia="Arial" w:hAnsi="Arial"/>
          <w:sz w:val="16"/>
          <w:szCs w:val="16"/>
          <w:color w:val="auto"/>
        </w:rPr>
        <w:t>Gross Sales and Net Sales of each Product made by Licensee, its Affiliates and Sublicensees;</w:t>
      </w:r>
    </w:p>
    <w:p>
      <w:pPr>
        <w:spacing w:after="0" w:line="131"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6"/>
          <w:szCs w:val="16"/>
          <w:color w:val="auto"/>
        </w:rPr>
        <w:t>Royalties payable on Net Sales in U.S. Dollars;</w:t>
      </w:r>
    </w:p>
    <w:p>
      <w:pPr>
        <w:spacing w:after="0" w:line="131"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4.6.4</w:t>
      </w:r>
      <w:r>
        <w:rPr>
          <w:sz w:val="20"/>
          <w:szCs w:val="20"/>
          <w:color w:val="auto"/>
        </w:rPr>
        <w:tab/>
      </w:r>
      <w:r>
        <w:rPr>
          <w:rFonts w:ascii="Arial" w:cs="Arial" w:eastAsia="Arial" w:hAnsi="Arial"/>
          <w:sz w:val="16"/>
          <w:szCs w:val="16"/>
          <w:color w:val="auto"/>
        </w:rPr>
        <w:t>Non-Royalty Sublicense Income received;</w:t>
      </w:r>
    </w:p>
    <w:p>
      <w:pPr>
        <w:spacing w:after="0" w:line="131"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4.6.5</w:t>
      </w:r>
      <w:r>
        <w:rPr>
          <w:sz w:val="20"/>
          <w:szCs w:val="20"/>
          <w:color w:val="auto"/>
        </w:rPr>
        <w:tab/>
      </w:r>
      <w:r>
        <w:rPr>
          <w:rFonts w:ascii="Arial" w:cs="Arial" w:eastAsia="Arial" w:hAnsi="Arial"/>
          <w:sz w:val="16"/>
          <w:szCs w:val="16"/>
          <w:color w:val="auto"/>
        </w:rPr>
        <w:t>The currency exchange rates (if any) used to calculate the Royalties and Licensor Non-Royalty Sublicense Income;</w:t>
      </w:r>
    </w:p>
    <w:p>
      <w:pPr>
        <w:spacing w:after="0" w:line="131"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4.6.6</w:t>
      </w:r>
      <w:r>
        <w:rPr>
          <w:sz w:val="20"/>
          <w:szCs w:val="20"/>
          <w:color w:val="auto"/>
        </w:rPr>
        <w:tab/>
      </w:r>
      <w:r>
        <w:rPr>
          <w:rFonts w:ascii="Arial" w:cs="Arial" w:eastAsia="Arial" w:hAnsi="Arial"/>
          <w:sz w:val="16"/>
          <w:szCs w:val="16"/>
          <w:color w:val="auto"/>
        </w:rPr>
        <w:t>A specification of all deductions and their dollar value that were taken to calculate Net Sales;</w:t>
      </w:r>
    </w:p>
    <w:p>
      <w:pPr>
        <w:spacing w:after="0" w:line="131" w:lineRule="exact"/>
        <w:rPr>
          <w:sz w:val="20"/>
          <w:szCs w:val="20"/>
          <w:color w:val="auto"/>
        </w:rPr>
      </w:pPr>
    </w:p>
    <w:p>
      <w:pPr>
        <w:ind w:left="1160" w:right="880" w:hanging="647"/>
        <w:spacing w:after="0" w:line="277" w:lineRule="auto"/>
        <w:tabs>
          <w:tab w:leader="none" w:pos="1140" w:val="left"/>
        </w:tabs>
        <w:rPr>
          <w:sz w:val="20"/>
          <w:szCs w:val="20"/>
          <w:color w:val="auto"/>
        </w:rPr>
      </w:pPr>
      <w:r>
        <w:rPr>
          <w:rFonts w:ascii="Arial" w:cs="Arial" w:eastAsia="Arial" w:hAnsi="Arial"/>
          <w:sz w:val="18"/>
          <w:szCs w:val="18"/>
          <w:color w:val="auto"/>
        </w:rPr>
        <w:t>4.6.7</w:t>
      </w:r>
      <w:r>
        <w:rPr>
          <w:sz w:val="20"/>
          <w:szCs w:val="20"/>
          <w:color w:val="auto"/>
        </w:rPr>
        <w:tab/>
      </w:r>
      <w:r>
        <w:rPr>
          <w:rFonts w:ascii="Arial" w:cs="Arial" w:eastAsia="Arial" w:hAnsi="Arial"/>
          <w:sz w:val="18"/>
          <w:szCs w:val="18"/>
          <w:color w:val="auto"/>
        </w:rPr>
        <w:t>Date of First Commercial Sale in the United States (this need only be reported in the first royalty report following such First Commercial Sale in the United States).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Each Financial Report shall be in the form of the sample report attached hereto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w:t>
      </w:r>
    </w:p>
    <w:p>
      <w:pPr>
        <w:spacing w:after="0" w:line="131" w:lineRule="exact"/>
        <w:rPr>
          <w:sz w:val="20"/>
          <w:szCs w:val="20"/>
          <w:color w:val="auto"/>
        </w:rPr>
      </w:pPr>
    </w:p>
    <w:p>
      <w:pPr>
        <w:ind w:left="520" w:hanging="539"/>
        <w:spacing w:after="0" w:line="266" w:lineRule="auto"/>
        <w:tabs>
          <w:tab w:leader="none" w:pos="5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b w:val="1"/>
          <w:bCs w:val="1"/>
          <w:color w:val="auto"/>
        </w:rPr>
        <w:t>Change of Control Fee</w:t>
      </w:r>
      <w:r>
        <w:rPr>
          <w:rFonts w:ascii="Arial" w:cs="Arial" w:eastAsia="Arial" w:hAnsi="Arial"/>
          <w:sz w:val="18"/>
          <w:szCs w:val="18"/>
          <w:color w:val="auto"/>
        </w:rPr>
        <w:t>. In partial consideration for the License, upon the first Change of Control event of Licensee, if at the time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Licensee has [***] a Product and development (or commercialization) of such Product is ongoing, Licensee will pay Licensor a non-refundable, one-time payment of: (a) [***] or (b) [***].</w:t>
      </w:r>
    </w:p>
    <w:p>
      <w:pPr>
        <w:spacing w:after="0" w:line="81" w:lineRule="exact"/>
        <w:rPr>
          <w:sz w:val="20"/>
          <w:szCs w:val="20"/>
          <w:color w:val="auto"/>
        </w:rPr>
      </w:pPr>
    </w:p>
    <w:p>
      <w:pPr>
        <w:ind w:left="520" w:right="480" w:hanging="539"/>
        <w:spacing w:after="0" w:line="347" w:lineRule="auto"/>
        <w:tabs>
          <w:tab w:leader="none" w:pos="5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b w:val="1"/>
          <w:bCs w:val="1"/>
          <w:color w:val="auto"/>
        </w:rPr>
        <w:t>Late Payments</w:t>
      </w:r>
      <w:r>
        <w:rPr>
          <w:rFonts w:ascii="Arial" w:cs="Arial" w:eastAsia="Arial" w:hAnsi="Arial"/>
          <w:sz w:val="16"/>
          <w:szCs w:val="16"/>
          <w:color w:val="auto"/>
        </w:rPr>
        <w:t>. Any failure by Licensee to make a payment within [***] after the date when due shall obligate Licensee to pay computed</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the interest period commencing on the due date and ending on the actual payment date, to Licensor at a rate [***].</w:t>
      </w:r>
    </w:p>
    <w:p>
      <w:pPr>
        <w:spacing w:after="0" w:line="21" w:lineRule="exact"/>
        <w:rPr>
          <w:sz w:val="20"/>
          <w:szCs w:val="20"/>
          <w:color w:val="auto"/>
        </w:rPr>
      </w:pPr>
    </w:p>
    <w:p>
      <w:pPr>
        <w:ind w:left="520" w:right="440" w:hanging="539"/>
        <w:spacing w:after="0" w:line="282" w:lineRule="auto"/>
        <w:tabs>
          <w:tab w:leader="none" w:pos="5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b w:val="1"/>
          <w:bCs w:val="1"/>
          <w:color w:val="auto"/>
        </w:rPr>
        <w:t>Accounting</w:t>
      </w:r>
      <w:r>
        <w:rPr>
          <w:rFonts w:ascii="Arial" w:cs="Arial" w:eastAsia="Arial" w:hAnsi="Arial"/>
          <w:sz w:val="18"/>
          <w:szCs w:val="18"/>
          <w:color w:val="auto"/>
        </w:rPr>
        <w:t>. Each Party shall calculate all payment amounts, and perform other accounting procedures required, under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it in accordance with Accounting Standards.</w:t>
      </w:r>
    </w:p>
    <w:p>
      <w:pPr>
        <w:spacing w:after="0" w:line="67" w:lineRule="exact"/>
        <w:rPr>
          <w:sz w:val="20"/>
          <w:szCs w:val="20"/>
          <w:color w:val="auto"/>
        </w:rPr>
      </w:pPr>
    </w:p>
    <w:p>
      <w:pPr>
        <w:jc w:val="both"/>
        <w:ind w:left="520" w:right="260" w:hanging="539"/>
        <w:spacing w:after="0" w:line="266" w:lineRule="auto"/>
        <w:tabs>
          <w:tab w:leader="none" w:pos="5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b w:val="1"/>
          <w:bCs w:val="1"/>
          <w:color w:val="auto"/>
        </w:rPr>
        <w:t>Books and Records</w:t>
      </w:r>
      <w:r>
        <w:rPr>
          <w:rFonts w:ascii="Arial" w:cs="Arial" w:eastAsia="Arial" w:hAnsi="Arial"/>
          <w:sz w:val="18"/>
          <w:szCs w:val="18"/>
          <w:color w:val="auto"/>
        </w:rPr>
        <w:t>. Licensee will keep accurate books and records of all Products as necessary for the purpose of showing amounts owed to</w:t>
      </w:r>
      <w:r>
        <w:rPr>
          <w:rFonts w:ascii="Arial" w:cs="Arial" w:eastAsia="Arial" w:hAnsi="Arial"/>
          <w:sz w:val="18"/>
          <w:szCs w:val="18"/>
          <w:b w:val="1"/>
          <w:bCs w:val="1"/>
          <w:color w:val="auto"/>
        </w:rPr>
        <w:t xml:space="preserve"> </w:t>
      </w:r>
      <w:r>
        <w:rPr>
          <w:rFonts w:ascii="Arial" w:cs="Arial" w:eastAsia="Arial" w:hAnsi="Arial"/>
          <w:sz w:val="18"/>
          <w:szCs w:val="18"/>
          <w:color w:val="auto"/>
        </w:rPr>
        <w:t>Licensor under this Agreement. Licensee will preserve these books and records for [***] from the date of the Financial Report to which they pertain.</w:t>
      </w:r>
    </w:p>
    <w:p>
      <w:pPr>
        <w:spacing w:after="0" w:line="81" w:lineRule="exact"/>
        <w:rPr>
          <w:sz w:val="20"/>
          <w:szCs w:val="20"/>
          <w:color w:val="auto"/>
        </w:rPr>
      </w:pPr>
    </w:p>
    <w:p>
      <w:pPr>
        <w:ind w:left="520" w:right="40" w:hanging="539"/>
        <w:spacing w:after="0" w:line="269" w:lineRule="auto"/>
        <w:tabs>
          <w:tab w:leader="none" w:pos="5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b w:val="1"/>
          <w:bCs w:val="1"/>
          <w:color w:val="auto"/>
        </w:rPr>
        <w:t>Audits</w:t>
      </w:r>
      <w:r>
        <w:rPr>
          <w:rFonts w:ascii="Arial" w:cs="Arial" w:eastAsia="Arial" w:hAnsi="Arial"/>
          <w:sz w:val="17"/>
          <w:szCs w:val="17"/>
          <w:color w:val="auto"/>
        </w:rPr>
        <w:t>. Licensor, at its own cost, through an independent auditor reasonably acceptable to Licensee (and who has executed an appropriate</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confidentiality agreement reasonably acceptable to Licensee that requires the auditor to keep any information learned by it confidential except as needed to report its audit conclusions to Licensor), may inspect and audit the relevant records of Licensee pertaining to the calculation of any Royalties and Licensor Non-Royalty Sublicense Income due to Licensor under this Agreement. Licensee shall provide such auditors with access to the records during reasonable business hours. Such access need not be given more often than [***] or [***] after the date of any report to be audited. Licensor shall provide Licensee with written notice of its election to inspect and audit the records related to the amounts due hereunder not less than [***] prior to the proposed date of review of Licensee’s records by Licensor’s auditors. Should the auditor find any underpayment of Royalties or Licensor Non-Royalty Sublicense Income by Licensee, Licensee shall promptly pay Licensor the amount of such underpayment and should such underpayment [***] (a) [***] and (b) [***] during the time period audited then Licensee shall reimburse Licensor for [***] costs incurred by Licensor for such audit. If the auditor finds overpayment by Licensee, then Licensee shall have the right to deduct the overpayment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379" w:name="page380"/>
    <w:bookmarkEnd w:id="379"/>
    <w:p>
      <w:pPr>
        <w:ind w:left="540" w:right="2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future royalties due to Licensor by Licensee or, if no such future royalties are payable, then Licensor shall refund the overpayment to Licensee within [***] after Licensor receives the audit report. Licensee may designate competitively sensitive information which such auditor may see and review but which it may not disclose to Licensor; provided, however, that such designation shall not restrict the auditor’s investigation or conclusions. The results of such audit shall be the Confidential Information of Licensee and once Licensor has audited a particular period, it may not audit that same period again, unless for cause that calls into question the validity of the prior audit.</w:t>
      </w:r>
    </w:p>
    <w:p>
      <w:pPr>
        <w:spacing w:after="0" w:line="63"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 All payments made by Licensee under the Agreement shall be made free and clear of and without any deduction for or on account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Taxes.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INTELLECTUAL PROPERTY</w:t>
      </w: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Patent Filing Prosecution and Maintenance</w:t>
      </w:r>
      <w:r>
        <w:rPr>
          <w:rFonts w:ascii="Arial" w:cs="Arial" w:eastAsia="Arial" w:hAnsi="Arial"/>
          <w:sz w:val="16"/>
          <w:szCs w:val="16"/>
          <w:color w:val="auto"/>
        </w:rPr>
        <w:t>.</w:t>
      </w:r>
    </w:p>
    <w:p>
      <w:pPr>
        <w:spacing w:after="0" w:line="135" w:lineRule="exact"/>
        <w:rPr>
          <w:sz w:val="20"/>
          <w:szCs w:val="20"/>
          <w:color w:val="auto"/>
        </w:rPr>
      </w:pPr>
    </w:p>
    <w:p>
      <w:pPr>
        <w:ind w:left="1180" w:hanging="647"/>
        <w:spacing w:after="0" w:line="284" w:lineRule="auto"/>
        <w:tabs>
          <w:tab w:leader="none" w:pos="11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Licensor Patent Rights will be held in the name of Licensor and obtained with counsel selected by Licensor and reasonably acceptable to Licensee (“</w:t>
      </w:r>
      <w:r>
        <w:rPr>
          <w:rFonts w:ascii="Arial" w:cs="Arial" w:eastAsia="Arial" w:hAnsi="Arial"/>
          <w:sz w:val="16"/>
          <w:szCs w:val="16"/>
          <w:b w:val="1"/>
          <w:bCs w:val="1"/>
          <w:color w:val="auto"/>
        </w:rPr>
        <w:t>Patent Counsel</w:t>
      </w:r>
      <w:r>
        <w:rPr>
          <w:rFonts w:ascii="Arial" w:cs="Arial" w:eastAsia="Arial" w:hAnsi="Arial"/>
          <w:sz w:val="16"/>
          <w:szCs w:val="16"/>
          <w:color w:val="auto"/>
        </w:rPr>
        <w:t>”). Licensor shall control all actions and decisions with respect to the filing, prosecution and maintenance of Licensor Patent Rights and will incorporate any reasonable comments or suggestions by Licensee with respect thereto; provided that, Licensor shall not file a continuation-in-part with respect to any Licensor Patent Right without Licensee’s prior written consent. Subject to the foregoing, Licensor shall have the right to make all final decisions as to the prosecution strategy for all Licensor Patent Rights; provided Licensee shall be consulted in a timely fashion with respect to the prosecution strategy of the Licensor Patent Rights. Licensor will cause Patent Counsel to provide to Licensee for Licensee’s review and comment (in the case of any filing or submission, prior to any filing or submission), copies of all correspondence related to Licensor Patent Rights (including all copies of patent applications, office action, response to office action, request for terminal disclaimer, and request for reissue or reexamination of any patent or patent application) and to confer with Licensee in regards to the preparation, filing, prosecution and maintenance of Licensor Patent Rights. In the event Licensor elects to forego or abandon filing, prosecution or maintenance of any of the Licensor Patent Rights, Licensor will notify Licensee of such election at least [***] prior to any act of abandonment and any filing or payment due date, or any other due date that requires action (“</w:t>
      </w:r>
      <w:r>
        <w:rPr>
          <w:rFonts w:ascii="Arial" w:cs="Arial" w:eastAsia="Arial" w:hAnsi="Arial"/>
          <w:sz w:val="16"/>
          <w:szCs w:val="16"/>
          <w:b w:val="1"/>
          <w:bCs w:val="1"/>
          <w:color w:val="auto"/>
        </w:rPr>
        <w:t>Election Notice</w:t>
      </w:r>
      <w:r>
        <w:rPr>
          <w:rFonts w:ascii="Arial" w:cs="Arial" w:eastAsia="Arial" w:hAnsi="Arial"/>
          <w:sz w:val="16"/>
          <w:szCs w:val="16"/>
          <w:color w:val="auto"/>
        </w:rPr>
        <w:t xml:space="preserve">”). Upon receipt of an Election Notice, Licensee will be entitled, upon written notice to Licensor, to require the continued prosecution or maintenance of such Licensor Patent Right in such country and Licensor shall comply with such requirement, provided that Licensor still desires to forego or abandon such Licensor Patent Rights. In such event, Licensee shall provide written instructions to Licensor as to the filing, prosecution and maintenance of such Licensor Patent Rights and Licensor shall incorporate in any submission or filing in connection therewith any instructions provided by Licensee. Notwithstanding the foregoing, if Licensee fails to provide written instructions to Licensor, Licensor may forgo and abandon such Licensor Patent Rights to the extent Licensor has provided at least [***] to provide such instructions. Without limiting the foregoing, Licensor shall file, prosecute and maintain the Licensor Patent Rights in the list of countries and territories identified on </w:t>
      </w:r>
      <w:r>
        <w:rPr>
          <w:rFonts w:ascii="Arial" w:cs="Arial" w:eastAsia="Arial" w:hAnsi="Arial"/>
          <w:sz w:val="16"/>
          <w:szCs w:val="16"/>
          <w:b w:val="1"/>
          <w:bCs w:val="1"/>
          <w:u w:val="single" w:color="auto"/>
          <w:color w:val="auto"/>
        </w:rPr>
        <w:t>Schedule 5.1.1</w:t>
      </w:r>
      <w:r>
        <w:rPr>
          <w:rFonts w:ascii="Arial" w:cs="Arial" w:eastAsia="Arial" w:hAnsi="Arial"/>
          <w:sz w:val="16"/>
          <w:szCs w:val="16"/>
          <w:color w:val="auto"/>
        </w:rPr>
        <w:t>, unless otherwise instructed by Licensee or Licensee elects to cease paying Patent Costs for such country or territory.</w:t>
      </w:r>
    </w:p>
    <w:p>
      <w:pPr>
        <w:spacing w:after="0" w:line="85" w:lineRule="exact"/>
        <w:rPr>
          <w:sz w:val="20"/>
          <w:szCs w:val="20"/>
          <w:color w:val="auto"/>
        </w:rPr>
      </w:pPr>
    </w:p>
    <w:p>
      <w:pPr>
        <w:ind w:left="1180" w:right="480" w:hanging="647"/>
        <w:spacing w:after="0" w:line="277" w:lineRule="auto"/>
        <w:tabs>
          <w:tab w:leader="none" w:pos="11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Licensor will provide reasonable assistance to Licensee in connection with obtaining supplementary protection certificates for the Licensor Patent Rights at Licensee’s cost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80" w:name="page381"/>
    <w:bookmarkEnd w:id="380"/>
    <w:p>
      <w:pPr>
        <w:ind w:left="1200"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 and Licensor will provide reasonable assistance to Licensee in connection with obtaining patent term extensions or similar protection (such certificates, extension and protections, “</w:t>
      </w:r>
      <w:r>
        <w:rPr>
          <w:rFonts w:ascii="Arial" w:cs="Arial" w:eastAsia="Arial" w:hAnsi="Arial"/>
          <w:sz w:val="16"/>
          <w:szCs w:val="16"/>
          <w:b w:val="1"/>
          <w:bCs w:val="1"/>
          <w:color w:val="auto"/>
        </w:rPr>
        <w:t>Patent Extensions</w:t>
      </w:r>
      <w:r>
        <w:rPr>
          <w:rFonts w:ascii="Arial" w:cs="Arial" w:eastAsia="Arial" w:hAnsi="Arial"/>
          <w:sz w:val="16"/>
          <w:szCs w:val="16"/>
          <w:color w:val="auto"/>
        </w:rPr>
        <w:t>”) for Licensor Patent Rights with respect to the Products at Licensee’s cost and expense. Notwithstanding anything herein to the contrary, Licensee or its designee shall have the sole right to select any Licensor Patent Right for which a Patent Extension will be sought in connection with Regulatory Approval for each Product.</w:t>
      </w:r>
    </w:p>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Patent Costs</w:t>
      </w:r>
      <w:r>
        <w:rPr>
          <w:rFonts w:ascii="Arial" w:cs="Arial" w:eastAsia="Arial" w:hAnsi="Arial"/>
          <w:sz w:val="15"/>
          <w:szCs w:val="15"/>
          <w:color w:val="auto"/>
        </w:rPr>
        <w:t>.</w:t>
      </w:r>
    </w:p>
    <w:p>
      <w:pPr>
        <w:spacing w:after="0" w:line="135" w:lineRule="exact"/>
        <w:rPr>
          <w:sz w:val="20"/>
          <w:szCs w:val="20"/>
          <w:color w:val="auto"/>
        </w:rPr>
      </w:pPr>
    </w:p>
    <w:p>
      <w:pPr>
        <w:ind w:left="1180" w:hanging="647"/>
        <w:spacing w:after="0" w:line="290" w:lineRule="auto"/>
        <w:tabs>
          <w:tab w:leader="none" w:pos="11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Licensee will bear all reasonable out-of-pocket costs for the filing, prosecution and maintenance of Licensor Patent Rights, including all reasonable documented accrued attorney fees, expenses, official and filing fees incurring during the Term (“</w:t>
      </w:r>
      <w:r>
        <w:rPr>
          <w:rFonts w:ascii="Arial" w:cs="Arial" w:eastAsia="Arial" w:hAnsi="Arial"/>
          <w:sz w:val="16"/>
          <w:szCs w:val="16"/>
          <w:b w:val="1"/>
          <w:bCs w:val="1"/>
          <w:color w:val="auto"/>
        </w:rPr>
        <w:t>Patent Costs</w:t>
      </w:r>
      <w:r>
        <w:rPr>
          <w:rFonts w:ascii="Arial" w:cs="Arial" w:eastAsia="Arial" w:hAnsi="Arial"/>
          <w:sz w:val="16"/>
          <w:szCs w:val="16"/>
          <w:color w:val="auto"/>
        </w:rPr>
        <w:t>”) incurred after the Effective Date and shall pay such amounts within [***] of receipt of an undisputed invoice for such Patent Costs. Licensee shall have the right to cease paying Patent Costs for a particular Patent Right or a Patent Right in a particular jurisdiction, in which case Licensee would retain a non-exclusive license under such Patent Right or such Patent Right in such jurisdiction, as applicable, unless Licensee ceased paying for such Patent Right in a Major Market. In the event Licensee ceases to pay Patent Costs for a Patent Right in a Major Market, the License for such Patent Right with respect to that Major market shall terminate and Licensee shall have no right with respect to that Patent Right in such Major Market, exclusive, non-exclusive or otherwise.</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Infringement</w:t>
      </w:r>
      <w:r>
        <w:rPr>
          <w:rFonts w:ascii="Arial" w:cs="Arial" w:eastAsia="Arial" w:hAnsi="Arial"/>
          <w:sz w:val="16"/>
          <w:szCs w:val="16"/>
          <w:color w:val="auto"/>
        </w:rPr>
        <w:t>.</w:t>
      </w:r>
    </w:p>
    <w:p>
      <w:pPr>
        <w:spacing w:after="0" w:line="135" w:lineRule="exact"/>
        <w:rPr>
          <w:sz w:val="20"/>
          <w:szCs w:val="20"/>
          <w:color w:val="auto"/>
        </w:rPr>
      </w:pPr>
    </w:p>
    <w:p>
      <w:pPr>
        <w:ind w:left="1180" w:right="100" w:hanging="647"/>
        <w:spacing w:after="0" w:line="263" w:lineRule="auto"/>
        <w:tabs>
          <w:tab w:leader="none" w:pos="116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If either Party believes that an infringement by a Third Party with respect to any Licensor Patent Right is occurring, the knowledgeable Party will provide the other Party with (a) written notice of such infringement or potential infringement and (b) evidence of such infringement (the “</w:t>
      </w:r>
      <w:r>
        <w:rPr>
          <w:rFonts w:ascii="Arial" w:cs="Arial" w:eastAsia="Arial" w:hAnsi="Arial"/>
          <w:sz w:val="18"/>
          <w:szCs w:val="18"/>
          <w:b w:val="1"/>
          <w:bCs w:val="1"/>
          <w:color w:val="auto"/>
        </w:rPr>
        <w:t>Infringement Notice</w:t>
      </w:r>
      <w:r>
        <w:rPr>
          <w:rFonts w:ascii="Arial" w:cs="Arial" w:eastAsia="Arial" w:hAnsi="Arial"/>
          <w:sz w:val="18"/>
          <w:szCs w:val="18"/>
          <w:color w:val="auto"/>
        </w:rPr>
        <w:t>”).</w:t>
      </w:r>
    </w:p>
    <w:p>
      <w:pPr>
        <w:spacing w:after="0" w:line="89" w:lineRule="exact"/>
        <w:rPr>
          <w:sz w:val="20"/>
          <w:szCs w:val="20"/>
          <w:color w:val="auto"/>
        </w:rPr>
      </w:pPr>
    </w:p>
    <w:p>
      <w:pPr>
        <w:ind w:left="1180" w:right="80" w:hanging="647"/>
        <w:spacing w:after="0" w:line="285" w:lineRule="auto"/>
        <w:tabs>
          <w:tab w:leader="none" w:pos="116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As between the Parties, Licensee, itself or through its designee, shall have the first right to enforce the Licensor Patent Rights against any actual, alleged or threatened infringement by Third Parties, and to defend and control any declaratory judgment action or challenge or other adversarial procedure brought with respect to Licensor Patent Rights (each such action or procedure with respect to the Licensor Patent Rights being referred to herein as an “</w:t>
      </w:r>
      <w:r>
        <w:rPr>
          <w:rFonts w:ascii="Arial" w:cs="Arial" w:eastAsia="Arial" w:hAnsi="Arial"/>
          <w:sz w:val="16"/>
          <w:szCs w:val="16"/>
          <w:b w:val="1"/>
          <w:bCs w:val="1"/>
          <w:color w:val="auto"/>
        </w:rPr>
        <w:t>Enforcement Action</w:t>
      </w:r>
      <w:r>
        <w:rPr>
          <w:rFonts w:ascii="Arial" w:cs="Arial" w:eastAsia="Arial" w:hAnsi="Arial"/>
          <w:sz w:val="16"/>
          <w:szCs w:val="16"/>
          <w:color w:val="auto"/>
        </w:rPr>
        <w:t>”) with counsel of its own choosing. Licensee shall keep Licensor advised of the status of such Enforcement Action. Upon Licensee’s request, and to the extent able to join such Enforcement Action, Licensor shall join such Enforcement Action at Licensee’s reasonable expense, including Licensor’s attorney’s fees and any out-of-pocket costs incurred by Licensor for such Enforcement Action; provided that, if Licensor is required to join such Enforcement Action for such Enforcement Action to be initiated or maintained and does not join such Enforcement Action for any reason, [***] . Licensee shall be free to enter into a settlement, consent judgment or other voluntary disposition, provided that any settlement, consent judgment or other voluntary disposition that (i) admits the invalidity or unenforceability of any issued and unexpired claims within the Licensor Patent Rights or (ii) admits fault or wrongdoing on the part of Licensor must be approved in advance by Licensor in writing such approval not to be unreasonably withheld. Licensor shall provide Licensee notice of its approval or denial within [***] of any request for such approval by Licensee, provided that (x) in the event Licensor wishes to deny such approval, such notice shall include a detailed written description of Licensor’s reasonable objections to the proposed settlement, consent judgment, or other voluntary disposition and (y) Licensor shall be deemed to have approved of such proposed settlement, consent judgment, or other voluntary disposition in the event it fails to provide such notice within such [***] period in accordance herewith.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81" w:name="page382"/>
    <w:bookmarkEnd w:id="381"/>
    <w:p>
      <w:pPr>
        <w:ind w:left="640" w:hanging="647"/>
        <w:spacing w:after="0" w:line="284"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5.3.3</w:t>
      </w:r>
      <w:r>
        <w:rPr>
          <w:sz w:val="20"/>
          <w:szCs w:val="20"/>
          <w:color w:val="auto"/>
        </w:rPr>
        <w:tab/>
      </w:r>
      <w:r>
        <w:rPr>
          <w:rFonts w:ascii="Arial" w:cs="Arial" w:eastAsia="Arial" w:hAnsi="Arial"/>
          <w:sz w:val="16"/>
          <w:szCs w:val="16"/>
          <w:color w:val="auto"/>
        </w:rPr>
        <w:t>If Licensee does not take steps to abate such infringement within [***] following Licensor’s request to do so, and infringing activity of material commercial significance has not been abated, then Licensor may institute suit for patent infringement against the infringer. Licensor agrees to keep Licensee reasonably informed regarding the suit and to consider the views of Licensee regarding the advisability of the proposed action and its effect on Licensee’s business. If Licensor institutes such suit, then Licensee may not join such suit without the prior written consent of Licensor and may not thereafter commence suit against the infringer for the acts of infringement that are the subject of Licensor’s suit or any judgment rendered in such suit. Licensor shall be free to enter into a settlement, consent judgment or other voluntary disposition, provided that any settlement, consent judgment or other voluntary disposition that (a) admits the invalidity or unenforceability of any issued and unexpired claims within the Licensor Patent Rights</w:t>
      </w:r>
    </w:p>
    <w:p>
      <w:pPr>
        <w:spacing w:after="0" w:line="1" w:lineRule="exact"/>
        <w:rPr>
          <w:sz w:val="20"/>
          <w:szCs w:val="20"/>
          <w:color w:val="auto"/>
        </w:rPr>
      </w:pPr>
    </w:p>
    <w:p>
      <w:pPr>
        <w:ind w:left="640" w:right="180" w:firstLine="4"/>
        <w:spacing w:after="0" w:line="255" w:lineRule="auto"/>
        <w:tabs>
          <w:tab w:leader="none" w:pos="89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admits fault or wrongdoing on the part of Licensee (c) imposes financial liability or other obligation or (d) otherwise limits Licensee’s rights under this Agreement or grants rights under the Licensor Patent Rights, must be approved in advance by Licensee in writing.</w:t>
      </w:r>
    </w:p>
    <w:p>
      <w:pPr>
        <w:spacing w:after="0" w:line="95"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8"/>
          <w:szCs w:val="18"/>
          <w:color w:val="auto"/>
        </w:rPr>
        <w:t>Any recovery or settlement received in connection with any suit or Enforcement Action will first be used to reimburse any out-of-pocket litigation costs and expenses (including attorneys’ fees) of the non-controlling Party, then to reimburse any out-of-pocket litigation costs and expenses (including attorneys’ fees) incurred by the controlling Party in participating in such Enforcement Action or suit. Any remaining recoveries shall be allocated as follows:</w:t>
      </w:r>
    </w:p>
    <w:p>
      <w:pPr>
        <w:spacing w:after="0" w:line="79" w:lineRule="exact"/>
        <w:rPr>
          <w:sz w:val="20"/>
          <w:szCs w:val="20"/>
          <w:color w:val="auto"/>
        </w:rPr>
      </w:pPr>
    </w:p>
    <w:p>
      <w:pPr>
        <w:ind w:left="660" w:right="940"/>
        <w:spacing w:after="0" w:line="277" w:lineRule="auto"/>
        <w:rPr>
          <w:sz w:val="20"/>
          <w:szCs w:val="20"/>
          <w:color w:val="auto"/>
        </w:rPr>
      </w:pPr>
      <w:r>
        <w:rPr>
          <w:rFonts w:ascii="Arial" w:cs="Arial" w:eastAsia="Arial" w:hAnsi="Arial"/>
          <w:sz w:val="18"/>
          <w:szCs w:val="18"/>
          <w:color w:val="auto"/>
        </w:rPr>
        <w:t>For any portion of the recovery or settlement, other than for amounts attributable and paid as enhanced damages for willful infringement:</w:t>
      </w:r>
    </w:p>
    <w:p>
      <w:pPr>
        <w:spacing w:after="0" w:line="76" w:lineRule="exact"/>
        <w:rPr>
          <w:sz w:val="20"/>
          <w:szCs w:val="20"/>
          <w:color w:val="auto"/>
        </w:rPr>
      </w:pPr>
    </w:p>
    <w:p>
      <w:pPr>
        <w:ind w:left="1200" w:right="720" w:hanging="543"/>
        <w:spacing w:after="0" w:line="277" w:lineRule="auto"/>
        <w:tabs>
          <w:tab w:leader="none" w:pos="12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for any suit that is initiated by Licensee, Licensor shall receive [***] of the recovery and the Licensee shall receive the remainder; and</w:t>
      </w:r>
    </w:p>
    <w:p>
      <w:pPr>
        <w:spacing w:after="0" w:line="75" w:lineRule="exact"/>
        <w:rPr>
          <w:rFonts w:ascii="Arial" w:cs="Arial" w:eastAsia="Arial" w:hAnsi="Arial"/>
          <w:sz w:val="18"/>
          <w:szCs w:val="18"/>
          <w:color w:val="auto"/>
        </w:rPr>
      </w:pPr>
    </w:p>
    <w:p>
      <w:pPr>
        <w:ind w:left="1200" w:right="120" w:hanging="543"/>
        <w:spacing w:after="0" w:line="271" w:lineRule="auto"/>
        <w:tabs>
          <w:tab w:leader="none" w:pos="12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for any suit that is initiated by the Licensee or Licensor and that the other Party joins voluntarily (but only to the extent such voluntary joining is allowed under this Agreement or expressly by the other Party in a separate agreement) or involuntarily, the non-initiating Party’s shall receive a portion of the recovery equal to the percentage of the total litigation costs incurred by Licensor and Licensee, but in no event shall the non-initiating Party receive [***] of such recovery, while the initiating Party shall receive the remainder, and in no case shall Licensor receive [***] of such recovery. For clarity, the “total litigation costs” incurred by Licensor (if Licensor is the controlling Party) or by Licensee (if Licensee is the controlling Party), as applicable, shall include such amounts paid to the non-controlling Party in reimbursing out-of-pocket litigation costs and expenses (including attorneys’ fees) incurred by the non-controlling Party.</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any portion of the recovery or settlement paid as enhanced damages for willful infringement:</w:t>
      </w:r>
    </w:p>
    <w:p>
      <w:pPr>
        <w:spacing w:after="0" w:line="131" w:lineRule="exact"/>
        <w:rPr>
          <w:sz w:val="20"/>
          <w:szCs w:val="20"/>
          <w:color w:val="auto"/>
        </w:rPr>
      </w:pPr>
    </w:p>
    <w:p>
      <w:pPr>
        <w:ind w:left="1200" w:hanging="543"/>
        <w:spacing w:after="0" w:line="263" w:lineRule="auto"/>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for any suit that is initiated by Licensee or Licensor and the other Party voluntarily (but only to the extent such voluntary joining is allowed under this Agreement or expressly by the other party in a separate agreement) or involuntarily joins, Licensor shall receive [***] and Licensee shall receive the remainder; and</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60"/>
          </w:cols>
          <w:pgMar w:left="980" w:top="274" w:right="459" w:bottom="1440" w:gutter="0" w:footer="0" w:header="0"/>
        </w:sectPr>
      </w:pPr>
    </w:p>
    <w:bookmarkStart w:id="382" w:name="page383"/>
    <w:bookmarkEnd w:id="382"/>
    <w:p>
      <w:pPr>
        <w:ind w:left="1740" w:right="20" w:hanging="543"/>
        <w:spacing w:after="0" w:line="277" w:lineRule="auto"/>
        <w:tabs>
          <w:tab w:leader="none" w:pos="17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any suit that is initiated by Licensee and in which Licensor was not a party in the litigation, Licensor shall receive [***] and Licensee shall receive the remainder.</w:t>
      </w:r>
    </w:p>
    <w:p>
      <w:pPr>
        <w:spacing w:after="0" w:line="62" w:lineRule="exact"/>
        <w:rPr>
          <w:sz w:val="20"/>
          <w:szCs w:val="20"/>
          <w:color w:val="auto"/>
        </w:rPr>
      </w:pPr>
    </w:p>
    <w:p>
      <w:pPr>
        <w:ind w:left="1200" w:right="180"/>
        <w:spacing w:after="0" w:line="277" w:lineRule="auto"/>
        <w:rPr>
          <w:sz w:val="20"/>
          <w:szCs w:val="20"/>
          <w:color w:val="auto"/>
        </w:rPr>
      </w:pPr>
      <w:r>
        <w:rPr>
          <w:rFonts w:ascii="Arial" w:cs="Arial" w:eastAsia="Arial" w:hAnsi="Arial"/>
          <w:sz w:val="18"/>
          <w:szCs w:val="18"/>
          <w:color w:val="auto"/>
        </w:rPr>
        <w:t>For any portion of the recovery or settlement received in connection with any suit that is initiated by Licensor and in which Licensee was not a party to the litigation, any recovery in excess of litigation costs will belong to Licensor.</w:t>
      </w:r>
    </w:p>
    <w:p>
      <w:pPr>
        <w:spacing w:after="0" w:line="76" w:lineRule="exact"/>
        <w:rPr>
          <w:sz w:val="20"/>
          <w:szCs w:val="20"/>
          <w:color w:val="auto"/>
        </w:rPr>
      </w:pPr>
    </w:p>
    <w:p>
      <w:pPr>
        <w:ind w:left="1180" w:hanging="647"/>
        <w:spacing w:after="0" w:line="301" w:lineRule="auto"/>
        <w:tabs>
          <w:tab w:leader="none" w:pos="1160"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6"/>
          <w:szCs w:val="16"/>
          <w:color w:val="auto"/>
        </w:rPr>
        <w:t>Each Party will reasonably cooperate and assist with the other in litigation proceedings instituted hereunder but at the expense of the Party who initiated the suit (unless such suit is being jointly prosecuted by the Parties) including to the extent reasonably possible, by having its employees testify when requested and make available relevant records, papers, information, samples, specimens and the like. For clarity, such requirement does not require a Party to join a suit unless otherwise specifically required under this Agreement.</w:t>
      </w:r>
    </w:p>
    <w:p>
      <w:pPr>
        <w:spacing w:after="0" w:line="59" w:lineRule="exact"/>
        <w:rPr>
          <w:sz w:val="20"/>
          <w:szCs w:val="20"/>
          <w:color w:val="auto"/>
        </w:rPr>
      </w:pPr>
    </w:p>
    <w:p>
      <w:pPr>
        <w:jc w:val="both"/>
        <w:ind w:left="540" w:right="200" w:hanging="539"/>
        <w:spacing w:after="0" w:line="266" w:lineRule="auto"/>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Patent Marking</w:t>
      </w:r>
      <w:r>
        <w:rPr>
          <w:rFonts w:ascii="Arial" w:cs="Arial" w:eastAsia="Arial" w:hAnsi="Arial"/>
          <w:sz w:val="18"/>
          <w:szCs w:val="18"/>
          <w:color w:val="auto"/>
        </w:rPr>
        <w:t>. Licensee shall place in a conspicuous location on any Product (or its packaging where appropriate and practicable) made or</w:t>
      </w:r>
      <w:r>
        <w:rPr>
          <w:rFonts w:ascii="Arial" w:cs="Arial" w:eastAsia="Arial" w:hAnsi="Arial"/>
          <w:sz w:val="18"/>
          <w:szCs w:val="18"/>
          <w:b w:val="1"/>
          <w:bCs w:val="1"/>
          <w:color w:val="auto"/>
        </w:rPr>
        <w:t xml:space="preserve"> </w:t>
      </w:r>
      <w:r>
        <w:rPr>
          <w:rFonts w:ascii="Arial" w:cs="Arial" w:eastAsia="Arial" w:hAnsi="Arial"/>
          <w:sz w:val="18"/>
          <w:szCs w:val="18"/>
          <w:color w:val="auto"/>
        </w:rPr>
        <w:t>sold under this Agreement a patent notice as required by the Laws concerning the marking of patented articles where such Product is made or sold, as applicable.</w:t>
      </w:r>
    </w:p>
    <w:p>
      <w:pPr>
        <w:spacing w:after="0" w:line="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Confidentiality.</w:t>
      </w:r>
    </w:p>
    <w:p>
      <w:pPr>
        <w:spacing w:after="0" w:line="135" w:lineRule="exact"/>
        <w:rPr>
          <w:sz w:val="20"/>
          <w:szCs w:val="20"/>
          <w:color w:val="auto"/>
        </w:rPr>
      </w:pPr>
    </w:p>
    <w:p>
      <w:pPr>
        <w:ind w:left="1180" w:right="120" w:hanging="647"/>
        <w:spacing w:after="0" w:line="290" w:lineRule="auto"/>
        <w:tabs>
          <w:tab w:leader="none" w:pos="116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6"/>
          <w:szCs w:val="16"/>
          <w:color w:val="auto"/>
        </w:rPr>
        <w:t>Each Party agrees that, for [***], such Party shall (a) use the same degree of care to maintain the secrecy of the Confidential Information of the other Party that it uses to maintain the secrecy of its Confidential Information of like kind, (b) use and disclose the Confidential Information only to (i) exercise its rights and perform its obligations under this Agreement and (ii) in connection with prosecuting or defending litigation or obtaining Regulatory Approval, making other regulatory filings and communications and filing, prosecuting and enforcing Patent Rights, in each case, in connection with the recipient’s rights and obligations pursuant to this Agreement and (c) ensure that any employees, customers, distributors and others who receive Confidential Information of the other Party are bound by similar obligations of non-use, non-disclosure and confidence as this Agreement and to make such disclosure of such Confidential Information of the other Party only as required to accomplish the purposes of this Agreement.</w:t>
      </w:r>
    </w:p>
    <w:p>
      <w:pPr>
        <w:spacing w:after="0" w:line="7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6"/>
          <w:szCs w:val="16"/>
          <w:color w:val="auto"/>
        </w:rPr>
        <w:t>Neither Party will have any confidentiality obligations with respect to Confidential Information belonging to the other Party that:</w:t>
      </w:r>
    </w:p>
    <w:p>
      <w:pPr>
        <w:spacing w:after="0" w:line="131" w:lineRule="exact"/>
        <w:rPr>
          <w:sz w:val="20"/>
          <w:szCs w:val="20"/>
          <w:color w:val="auto"/>
        </w:rPr>
      </w:pPr>
    </w:p>
    <w:p>
      <w:pPr>
        <w:ind w:left="1740" w:hanging="543"/>
        <w:spacing w:after="0"/>
        <w:tabs>
          <w:tab w:leader="none" w:pos="1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is or becomes generally available to the public other than as a result of disclosure by the recipient;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is already known by or in the possession of the recipient at the time of disclosure by the disclosing Party;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is independently developed by recipient without use of or reference to the disclosing Party’s Confidential Information; or</w:t>
      </w:r>
    </w:p>
    <w:p>
      <w:pPr>
        <w:spacing w:after="0" w:line="142" w:lineRule="exact"/>
        <w:rPr>
          <w:rFonts w:ascii="Arial" w:cs="Arial" w:eastAsia="Arial" w:hAnsi="Arial"/>
          <w:sz w:val="17"/>
          <w:szCs w:val="17"/>
          <w:color w:val="auto"/>
        </w:rPr>
      </w:pPr>
    </w:p>
    <w:p>
      <w:pPr>
        <w:ind w:left="1740" w:hanging="543"/>
        <w:spacing w:after="0"/>
        <w:tabs>
          <w:tab w:leader="none" w:pos="1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is obtained by recipient from a Third Party that has not breached any obligations of confidentiality.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383" w:name="page384"/>
    <w:bookmarkEnd w:id="383"/>
    <w:p>
      <w:pPr>
        <w:ind w:left="1180" w:right="40" w:hanging="647"/>
        <w:spacing w:after="0" w:line="270"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5.5.3</w:t>
      </w:r>
      <w:r>
        <w:rPr>
          <w:sz w:val="20"/>
          <w:szCs w:val="20"/>
          <w:color w:val="auto"/>
        </w:rPr>
        <w:tab/>
      </w:r>
      <w:r>
        <w:rPr>
          <w:rFonts w:ascii="Arial" w:cs="Arial" w:eastAsia="Arial" w:hAnsi="Arial"/>
          <w:sz w:val="17"/>
          <w:szCs w:val="17"/>
          <w:color w:val="auto"/>
        </w:rPr>
        <w:t>A Party may disclose the Confidential Information of the other Party to the extent required by Law (including any securities law or regulation or the rules of a security exchange, provided that such proposed securities disclosure is provided to the other party for review and approval prior to such disclosure to the extent not prevented by such Laws or rules) or court order; provided, however, that the recipient promptly provides to the disclosing Party prior written notice of such disclosure and an opportunity to review and approve such disclosure, in each case, to the extent not prevented by such Laws or rules, an opportunity to apply for a protective order, injunction or for confidential treatment of such Confidential Information and provides reasonable assistance in obtaining such an order, injunction or other remedy protecting the Confidential Information from public disclosure, in each case, to the extent allowable by Law. A Party shall disclose only the minimum Confidential Information to be disclosed in order to comply, whether or not a protective order or other similar order is obtained by the other Party.</w:t>
      </w:r>
    </w:p>
    <w:p>
      <w:pPr>
        <w:spacing w:after="0" w:line="86" w:lineRule="exact"/>
        <w:rPr>
          <w:sz w:val="20"/>
          <w:szCs w:val="20"/>
          <w:color w:val="auto"/>
        </w:rPr>
      </w:pPr>
    </w:p>
    <w:p>
      <w:pPr>
        <w:ind w:left="1180" w:right="60" w:hanging="647"/>
        <w:spacing w:after="0" w:line="254" w:lineRule="auto"/>
        <w:tabs>
          <w:tab w:leader="none" w:pos="1160" w:val="left"/>
        </w:tabs>
        <w:rPr>
          <w:sz w:val="20"/>
          <w:szCs w:val="20"/>
          <w:color w:val="auto"/>
        </w:rPr>
      </w:pPr>
      <w:r>
        <w:rPr>
          <w:rFonts w:ascii="Arial" w:cs="Arial" w:eastAsia="Arial" w:hAnsi="Arial"/>
          <w:sz w:val="18"/>
          <w:szCs w:val="18"/>
          <w:color w:val="auto"/>
        </w:rPr>
        <w:t>5.5.4</w:t>
      </w:r>
      <w:r>
        <w:rPr>
          <w:sz w:val="20"/>
          <w:szCs w:val="20"/>
          <w:color w:val="auto"/>
        </w:rPr>
        <w:tab/>
      </w:r>
      <w:r>
        <w:rPr>
          <w:rFonts w:ascii="Arial" w:cs="Arial" w:eastAsia="Arial" w:hAnsi="Arial"/>
          <w:sz w:val="18"/>
          <w:szCs w:val="18"/>
          <w:color w:val="auto"/>
        </w:rPr>
        <w:t>Notwithstanding the foregoing, (i) Licensee may disclose the terms of this Agreement to advisors (including financial advisors, attorneys and accountants), actual or potential acquisition partners, Sublicensees, private investors, licensees and/or collaborators, and others on a reasonable need to know basis under confidentiality provisions substantially similar to those contained herein and (ii) either Party may disclose the terms of this Agreement to the extent necessary to comply with Laws and court orders (including securities laws or regulations and the applicable rules of any public stock exchange). Notwithstanding any other provisions of this Agreement the Parties may make factual statements regarding the existence, nature, and type of this Agreement, provided that such statements do not disclose specific terms hereof.</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WARRANTIES AND COVENANTS</w:t>
      </w: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Mutual Representations and Warranties</w:t>
      </w:r>
      <w:r>
        <w:rPr>
          <w:rFonts w:ascii="Arial" w:cs="Arial" w:eastAsia="Arial" w:hAnsi="Arial"/>
          <w:sz w:val="16"/>
          <w:szCs w:val="16"/>
          <w:color w:val="auto"/>
        </w:rPr>
        <w:t>. Each Party represents and warrants to the other Party that, as of the Effective Date:</w:t>
      </w:r>
    </w:p>
    <w:p>
      <w:pPr>
        <w:spacing w:after="0" w:line="13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such Party is duly organized and validly existing under the Laws of the jurisdiction of its incorporation or organization;</w:t>
      </w:r>
    </w:p>
    <w:p>
      <w:pPr>
        <w:spacing w:after="0" w:line="131" w:lineRule="exact"/>
        <w:rPr>
          <w:sz w:val="20"/>
          <w:szCs w:val="20"/>
          <w:color w:val="auto"/>
        </w:rPr>
      </w:pPr>
    </w:p>
    <w:p>
      <w:pPr>
        <w:ind w:left="1180" w:right="760" w:hanging="647"/>
        <w:spacing w:after="0" w:line="277" w:lineRule="auto"/>
        <w:tabs>
          <w:tab w:leader="none" w:pos="11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such Party has taken all action necessary to authorize the execution and delivery of this Agreement and the performance of its obligations under this Agreement;</w:t>
      </w:r>
    </w:p>
    <w:p>
      <w:pPr>
        <w:spacing w:after="0" w:line="76" w:lineRule="exact"/>
        <w:rPr>
          <w:sz w:val="20"/>
          <w:szCs w:val="20"/>
          <w:color w:val="auto"/>
        </w:rPr>
      </w:pPr>
    </w:p>
    <w:p>
      <w:pPr>
        <w:ind w:left="1180" w:hanging="647"/>
        <w:spacing w:after="0" w:line="293" w:lineRule="auto"/>
        <w:tabs>
          <w:tab w:leader="none" w:pos="116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 The execution, delivery and performance of this Agreement by such Party does not conflict with, breach or create in any Third Party the right to accelerate, terminate or modify any agreement or instrument to which such Party is a party or by which such Party is bound, and does not violate any Law of any Governmental Body having authority over such Party; and</w:t>
      </w:r>
    </w:p>
    <w:p>
      <w:pPr>
        <w:spacing w:after="0" w:line="70" w:lineRule="exact"/>
        <w:rPr>
          <w:sz w:val="20"/>
          <w:szCs w:val="20"/>
          <w:color w:val="auto"/>
        </w:rPr>
      </w:pPr>
    </w:p>
    <w:p>
      <w:pPr>
        <w:jc w:val="center"/>
        <w:ind w:right="460"/>
        <w:spacing w:after="0"/>
        <w:tabs>
          <w:tab w:leader="none" w:pos="26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such Party has all right, power and authority to enter into this Agreement, to perform its obligations under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84" w:name="page385"/>
    <w:bookmarkEnd w:id="384"/>
    <w:p>
      <w:pPr>
        <w:ind w:left="540" w:hanging="539"/>
        <w:spacing w:after="0" w:line="285"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w:t>
      </w:r>
      <w:r>
        <w:rPr>
          <w:sz w:val="20"/>
          <w:szCs w:val="20"/>
          <w:color w:val="auto"/>
        </w:rPr>
        <w:tab/>
      </w:r>
      <w:r>
        <w:rPr>
          <w:rFonts w:ascii="Arial" w:cs="Arial" w:eastAsia="Arial" w:hAnsi="Arial"/>
          <w:sz w:val="16"/>
          <w:szCs w:val="16"/>
          <w:color w:val="auto"/>
        </w:rPr>
        <w:t xml:space="preserve">Licensor hereby certifies to Licensee, that to the knowledge of Licensor’s designated office for technology and commercialization (including the Office for Institutional Advancement) (the “OTC”), as of the Effective Date: (i) Board owns (and Licensor is the sole agent of the Board with the authorization to grant licenses under) the entire right, title and interest in and to the Patent Rights listed on </w:t>
      </w:r>
      <w:r>
        <w:rPr>
          <w:rFonts w:ascii="Arial" w:cs="Arial" w:eastAsia="Arial" w:hAnsi="Arial"/>
          <w:sz w:val="16"/>
          <w:szCs w:val="16"/>
          <w:b w:val="1"/>
          <w:bCs w:val="1"/>
          <w:u w:val="single" w:color="auto"/>
          <w:color w:val="auto"/>
        </w:rPr>
        <w:t>Schedule 1.25</w:t>
      </w:r>
      <w:r>
        <w:rPr>
          <w:rFonts w:ascii="Arial" w:cs="Arial" w:eastAsia="Arial" w:hAnsi="Arial"/>
          <w:sz w:val="16"/>
          <w:szCs w:val="16"/>
          <w:color w:val="auto"/>
        </w:rPr>
        <w:t>; (ii) Licensor has the right to grant to Licensee the licenses it purports to grant in Section 2.1; (iii) neither Licensor nor Board has knowingly entered and will not, during the Term, knowingly enter into any agreements that are inconsistent with the rights and licenses granted to Licensee hereunder; and</w:t>
      </w:r>
    </w:p>
    <w:p>
      <w:pPr>
        <w:spacing w:after="0" w:line="2" w:lineRule="exact"/>
        <w:rPr>
          <w:sz w:val="20"/>
          <w:szCs w:val="20"/>
          <w:color w:val="auto"/>
        </w:rPr>
      </w:pPr>
    </w:p>
    <w:p>
      <w:pPr>
        <w:ind w:left="540" w:right="60" w:hanging="4"/>
        <w:spacing w:after="0" w:line="260" w:lineRule="auto"/>
        <w:tabs>
          <w:tab w:leader="none" w:pos="84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Licensor has received written assignments from each of the inventors listed on the patent applications for each of the Licensor Patent Rights assigning to Board each such inventor’s entire right, title and interest in and to the Licensor Patent Rights.</w:t>
      </w:r>
    </w:p>
    <w:p>
      <w:pPr>
        <w:spacing w:after="0" w:line="8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Disclaimer of Representations and Warranties</w:t>
      </w:r>
      <w:r>
        <w:rPr>
          <w:rFonts w:ascii="Arial" w:cs="Arial" w:eastAsia="Arial" w:hAnsi="Arial"/>
          <w:sz w:val="16"/>
          <w:szCs w:val="16"/>
          <w:color w:val="auto"/>
        </w:rPr>
        <w: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 xml:space="preserve">Other than the representations and warranties provided in Sections 6.1 and 6.2 above, </w:t>
      </w:r>
      <w:r>
        <w:rPr>
          <w:rFonts w:ascii="Arial" w:cs="Arial" w:eastAsia="Arial" w:hAnsi="Arial"/>
          <w:sz w:val="16"/>
          <w:szCs w:val="16"/>
          <w:b w:val="1"/>
          <w:bCs w:val="1"/>
          <w:color w:val="auto"/>
        </w:rPr>
        <w:t>NEITHER PARTY MAKES ANY</w:t>
      </w:r>
    </w:p>
    <w:p>
      <w:pPr>
        <w:spacing w:after="0" w:line="27" w:lineRule="exact"/>
        <w:rPr>
          <w:sz w:val="20"/>
          <w:szCs w:val="20"/>
          <w:color w:val="auto"/>
        </w:rPr>
      </w:pPr>
    </w:p>
    <w:p>
      <w:pPr>
        <w:ind w:left="1180" w:right="260"/>
        <w:spacing w:after="0" w:line="253" w:lineRule="auto"/>
        <w:rPr>
          <w:sz w:val="20"/>
          <w:szCs w:val="20"/>
          <w:color w:val="auto"/>
        </w:rPr>
      </w:pPr>
      <w:r>
        <w:rPr>
          <w:rFonts w:ascii="Arial" w:cs="Arial" w:eastAsia="Arial" w:hAnsi="Arial"/>
          <w:sz w:val="18"/>
          <w:szCs w:val="18"/>
          <w:b w:val="1"/>
          <w:bCs w:val="1"/>
          <w:color w:val="auto"/>
        </w:rPr>
        <w:t>REPRESENTATIONS OR WARRANTIES, WHETHER EXPRESS OR IMPLIED, AND EXPLICITLY DISCLAIMS ANY REPRESENTATION AND WARRANTY, INCLUDING WITH RESPECT TO ANY ACCURACY, COMPLETENESS, MERCHANTABILITY, FITNESS FOR A PARTICULAR PURPOSE, COMMERCIAL UTILITY, NON-INFRINGEMENT OR TITLE FOR THE TECHNOLOGY, LICENSOR PATENT RIGHTS, LICENSE AND ANY PRODUCT</w:t>
      </w:r>
      <w:r>
        <w:rPr>
          <w:rFonts w:ascii="Arial" w:cs="Arial" w:eastAsia="Arial" w:hAnsi="Arial"/>
          <w:sz w:val="18"/>
          <w:szCs w:val="18"/>
          <w:color w:val="auto"/>
        </w:rPr>
        <w:t>.</w:t>
      </w:r>
    </w:p>
    <w:p>
      <w:pPr>
        <w:spacing w:after="0" w:line="98"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Furthermore, nothing in this Agreement will be construed as:</w:t>
      </w:r>
    </w:p>
    <w:p>
      <w:pPr>
        <w:spacing w:after="0" w:line="131" w:lineRule="exact"/>
        <w:rPr>
          <w:sz w:val="20"/>
          <w:szCs w:val="20"/>
          <w:color w:val="auto"/>
        </w:rPr>
      </w:pPr>
    </w:p>
    <w:p>
      <w:pPr>
        <w:ind w:left="1740" w:hanging="543"/>
        <w:spacing w:after="0"/>
        <w:tabs>
          <w:tab w:leader="none" w:pos="17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representation or warranty by Licensor as to the validity or scope of any Licensor Patent Right;</w:t>
      </w:r>
    </w:p>
    <w:p>
      <w:pPr>
        <w:spacing w:after="0" w:line="130" w:lineRule="exact"/>
        <w:rPr>
          <w:rFonts w:ascii="Arial" w:cs="Arial" w:eastAsia="Arial" w:hAnsi="Arial"/>
          <w:sz w:val="18"/>
          <w:szCs w:val="18"/>
          <w:color w:val="auto"/>
        </w:rPr>
      </w:pPr>
    </w:p>
    <w:p>
      <w:pPr>
        <w:jc w:val="both"/>
        <w:ind w:left="1740" w:right="180" w:hanging="543"/>
        <w:spacing w:after="0" w:line="263" w:lineRule="auto"/>
        <w:tabs>
          <w:tab w:leader="none" w:pos="17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representation or warranty that anything made, used, sold or otherwise disposed of under the License is or will be free from infringement of patents, copyrights, trademarks or any other forms of intellectual property rights or tangible property rights of Third Parties;</w:t>
      </w:r>
    </w:p>
    <w:p>
      <w:pPr>
        <w:spacing w:after="0" w:line="89" w:lineRule="exact"/>
        <w:rPr>
          <w:rFonts w:ascii="Arial" w:cs="Arial" w:eastAsia="Arial" w:hAnsi="Arial"/>
          <w:sz w:val="18"/>
          <w:szCs w:val="18"/>
          <w:color w:val="auto"/>
        </w:rPr>
      </w:pPr>
    </w:p>
    <w:p>
      <w:pPr>
        <w:ind w:left="1740" w:right="160" w:hanging="543"/>
        <w:spacing w:after="0" w:line="277" w:lineRule="auto"/>
        <w:tabs>
          <w:tab w:leader="none" w:pos="17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Conferring by implication, estoppel or otherwise any license or rights under any Patent Rights of Licensor other than Licensor Patent Rights as defined herein.</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b w:val="1"/>
          <w:bCs w:val="1"/>
          <w:color w:val="auto"/>
        </w:rPr>
        <w:t>Covenants of Licensee</w:t>
      </w:r>
      <w:r>
        <w:rPr>
          <w:rFonts w:ascii="Arial" w:cs="Arial" w:eastAsia="Arial" w:hAnsi="Arial"/>
          <w:sz w:val="15"/>
          <w:szCs w:val="15"/>
          <w:color w:val="auto"/>
        </w:rPr>
        <w:t>.</w:t>
      </w:r>
    </w:p>
    <w:p>
      <w:pPr>
        <w:spacing w:after="0" w:line="135" w:lineRule="exact"/>
        <w:rPr>
          <w:sz w:val="20"/>
          <w:szCs w:val="20"/>
          <w:color w:val="auto"/>
        </w:rPr>
      </w:pPr>
    </w:p>
    <w:p>
      <w:pPr>
        <w:ind w:left="1180" w:right="40" w:hanging="647"/>
        <w:spacing w:after="0" w:line="272" w:lineRule="auto"/>
        <w:tabs>
          <w:tab w:leader="none" w:pos="116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7"/>
          <w:szCs w:val="17"/>
          <w:color w:val="auto"/>
        </w:rPr>
        <w:t>Licensee and its Affiliates shall not and shall require its Sublicensees to not, directly or indirectly (including where such is done by a Third Party on behalf of Licensee, its Affiliates or Sublicensees, at the urging of Licensee or its Affiliates or Sublicensees or with the assistance of the Licensee or its Affiliates or Sublicensees) challenge in a legal proceeding the validity, scope, or enforceability of or otherwise oppose any claim within the Licensor Patent Rights, provided that if any Licensor Patent Right is asserted or threatened to be asserted against Licensee or its Affiliate or Sublicensee then such Licensee or its Affiliates or Sublicensee is entitled to all and any defenses available to it including challenging the validity, scope or enforceability of or otherwise opposing such Patent Right. Notwithstanding the foregoing, Licensee shall not be in breach of this Section 6.4.1</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385" w:name="page386"/>
    <w:bookmarkEnd w:id="385"/>
    <w:p>
      <w:pPr>
        <w:ind w:left="1200" w:righ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Sublicensee initiates such a legal proceeding and within [***] following Licensee’s receipt of notice from Licensor of commencement of such legal proceeding such legal proceeding is withdrawn or Licensee terminates its sublicense with the party initiating such legal proceeding.</w:t>
      </w:r>
    </w:p>
    <w:p>
      <w:pPr>
        <w:spacing w:after="0" w:line="89" w:lineRule="exact"/>
        <w:rPr>
          <w:sz w:val="20"/>
          <w:szCs w:val="20"/>
          <w:color w:val="auto"/>
        </w:rPr>
      </w:pPr>
    </w:p>
    <w:p>
      <w:pPr>
        <w:jc w:val="both"/>
        <w:ind w:left="1180" w:hanging="647"/>
        <w:spacing w:after="0" w:line="279" w:lineRule="auto"/>
        <w:tabs>
          <w:tab w:leader="none" w:pos="116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7"/>
          <w:szCs w:val="17"/>
          <w:color w:val="auto"/>
        </w:rPr>
        <w:t>Licensee shall comply with all Laws that apply to its activities or obligations under this Agreement. For example, Licensee shall comply with applicable United States export laws and regulations. The transfer of certain technical data and commodities may require a license from the applicable agency of the United States government and/or written assurances by Licensee that Licensee shall not export data or commodities to certain foreign countries without prior approval of the agency.</w:t>
      </w:r>
    </w:p>
    <w:p>
      <w:pPr>
        <w:spacing w:after="0" w:line="77" w:lineRule="exact"/>
        <w:rPr>
          <w:sz w:val="20"/>
          <w:szCs w:val="20"/>
          <w:color w:val="auto"/>
        </w:rPr>
      </w:pPr>
    </w:p>
    <w:p>
      <w:pPr>
        <w:ind w:left="1180" w:right="160" w:hanging="647"/>
        <w:spacing w:after="0" w:line="277" w:lineRule="auto"/>
        <w:tabs>
          <w:tab w:leader="none" w:pos="116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18"/>
          <w:szCs w:val="18"/>
          <w:color w:val="auto"/>
        </w:rPr>
        <w:t>Licensee shall not grant a security interest in the License or this Agreement unless such security interest is granted together with all or substantially all of the business or assets of Licensee.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INSURANCE AND LIMITATION OF LIABILITY</w:t>
      </w:r>
    </w:p>
    <w:p>
      <w:pPr>
        <w:spacing w:after="0" w:line="11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13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Licensee shall indemnify Licensor and its respective trustees, officers, faculty, students, employees, contractors and agents (the</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Licensor Indemnitees</w:t>
      </w:r>
      <w:r>
        <w:rPr>
          <w:rFonts w:ascii="Arial" w:cs="Arial" w:eastAsia="Arial" w:hAnsi="Arial"/>
          <w:sz w:val="16"/>
          <w:szCs w:val="16"/>
          <w:color w:val="auto"/>
        </w:rPr>
        <w:t>”) from and against any and all liability, damage, loss, cost or expense (including reasonable attorneys’ fees),</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including, without limitation, bodily injury, risk of bodily injury, death and property damage to the extent arising out of Third Party</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claims or suits to the extent arising out of (a) the development, testing, use, manufacture, promotion, sale or other disposition of any</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Product (including any product liability claim) by or under the authority of Licensee or a Sublicensee, (b) any claim by a Third Party</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that the practice of Licensor Patent Rights by or under the authority of Licensee or the design, composition, manufacture, use, sale or</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other disposition of any Product by or under the authority of Licensee infringes or violates any patent, copyright, trade secret, trademark</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or other intellectual property right of such Third Party, (c) any breach of this Agreement or Laws by Licensee, its Affiliates or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Sublicensees, (d) the use or handling of the Licensor Materials by a Third Party that received the Licensor Material directly or indirectly</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from Licensee or a Sublicensee and (e) Licensee’s negligence or willful misconduct, provided that Licensee’s obligations pursuant to</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this Section 7.1.1 shall not apply to the extent such claims or suits result from the gross negligence or willful misconduct of any of</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Licensor Indemnitees or any breach of this Agreement by Licensor.</w:t>
      </w:r>
    </w:p>
    <w:p>
      <w:pPr>
        <w:spacing w:after="0" w:line="116" w:lineRule="exact"/>
        <w:rPr>
          <w:sz w:val="20"/>
          <w:szCs w:val="20"/>
          <w:color w:val="auto"/>
        </w:rPr>
      </w:pPr>
    </w:p>
    <w:p>
      <w:pPr>
        <w:ind w:left="1180" w:right="20" w:hanging="647"/>
        <w:spacing w:after="0" w:line="271" w:lineRule="auto"/>
        <w:tabs>
          <w:tab w:leader="none" w:pos="116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To be eligible for indemnification pursuant to Section 7.1.1 above, Licensor shall provide to Licensee with prompt written notice of any claim or suit for which it seeks indemnification under this Agreement and Licensee shall have the right to defend against and settle any such claim or suit itself, including by selecting its own counsel, with any reasonable attorneys’ fees and litigation expenses being paid for by Licensee; provided however that Licensee shall not settle or consent to the entry of any judgment with respect to such claims that does not release the Licensor Indemnitee from all liability with respect to such claim without the consent of the Licensor Indemnitee. Licensor Indemnitees shall cooperate with the Licensee in such defense and shall permit the Licensee to conduct and control such defense and the disposition of such claim or suit (including all decisions relative to litigation, appeal, and settlement); provided, however, that any Licensor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86" w:name="page387"/>
    <w:bookmarkEnd w:id="386"/>
    <w:p>
      <w:pPr>
        <w:jc w:val="both"/>
        <w:ind w:left="1200"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shall have the right to retain its own counsel, at its own cost and expense. Licensee agrees to keep the applicable Licensor Indemnitees informed of the progress in the defense and disposition of such claim or suit and to consult with the applicable Licensor Indemnitees.</w:t>
      </w:r>
    </w:p>
    <w:p>
      <w:pPr>
        <w:spacing w:after="0" w:line="89" w:lineRule="exact"/>
        <w:rPr>
          <w:sz w:val="20"/>
          <w:szCs w:val="20"/>
          <w:color w:val="auto"/>
        </w:rPr>
      </w:pPr>
    </w:p>
    <w:p>
      <w:pPr>
        <w:ind w:left="1180" w:right="120" w:hanging="647"/>
        <w:spacing w:after="0" w:line="275" w:lineRule="auto"/>
        <w:tabs>
          <w:tab w:leader="none" w:pos="116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7"/>
          <w:szCs w:val="17"/>
          <w:color w:val="auto"/>
        </w:rPr>
        <w:t>The obligations to indemnify and hold harmless under Section 7.1.1 are subject: (a) to the extent authorized by the Texas Constitution and the laws of the State of Texas and subject to the statutory duties of the Texas Attorney General, the Licensor Indemnitee giving Licensee control of the defense and settlement of the claim and demand; and (b) to the extent authorized by the Texas Constitution and the laws of the State of Texas and subject to statutory duties of the Texas Attorney General, the Licensor Indemnitee providing the assistance reasonably requested by Licensee, at Licensee’s expense.</w:t>
      </w:r>
    </w:p>
    <w:p>
      <w:pPr>
        <w:spacing w:after="0" w:line="78"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 Licensee shall maintain insurance during the Term, at its sole cost and expense, of the types and in amounts which are reasonable and</w:t>
      </w:r>
    </w:p>
    <w:p>
      <w:pPr>
        <w:spacing w:after="0" w:line="27"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customary in the U.S. Biotechnology industry for companies of comparable size and activities obtained from a reputable insurer to protect against potential liabilities and risk arising out of the activities to be performed under this Agreement and upon such terms (including coverages and deductible limits) as are customary in the U.S. Biotechnology industry generally for that activities to be conducted by Licensee under this Agreement. Prior to a first commercial sale of a Product, Licensee shall establish and maintain, for each country in which a Product is tested in humans or sold, product liability or other appropriate insurance coverage appropriate to the risks involved in marketing such Products. Upon reasonable written request from Licensor, Licensee shall provide written evidence (e.g., certificates) of such insurance to Licensor.</w:t>
      </w:r>
    </w:p>
    <w:p>
      <w:pPr>
        <w:spacing w:after="0" w:line="65" w:lineRule="exact"/>
        <w:rPr>
          <w:sz w:val="20"/>
          <w:szCs w:val="20"/>
          <w:color w:val="auto"/>
        </w:rPr>
      </w:pPr>
    </w:p>
    <w:p>
      <w:pPr>
        <w:ind w:left="540" w:hanging="539"/>
        <w:spacing w:after="0" w:line="256"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color w:val="auto"/>
        </w:rPr>
        <w:t>LIMITATION OF LIABILITY</w:t>
      </w:r>
      <w:r>
        <w:rPr>
          <w:rFonts w:ascii="Arial" w:cs="Arial" w:eastAsia="Arial" w:hAnsi="Arial"/>
          <w:sz w:val="18"/>
          <w:szCs w:val="18"/>
          <w:color w:val="auto"/>
        </w:rPr>
        <w:t>. EXCEPT FOR DAMAGES ARISING FROM A BREACH OF SECTION 5.5,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THE LAWS AND CONSTITUTION OF THE STATE OF TEXAS, IN NO EVENT SHALL EITHER PARTY OR ANY OF ITS AFFILIATES BE LIABLE TO THE OTHER PARTY OR ANY OF ITS AFFILIATES FOR SPECIAL, INDIRECT, INCIDENTAL, CONSEQUENTIAL OR PUNITIVE DAMAGES, WHETHER IN CONTRACT, WARRANTY, TORT, NEGLIGENCE, STRICT LIABILITY OR OTHERWISE ARISING OUT OF OR RELATING TO THIS AGREEMENT, THE TRANSACTIONS CONTEMPLATED HEREIN OR ANY BREACH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AND TERMINATION</w:t>
      </w:r>
    </w:p>
    <w:p>
      <w:pPr>
        <w:spacing w:after="0" w:line="234"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Effective Date and, unless terminated sooner as provided below,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the expiration or abandonment of the last Licensor Patent Right.</w:t>
      </w:r>
    </w:p>
    <w:p>
      <w:pPr>
        <w:spacing w:after="0" w:line="67"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color w:val="auto"/>
        </w:rPr>
        <w:t>Termination of the Agreement for Convenience</w:t>
      </w:r>
      <w:r>
        <w:rPr>
          <w:rFonts w:ascii="Arial" w:cs="Arial" w:eastAsia="Arial" w:hAnsi="Arial"/>
          <w:sz w:val="18"/>
          <w:szCs w:val="18"/>
          <w:color w:val="auto"/>
        </w:rPr>
        <w:t>. At any time during the Term, Licensee may, at its convenience, terminate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upon providing at least [***] prior written notice to Licensor of such intention to terminate.</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Termination For Cause</w:t>
      </w:r>
      <w:r>
        <w:rPr>
          <w:rFonts w:ascii="Arial" w:cs="Arial" w:eastAsia="Arial" w:hAnsi="Arial"/>
          <w:sz w:val="16"/>
          <w:szCs w:val="16"/>
          <w:color w:val="auto"/>
        </w:rPr>
        <w:t>.</w:t>
      </w:r>
    </w:p>
    <w:p>
      <w:pPr>
        <w:spacing w:after="0" w:line="135" w:lineRule="exact"/>
        <w:rPr>
          <w:sz w:val="20"/>
          <w:szCs w:val="20"/>
          <w:color w:val="auto"/>
        </w:rPr>
      </w:pPr>
    </w:p>
    <w:p>
      <w:pPr>
        <w:ind w:left="1180" w:right="340" w:hanging="647"/>
        <w:spacing w:after="0" w:line="263" w:lineRule="auto"/>
        <w:tabs>
          <w:tab w:leader="none" w:pos="116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8"/>
          <w:szCs w:val="18"/>
          <w:color w:val="auto"/>
        </w:rPr>
        <w:t>If Licensee materially fails to fulfill its obligations in accordance with Section 3.1 or 3.2, Licensor may provide written notice to Licensee of such failure. If Licensee fails to address such failure to the reasonable satisfaction of Licensor within [***] of receiving such written notice, Licensor may terminate this Agreement upon written notice to Licensee.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87" w:name="page388"/>
    <w:bookmarkEnd w:id="387"/>
    <w:p>
      <w:pPr>
        <w:ind w:left="1180" w:right="220" w:hanging="647"/>
        <w:spacing w:after="0" w:line="259"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8.3.2</w:t>
      </w:r>
      <w:r>
        <w:rPr>
          <w:sz w:val="20"/>
          <w:szCs w:val="20"/>
          <w:color w:val="auto"/>
        </w:rPr>
        <w:tab/>
      </w:r>
      <w:r>
        <w:rPr>
          <w:rFonts w:ascii="Arial" w:cs="Arial" w:eastAsia="Arial" w:hAnsi="Arial"/>
          <w:sz w:val="18"/>
          <w:szCs w:val="18"/>
          <w:color w:val="auto"/>
        </w:rPr>
        <w:t>If either Party materially breaches this Agreement, the non-breaching Party may give written notice to the breaching Party specifying the nature of the default, requiring it to cure such breach, and stating its intention to terminate this Agreement. If such breach is not cured within [***] of such notice, such termination shall become effective upon a notice of termination by the non-breaching Party thereafter.</w:t>
      </w:r>
    </w:p>
    <w:p>
      <w:pPr>
        <w:spacing w:after="0" w:line="92" w:lineRule="exact"/>
        <w:rPr>
          <w:sz w:val="20"/>
          <w:szCs w:val="20"/>
          <w:color w:val="auto"/>
        </w:rPr>
      </w:pPr>
    </w:p>
    <w:p>
      <w:pPr>
        <w:ind w:left="1180" w:hanging="647"/>
        <w:spacing w:after="0" w:line="268" w:lineRule="auto"/>
        <w:tabs>
          <w:tab w:leader="none" w:pos="116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17"/>
          <w:szCs w:val="17"/>
          <w:color w:val="auto"/>
        </w:rPr>
        <w:t>Licensor shall have the right to terminate this Agreement upon written notice to Licensee effective upon receipt, if Licensee or any of its Affiliates or Sublicensees in violation of Section 6.4.1, directly or indirectly, unsuccessfully challenges the validity of any Licensor Patent Right. If, upon such a challenge, at least one claim of the Licensor Patent Right, which is subject to the challenge, survives the challenge by not being found invalid or unenforceable, regardless of whether the claim is amended as part of the challenge and regardless of whether Licensor terminates this Agreement, such challenge shall be deemed unsuccessful and Licensee shall pay [***] of Licensor’s [***] attorneys’ fees and costs incurred in connection with the challenge, including expenses associated with any subsequent appeals. Licensee shall continue to pay all royalties and other payments due to Licensor during the pendency of any challenge and any appeals therefrom until a final non-appealable judgment is rendered with respect to such challenge. In the event a challenge brought by Licensee is successful, Licensor will refund the Royalties paid by Licensee during the pendency of the challenge (i.e., beginning on the date Licensee files such suit or joins such challenge and ending on the date of a final non-appealable judgment with respect thereto). This Section 8.3.3 shall not apply with respect to any challenge brought by a Sublicensee to the extent Licensee terminates the applicable sublicense within the time specified in Section 6.4.1 or to any challenge withdrawn within [***] of Licensor’s request to so withdraw such challenge.</w:t>
      </w:r>
    </w:p>
    <w:p>
      <w:pPr>
        <w:spacing w:after="0" w:line="92" w:lineRule="exact"/>
        <w:rPr>
          <w:sz w:val="20"/>
          <w:szCs w:val="20"/>
          <w:color w:val="auto"/>
        </w:rPr>
      </w:pPr>
    </w:p>
    <w:p>
      <w:pPr>
        <w:ind w:left="1180" w:right="20" w:hanging="647"/>
        <w:spacing w:after="0" w:line="272" w:lineRule="auto"/>
        <w:tabs>
          <w:tab w:leader="none" w:pos="1160" w:val="left"/>
        </w:tabs>
        <w:rPr>
          <w:sz w:val="20"/>
          <w:szCs w:val="20"/>
          <w:color w:val="auto"/>
        </w:rPr>
      </w:pPr>
      <w:r>
        <w:rPr>
          <w:rFonts w:ascii="Arial" w:cs="Arial" w:eastAsia="Arial" w:hAnsi="Arial"/>
          <w:sz w:val="18"/>
          <w:szCs w:val="18"/>
          <w:color w:val="auto"/>
        </w:rPr>
        <w:t>8.3.4</w:t>
      </w:r>
      <w:r>
        <w:rPr>
          <w:sz w:val="20"/>
          <w:szCs w:val="20"/>
          <w:color w:val="auto"/>
        </w:rPr>
        <w:tab/>
      </w:r>
      <w:r>
        <w:rPr>
          <w:rFonts w:ascii="Arial" w:cs="Arial" w:eastAsia="Arial" w:hAnsi="Arial"/>
          <w:sz w:val="17"/>
          <w:szCs w:val="17"/>
          <w:color w:val="auto"/>
        </w:rPr>
        <w:t>Licensor may terminate this Agreement, upon written notice, with immediate effect if, at any time, Licensee files in any court or agency pursuant to any statute or regulation of any state, country or jurisdiction, a petition in bankruptcy or insolvency or for reorganization or for an arrangement or for the appointment of a receiver or trustee of Licensee or of its assets, or if Licensee proposes a written agreement of composition or extension of its debts, or if Licensee is served with an involuntary petition against it, filed in any insolvency proceeding, and such petition or filing is not dismissed or withdrawn within [***] after the filing thereof, or if Licensee proposes or is a party to any dissolution or liquidation, or if Licensee makes an assignment for the benefit of its creditors of all or substantially all its assets (in each case, “</w:t>
      </w:r>
      <w:r>
        <w:rPr>
          <w:rFonts w:ascii="Arial" w:cs="Arial" w:eastAsia="Arial" w:hAnsi="Arial"/>
          <w:sz w:val="17"/>
          <w:szCs w:val="17"/>
          <w:b w:val="1"/>
          <w:bCs w:val="1"/>
          <w:color w:val="auto"/>
        </w:rPr>
        <w:t>Bankruptcy Action</w:t>
      </w:r>
      <w:r>
        <w:rPr>
          <w:rFonts w:ascii="Arial" w:cs="Arial" w:eastAsia="Arial" w:hAnsi="Arial"/>
          <w:sz w:val="17"/>
          <w:szCs w:val="17"/>
          <w:color w:val="auto"/>
        </w:rPr>
        <w:t>”).</w:t>
      </w:r>
    </w:p>
    <w:p>
      <w:pPr>
        <w:spacing w:after="0" w:line="79" w:lineRule="exact"/>
        <w:rPr>
          <w:sz w:val="20"/>
          <w:szCs w:val="20"/>
          <w:color w:val="auto"/>
        </w:rPr>
      </w:pPr>
    </w:p>
    <w:p>
      <w:pPr>
        <w:ind w:left="540" w:right="40" w:hanging="539"/>
        <w:spacing w:after="0" w:line="287" w:lineRule="auto"/>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Cure Plan and Disputed Breach</w:t>
      </w:r>
      <w:r>
        <w:rPr>
          <w:rFonts w:ascii="Arial" w:cs="Arial" w:eastAsia="Arial" w:hAnsi="Arial"/>
          <w:sz w:val="16"/>
          <w:szCs w:val="16"/>
          <w:color w:val="auto"/>
        </w:rPr>
        <w:t>. Notwithstanding Sections 8.3.1 and 8.3.2: (a) if such breach alleged by Licensor pursuant to Sections 8.3.1 or</w:t>
      </w:r>
      <w:r>
        <w:rPr>
          <w:rFonts w:ascii="Arial" w:cs="Arial" w:eastAsia="Arial" w:hAnsi="Arial"/>
          <w:sz w:val="16"/>
          <w:szCs w:val="16"/>
          <w:b w:val="1"/>
          <w:bCs w:val="1"/>
          <w:color w:val="auto"/>
        </w:rPr>
        <w:t xml:space="preserve"> </w:t>
      </w:r>
      <w:r>
        <w:rPr>
          <w:rFonts w:ascii="Arial" w:cs="Arial" w:eastAsia="Arial" w:hAnsi="Arial"/>
          <w:sz w:val="16"/>
          <w:szCs w:val="16"/>
          <w:color w:val="auto"/>
        </w:rPr>
        <w:t>8.3.2 is not capable of cure within such [***] or [***] period, as applicable, Licensee may submit, within [***] of receipt of such notice, a reasonable cure plan to remedy such failure as soon as possible, and, upon such submission, the [***] or [***] cure period, as applicable, shall be automatically extended for so long as Licensee continues to use [***] efforts to cure such breach in accordance with the cure plan, [***] and</w:t>
      </w:r>
    </w:p>
    <w:p>
      <w:pPr>
        <w:spacing w:after="0" w:line="2" w:lineRule="exact"/>
        <w:rPr>
          <w:sz w:val="20"/>
          <w:szCs w:val="20"/>
          <w:color w:val="auto"/>
        </w:rPr>
      </w:pPr>
    </w:p>
    <w:p>
      <w:pPr>
        <w:ind w:left="540" w:right="320" w:hanging="4"/>
        <w:spacing w:after="0" w:line="290" w:lineRule="auto"/>
        <w:tabs>
          <w:tab w:leader="none" w:pos="79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in the event Licensee disputes a breach alleged by Licensor pursuant to Sections 8.3.1 and 8.3.2 by written notice to Licensor within such [***] or [***] period (the “</w:t>
      </w:r>
      <w:r>
        <w:rPr>
          <w:rFonts w:ascii="Arial" w:cs="Arial" w:eastAsia="Arial" w:hAnsi="Arial"/>
          <w:sz w:val="17"/>
          <w:szCs w:val="17"/>
          <w:b w:val="1"/>
          <w:bCs w:val="1"/>
          <w:color w:val="auto"/>
        </w:rPr>
        <w:t>Dispute Notice</w:t>
      </w:r>
      <w:r>
        <w:rPr>
          <w:rFonts w:ascii="Arial" w:cs="Arial" w:eastAsia="Arial" w:hAnsi="Arial"/>
          <w:sz w:val="17"/>
          <w:szCs w:val="17"/>
          <w:color w:val="auto"/>
        </w:rPr>
        <w:t>”), as applicable, [***]; provided that, such [***] and the Parties shall [***].</w:t>
      </w:r>
    </w:p>
    <w:p>
      <w:pPr>
        <w:spacing w:after="0" w:line="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Effects of Termination</w:t>
      </w:r>
      <w:r>
        <w:rPr>
          <w:rFonts w:ascii="Arial" w:cs="Arial" w:eastAsia="Arial" w:hAnsi="Arial"/>
          <w:sz w:val="16"/>
          <w:szCs w:val="16"/>
          <w:color w:val="auto"/>
        </w:rPr>
        <w:t>.</w:t>
      </w:r>
    </w:p>
    <w:p>
      <w:pPr>
        <w:spacing w:after="0" w:line="13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8.5.1</w:t>
      </w:r>
      <w:r>
        <w:rPr>
          <w:sz w:val="20"/>
          <w:szCs w:val="20"/>
          <w:color w:val="auto"/>
        </w:rPr>
        <w:tab/>
      </w:r>
      <w:r>
        <w:rPr>
          <w:rFonts w:ascii="Arial" w:cs="Arial" w:eastAsia="Arial" w:hAnsi="Arial"/>
          <w:sz w:val="16"/>
          <w:szCs w:val="16"/>
          <w:color w:val="auto"/>
        </w:rPr>
        <w:t>Upon termination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88" w:name="page389"/>
    <w:bookmarkEnd w:id="388"/>
    <w:p>
      <w:pPr>
        <w:ind w:left="1740" w:hanging="543"/>
        <w:spacing w:after="0"/>
        <w:tabs>
          <w:tab w:leader="none" w:pos="17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Section 8.5.2, all rights and licenses granted by Licensor hereunder shall immediately terminate;</w:t>
      </w:r>
    </w:p>
    <w:p>
      <w:pPr>
        <w:spacing w:after="0" w:line="130" w:lineRule="exact"/>
        <w:rPr>
          <w:rFonts w:ascii="Arial" w:cs="Arial" w:eastAsia="Arial" w:hAnsi="Arial"/>
          <w:sz w:val="18"/>
          <w:szCs w:val="18"/>
          <w:color w:val="auto"/>
        </w:rPr>
      </w:pPr>
    </w:p>
    <w:p>
      <w:pPr>
        <w:ind w:left="1740" w:right="400" w:hanging="543"/>
        <w:spacing w:after="0" w:line="277" w:lineRule="auto"/>
        <w:tabs>
          <w:tab w:leader="none" w:pos="17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Party shall return or destroy all Confidential Information of the other Party disclosed to it pursuant to this Agreement, including all copies and extracts of documents;</w:t>
      </w:r>
    </w:p>
    <w:p>
      <w:pPr>
        <w:spacing w:after="0" w:line="75" w:lineRule="exact"/>
        <w:rPr>
          <w:rFonts w:ascii="Arial" w:cs="Arial" w:eastAsia="Arial" w:hAnsi="Arial"/>
          <w:sz w:val="18"/>
          <w:szCs w:val="18"/>
          <w:color w:val="auto"/>
        </w:rPr>
      </w:pPr>
    </w:p>
    <w:p>
      <w:pPr>
        <w:ind w:left="1740" w:hanging="543"/>
        <w:spacing w:after="0" w:line="263" w:lineRule="auto"/>
        <w:tabs>
          <w:tab w:leader="none" w:pos="17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such termination is by Licensor pursuant to Section 8.3.1, Licensee’s obligation to pay Royalties pursuant to Section 4.3 for Products for which the Royalty Period is ongoing in a country at the time of such termination shall survive for such country until the expiration of such Royalty Period for such country; and</w:t>
      </w:r>
    </w:p>
    <w:p>
      <w:pPr>
        <w:spacing w:after="0" w:line="89" w:lineRule="exact"/>
        <w:rPr>
          <w:rFonts w:ascii="Arial" w:cs="Arial" w:eastAsia="Arial" w:hAnsi="Arial"/>
          <w:sz w:val="18"/>
          <w:szCs w:val="18"/>
          <w:color w:val="auto"/>
        </w:rPr>
      </w:pPr>
    </w:p>
    <w:p>
      <w:pPr>
        <w:ind w:left="1740" w:right="180" w:hanging="543"/>
        <w:spacing w:after="0" w:line="257" w:lineRule="auto"/>
        <w:tabs>
          <w:tab w:leader="none" w:pos="17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Licensee and its Affiliates and Sublicensees shall be entitled to complete the manufacture of any in-process inventory and, following completion to sell any such inventory and any completed inventory of Products which remain on hand as of the date of the effective date of termination for a period of [***], so long as Licensee pays to Licensor the Commercial Milestone Payments and Royalties applicable to such subsequent sales in accordance with the terms and conditions as set forth in this Agreement.</w:t>
      </w:r>
    </w:p>
    <w:p>
      <w:pPr>
        <w:spacing w:after="0" w:line="93" w:lineRule="exact"/>
        <w:rPr>
          <w:rFonts w:ascii="Arial" w:cs="Arial" w:eastAsia="Arial" w:hAnsi="Arial"/>
          <w:sz w:val="18"/>
          <w:szCs w:val="18"/>
          <w:color w:val="auto"/>
        </w:rPr>
      </w:pPr>
    </w:p>
    <w:p>
      <w:pPr>
        <w:ind w:left="1740" w:right="420" w:hanging="543"/>
        <w:spacing w:after="0" w:line="277" w:lineRule="auto"/>
        <w:tabs>
          <w:tab w:leader="none" w:pos="17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Licensee shall prepare and submit a final Financial Report and any royalty payments and unreimbursed Patent Costs due to Licensor shall become immediately payable to Licensor.</w:t>
      </w:r>
    </w:p>
    <w:p>
      <w:pPr>
        <w:spacing w:after="0" w:line="76" w:lineRule="exact"/>
        <w:rPr>
          <w:sz w:val="20"/>
          <w:szCs w:val="20"/>
          <w:color w:val="auto"/>
        </w:rPr>
      </w:pPr>
    </w:p>
    <w:p>
      <w:pPr>
        <w:ind w:left="1180" w:right="20" w:hanging="647"/>
        <w:spacing w:after="0" w:line="255" w:lineRule="auto"/>
        <w:tabs>
          <w:tab w:leader="none" w:pos="1160" w:val="left"/>
        </w:tabs>
        <w:rPr>
          <w:sz w:val="20"/>
          <w:szCs w:val="20"/>
          <w:color w:val="auto"/>
        </w:rPr>
      </w:pPr>
      <w:r>
        <w:rPr>
          <w:rFonts w:ascii="Arial" w:cs="Arial" w:eastAsia="Arial" w:hAnsi="Arial"/>
          <w:sz w:val="18"/>
          <w:szCs w:val="18"/>
          <w:color w:val="auto"/>
        </w:rPr>
        <w:t>8.5.2</w:t>
      </w:r>
      <w:r>
        <w:rPr>
          <w:sz w:val="20"/>
          <w:szCs w:val="20"/>
          <w:color w:val="auto"/>
        </w:rPr>
        <w:tab/>
      </w:r>
      <w:r>
        <w:rPr>
          <w:rFonts w:ascii="Arial" w:cs="Arial" w:eastAsia="Arial" w:hAnsi="Arial"/>
          <w:sz w:val="18"/>
          <w:szCs w:val="18"/>
          <w:color w:val="auto"/>
        </w:rPr>
        <w:t>Upon any termination of this Agreement by Licensor for any reason, any Sublicense validly granted by Licensee and not in default in its obligations to Licensor shall survive, provided that upon request by Licensor, such Sublicensee promptly agrees in writing to be bound by the applicable terms of this Agreement with respect to the activities of the Sublicensee under such Sublicense, provided the duties and obligations of Licensor under such agreement will not be greater than the duties of Licensor under this Agreement, and the rights of Licensor under any such agreement will not be less than the rights of Licensor under this Agreement, including all financial consideration and other rights of Licensor.</w:t>
      </w:r>
    </w:p>
    <w:p>
      <w:pPr>
        <w:spacing w:after="0" w:line="98" w:lineRule="exact"/>
        <w:rPr>
          <w:sz w:val="20"/>
          <w:szCs w:val="20"/>
          <w:color w:val="auto"/>
        </w:rPr>
      </w:pPr>
    </w:p>
    <w:p>
      <w:pPr>
        <w:ind w:left="1180" w:right="100" w:hanging="647"/>
        <w:spacing w:after="0" w:line="263" w:lineRule="auto"/>
        <w:tabs>
          <w:tab w:leader="none" w:pos="1160" w:val="left"/>
        </w:tabs>
        <w:rPr>
          <w:sz w:val="20"/>
          <w:szCs w:val="20"/>
          <w:color w:val="auto"/>
        </w:rPr>
      </w:pPr>
      <w:r>
        <w:rPr>
          <w:rFonts w:ascii="Arial" w:cs="Arial" w:eastAsia="Arial" w:hAnsi="Arial"/>
          <w:sz w:val="18"/>
          <w:szCs w:val="18"/>
          <w:color w:val="auto"/>
        </w:rPr>
        <w:t>8.5.3</w:t>
      </w:r>
      <w:r>
        <w:rPr>
          <w:sz w:val="20"/>
          <w:szCs w:val="20"/>
          <w:color w:val="auto"/>
        </w:rPr>
        <w:tab/>
      </w:r>
      <w:r>
        <w:rPr>
          <w:rFonts w:ascii="Arial" w:cs="Arial" w:eastAsia="Arial" w:hAnsi="Arial"/>
          <w:sz w:val="18"/>
          <w:szCs w:val="18"/>
          <w:color w:val="auto"/>
        </w:rPr>
        <w:t>Notwithstanding the expiration or termination of this Agreement, the following provisions shall survive: Sections 4.10, 4.11, 5.5, 6.4.2, 7.1, 7.3 and 8.5 and Article 1 and Article 9. Except as set forth in this Article 8, upon the expiration or termination of this Agreement, all rights and obligations of the Parties under this Agreement shall terminate.</w:t>
      </w:r>
    </w:p>
    <w:p>
      <w:pPr>
        <w:spacing w:after="0" w:line="89" w:lineRule="exact"/>
        <w:rPr>
          <w:sz w:val="20"/>
          <w:szCs w:val="20"/>
          <w:color w:val="auto"/>
        </w:rPr>
      </w:pPr>
    </w:p>
    <w:p>
      <w:pPr>
        <w:jc w:val="both"/>
        <w:ind w:left="1180" w:right="260" w:hanging="647"/>
        <w:spacing w:after="0" w:line="279" w:lineRule="auto"/>
        <w:tabs>
          <w:tab w:leader="none" w:pos="1160" w:val="left"/>
        </w:tabs>
        <w:rPr>
          <w:sz w:val="20"/>
          <w:szCs w:val="20"/>
          <w:color w:val="auto"/>
        </w:rPr>
      </w:pPr>
      <w:r>
        <w:rPr>
          <w:rFonts w:ascii="Arial" w:cs="Arial" w:eastAsia="Arial" w:hAnsi="Arial"/>
          <w:sz w:val="18"/>
          <w:szCs w:val="18"/>
          <w:color w:val="auto"/>
        </w:rPr>
        <w:t>8.5.4</w:t>
      </w:r>
      <w:r>
        <w:rPr>
          <w:sz w:val="20"/>
          <w:szCs w:val="20"/>
          <w:color w:val="auto"/>
        </w:rPr>
        <w:tab/>
      </w:r>
      <w:r>
        <w:rPr>
          <w:rFonts w:ascii="Arial" w:cs="Arial" w:eastAsia="Arial" w:hAnsi="Arial"/>
          <w:sz w:val="17"/>
          <w:szCs w:val="17"/>
          <w:color w:val="auto"/>
        </w:rPr>
        <w:t>Termination of this Agreement shall not relieve the Parties of any obligation or liability that, at the time of termination, has already accrued hereunder, or which is attributable to a period prior to the effective date of such termination. Termination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ADDITIONAL PROVISIONS</w:t>
      </w:r>
    </w:p>
    <w:p>
      <w:pPr>
        <w:spacing w:after="0" w:line="112" w:lineRule="exact"/>
        <w:rPr>
          <w:sz w:val="20"/>
          <w:szCs w:val="20"/>
          <w:color w:val="auto"/>
        </w:rPr>
      </w:pPr>
    </w:p>
    <w:p>
      <w:pPr>
        <w:jc w:val="both"/>
        <w:ind w:left="540" w:right="60" w:hanging="539"/>
        <w:spacing w:after="0" w:line="289" w:lineRule="auto"/>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b w:val="1"/>
          <w:bCs w:val="1"/>
          <w:color w:val="auto"/>
        </w:rPr>
        <w:t>Relationship of the Parties</w:t>
      </w:r>
      <w:r>
        <w:rPr>
          <w:rFonts w:ascii="Arial" w:cs="Arial" w:eastAsia="Arial" w:hAnsi="Arial"/>
          <w:sz w:val="17"/>
          <w:szCs w:val="17"/>
          <w:color w:val="auto"/>
        </w:rPr>
        <w:t>. Nothing in this Agreement is intended or shall be deemed, for financial, tax, legal or other purposes, to constitute a</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agency, joint venture or employer-employee relationship between the Parties. The Parties are independent contractors and at no time will either Party make commitments or incur any charges or expenses for or on behalf of the other Party.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89" w:name="page390"/>
    <w:bookmarkEnd w:id="389"/>
    <w:p>
      <w:pPr>
        <w:ind w:left="540" w:right="12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w:t>
      </w:r>
      <w:r>
        <w:rPr>
          <w:sz w:val="20"/>
          <w:szCs w:val="20"/>
          <w:color w:val="auto"/>
        </w:rPr>
        <w:tab/>
      </w:r>
      <w:r>
        <w:rPr>
          <w:rFonts w:ascii="Arial" w:cs="Arial" w:eastAsia="Arial" w:hAnsi="Arial"/>
          <w:sz w:val="18"/>
          <w:szCs w:val="18"/>
          <w:b w:val="1"/>
          <w:bCs w:val="1"/>
          <w:color w:val="auto"/>
        </w:rPr>
        <w:t>Expenses</w:t>
      </w:r>
      <w:r>
        <w:rPr>
          <w:rFonts w:ascii="Arial" w:cs="Arial" w:eastAsia="Arial" w:hAnsi="Arial"/>
          <w:sz w:val="18"/>
          <w:szCs w:val="18"/>
          <w:color w:val="auto"/>
        </w:rPr>
        <w:t>. Except as otherwise provided in this Agreement, each Party shall pay its own expenses and costs incidental to the preparation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to the consummation of the transactions contemplated hereby.</w:t>
      </w:r>
    </w:p>
    <w:p>
      <w:pPr>
        <w:spacing w:after="0" w:line="67" w:lineRule="exact"/>
        <w:rPr>
          <w:sz w:val="20"/>
          <w:szCs w:val="20"/>
          <w:color w:val="auto"/>
        </w:rPr>
      </w:pPr>
    </w:p>
    <w:p>
      <w:pPr>
        <w:ind w:left="540" w:right="60" w:hanging="539"/>
        <w:spacing w:after="0" w:line="289" w:lineRule="auto"/>
        <w:tabs>
          <w:tab w:leader="none" w:pos="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Use of Names</w:t>
      </w:r>
      <w:r>
        <w:rPr>
          <w:rFonts w:ascii="Arial" w:cs="Arial" w:eastAsia="Arial" w:hAnsi="Arial"/>
          <w:sz w:val="16"/>
          <w:szCs w:val="16"/>
          <w:color w:val="auto"/>
        </w:rPr>
        <w:t>. Licensee, its Affiliates and Sublicensees may not use the name, logo, seal, trademark, or service mark (including any adaptation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of Licensor or any Licensor school, organization, employee, student or representative, without the prior written consent of Licensor. Notwithstanding the foregoing, Licensee may use the name of Licensor in a non-misleading and factual manner solely in (a) executive summaries, business plans, offering memoranda and other similar documents used by Licensee for the purpose of raising financing for the operations of Licensee as related to Product, or entering into commercial contracts with Third Parties, but in such case only to the extent necessary to inform a reader that the Licensor Patent Rights have been licensed by Licensee from Licensor, and (b) any securities reports required to be filed with the Securities and Exchange Commission. Notwithstanding anything to the contrary, each Party acknowledges and agrees that Licensee shall be permitted to issue a press release with respect to this Agreement; provided that Licensee shall obtain Licensor’s approval of the text of such press release prior to issuance thereof, such approval not to be unreasonably withheld or delayed. Thereafter, each Party may each disclose to Third Parties the information contained in such press release without the need for further approval by the other Party.</w:t>
      </w:r>
    </w:p>
    <w:p>
      <w:pPr>
        <w:spacing w:after="0" w:line="66"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b w:val="1"/>
          <w:bCs w:val="1"/>
          <w:color w:val="auto"/>
        </w:rPr>
        <w:t>No Discrimination</w:t>
      </w:r>
      <w:r>
        <w:rPr>
          <w:rFonts w:ascii="Arial" w:cs="Arial" w:eastAsia="Arial" w:hAnsi="Arial"/>
          <w:sz w:val="18"/>
          <w:szCs w:val="18"/>
          <w:color w:val="auto"/>
        </w:rPr>
        <w:t>. Each Party will have a policy prohibiting discrimination against any employee or applicant for employment because of race,</w:t>
      </w:r>
      <w:r>
        <w:rPr>
          <w:rFonts w:ascii="Arial" w:cs="Arial" w:eastAsia="Arial" w:hAnsi="Arial"/>
          <w:sz w:val="18"/>
          <w:szCs w:val="18"/>
          <w:b w:val="1"/>
          <w:bCs w:val="1"/>
          <w:color w:val="auto"/>
        </w:rPr>
        <w:t xml:space="preserve"> </w:t>
      </w:r>
      <w:r>
        <w:rPr>
          <w:rFonts w:ascii="Arial" w:cs="Arial" w:eastAsia="Arial" w:hAnsi="Arial"/>
          <w:sz w:val="18"/>
          <w:szCs w:val="18"/>
          <w:color w:val="auto"/>
        </w:rPr>
        <w:t>color, sex, age, religion, national or ethnic origin, handicap, or veteran status.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b w:val="1"/>
          <w:bCs w:val="1"/>
          <w:color w:val="auto"/>
        </w:rPr>
        <w:t>Successors and Assignment</w:t>
      </w:r>
      <w:r>
        <w:rPr>
          <w:rFonts w:ascii="Arial" w:cs="Arial" w:eastAsia="Arial" w:hAnsi="Arial"/>
          <w:sz w:val="15"/>
          <w:szCs w:val="15"/>
          <w:color w:val="auto"/>
        </w:rPr>
        <w:t>.</w:t>
      </w:r>
    </w:p>
    <w:p>
      <w:pPr>
        <w:spacing w:after="0" w:line="135" w:lineRule="exact"/>
        <w:rPr>
          <w:sz w:val="20"/>
          <w:szCs w:val="20"/>
          <w:color w:val="auto"/>
        </w:rPr>
      </w:pPr>
    </w:p>
    <w:p>
      <w:pPr>
        <w:ind w:left="1180" w:right="500" w:hanging="647"/>
        <w:spacing w:after="0" w:line="277" w:lineRule="auto"/>
        <w:tabs>
          <w:tab w:leader="none" w:pos="116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8"/>
          <w:szCs w:val="18"/>
          <w:color w:val="auto"/>
        </w:rPr>
        <w:t>The terms and provisions hereof shall inure to the benefit of, and be binding upon, the Parties and their respective successors and permitted assigns.</w:t>
      </w:r>
    </w:p>
    <w:p>
      <w:pPr>
        <w:spacing w:after="0" w:line="76" w:lineRule="exact"/>
        <w:rPr>
          <w:sz w:val="20"/>
          <w:szCs w:val="20"/>
          <w:color w:val="auto"/>
        </w:rPr>
      </w:pPr>
    </w:p>
    <w:p>
      <w:pPr>
        <w:ind w:left="1180" w:right="100" w:hanging="647"/>
        <w:spacing w:after="0" w:line="273" w:lineRule="auto"/>
        <w:tabs>
          <w:tab w:leader="none" w:pos="1160" w:val="left"/>
        </w:tabs>
        <w:rPr>
          <w:sz w:val="20"/>
          <w:szCs w:val="20"/>
          <w:color w:val="auto"/>
        </w:rPr>
      </w:pPr>
      <w:r>
        <w:rPr>
          <w:rFonts w:ascii="Arial" w:cs="Arial" w:eastAsia="Arial" w:hAnsi="Arial"/>
          <w:sz w:val="18"/>
          <w:szCs w:val="18"/>
          <w:color w:val="auto"/>
        </w:rPr>
        <w:t>9.5.2</w:t>
      </w:r>
      <w:r>
        <w:rPr>
          <w:sz w:val="20"/>
          <w:szCs w:val="20"/>
          <w:color w:val="auto"/>
        </w:rPr>
        <w:tab/>
      </w:r>
      <w:r>
        <w:rPr>
          <w:rFonts w:ascii="Arial" w:cs="Arial" w:eastAsia="Arial" w:hAnsi="Arial"/>
          <w:sz w:val="17"/>
          <w:szCs w:val="17"/>
          <w:color w:val="auto"/>
        </w:rPr>
        <w:t>Licensee may not assign or transfer this Agreement or any of Licensee’s rights or obligations created hereunder, by operation of law or otherwise, without the prior written consent of Licensor, provided that Licensor shall not unreasonably withhold, condition or delay its consent. Any assignment not in accordance with this Section 9.5 shall be null and void. Notwithstanding the foregoing, Licensee may assign this Agreement, in its entirety, without the consent of Licensor, to (a) its Affiliates, or (b) its successor in interest pursuant to a merger, consolidation, other business combination or in connection with a sale of all or substantially all of the assets of the business pertaining to the subject matter of this Agreement.</w:t>
      </w:r>
    </w:p>
    <w:p>
      <w:pPr>
        <w:spacing w:after="0" w:line="79" w:lineRule="exact"/>
        <w:rPr>
          <w:sz w:val="20"/>
          <w:szCs w:val="20"/>
          <w:color w:val="auto"/>
        </w:rPr>
      </w:pPr>
    </w:p>
    <w:p>
      <w:pPr>
        <w:ind w:left="540" w:right="560" w:hanging="539"/>
        <w:spacing w:after="0" w:line="282" w:lineRule="auto"/>
        <w:tabs>
          <w:tab w:leader="none" w:pos="5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b w:val="1"/>
          <w:bCs w:val="1"/>
          <w:color w:val="auto"/>
        </w:rPr>
        <w:t>Further Actions</w:t>
      </w:r>
      <w:r>
        <w:rPr>
          <w:rFonts w:ascii="Arial" w:cs="Arial" w:eastAsia="Arial" w:hAnsi="Arial"/>
          <w:sz w:val="18"/>
          <w:szCs w:val="18"/>
          <w:color w:val="auto"/>
        </w:rPr>
        <w:t>. 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this Agreement.</w:t>
      </w:r>
    </w:p>
    <w:p>
      <w:pPr>
        <w:spacing w:after="0" w:line="67" w:lineRule="exact"/>
        <w:rPr>
          <w:sz w:val="20"/>
          <w:szCs w:val="20"/>
          <w:color w:val="auto"/>
        </w:rPr>
      </w:pPr>
    </w:p>
    <w:p>
      <w:pPr>
        <w:ind w:left="540" w:right="180" w:hanging="539"/>
        <w:spacing w:after="0" w:line="258" w:lineRule="auto"/>
        <w:tabs>
          <w:tab w:leader="none" w:pos="5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b w:val="1"/>
          <w:bCs w:val="1"/>
          <w:color w:val="auto"/>
        </w:rPr>
        <w:t xml:space="preserve">Entire Agreement of the Parties; Amendments. </w:t>
      </w:r>
      <w:r>
        <w:rPr>
          <w:rFonts w:ascii="Arial" w:cs="Arial" w:eastAsia="Arial" w:hAnsi="Arial"/>
          <w:sz w:val="18"/>
          <w:szCs w:val="18"/>
          <w:color w:val="auto"/>
        </w:rPr>
        <w:t>This Agreement, the Appendices and Schedules hereto, constitute and contain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0" w:right="479" w:bottom="1440" w:gutter="0" w:footer="0" w:header="0"/>
        </w:sectPr>
      </w:pPr>
    </w:p>
    <w:bookmarkStart w:id="390" w:name="page391"/>
    <w:bookmarkEnd w:id="390"/>
    <w:p>
      <w:pPr>
        <w:ind w:left="540" w:right="160" w:hanging="539"/>
        <w:spacing w:after="0" w:line="31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9.8</w:t>
      </w:r>
      <w:r>
        <w:rPr>
          <w:sz w:val="20"/>
          <w:szCs w:val="20"/>
          <w:color w:val="auto"/>
        </w:rPr>
        <w:tab/>
      </w:r>
      <w:r>
        <w:rPr>
          <w:rFonts w:ascii="Arial" w:cs="Arial" w:eastAsia="Arial" w:hAnsi="Arial"/>
          <w:sz w:val="17"/>
          <w:szCs w:val="17"/>
          <w:b w:val="1"/>
          <w:bCs w:val="1"/>
          <w:color w:val="auto"/>
        </w:rPr>
        <w:t>Governing Law</w:t>
      </w:r>
      <w:r>
        <w:rPr>
          <w:rFonts w:ascii="Arial" w:cs="Arial" w:eastAsia="Arial" w:hAnsi="Arial"/>
          <w:sz w:val="17"/>
          <w:szCs w:val="17"/>
          <w:color w:val="auto"/>
        </w:rPr>
        <w:t>. This Agreement shall be governed by and interpreted in accordance with the laws of the state of Texas, excluding application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conflict of laws principles that would require application of the law of a jurisdiction outside of the state of Texas.</w:t>
      </w:r>
    </w:p>
    <w:p>
      <w:pPr>
        <w:spacing w:after="0" w:line="45" w:lineRule="exact"/>
        <w:rPr>
          <w:sz w:val="20"/>
          <w:szCs w:val="20"/>
          <w:color w:val="auto"/>
        </w:rPr>
      </w:pPr>
    </w:p>
    <w:p>
      <w:pPr>
        <w:ind w:left="540" w:hanging="539"/>
        <w:spacing w:after="0" w:line="291" w:lineRule="auto"/>
        <w:tabs>
          <w:tab w:leader="none" w:pos="5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b w:val="1"/>
          <w:bCs w:val="1"/>
          <w:color w:val="auto"/>
        </w:rPr>
        <w:t>State Agency Limitations</w:t>
      </w:r>
      <w:r>
        <w:rPr>
          <w:rFonts w:ascii="Arial" w:cs="Arial" w:eastAsia="Arial" w:hAnsi="Arial"/>
          <w:sz w:val="16"/>
          <w:szCs w:val="16"/>
          <w:color w:val="auto"/>
        </w:rPr>
        <w:t>. Licensor is an agency of the State of Texas and under the Constitution and the laws of the State of Texas possesses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rights and privileges, is subject to certain limitations and restrictions, and only has such authority as is granted to it under the Constitution and laws of the State of Texas. Notwithstanding any provision hereof, nothing in this Agreement is intended to be, nor will it be construed to be, a waiver of the sovereign immunity of the State of Texas or a prospective waiver or restriction of any of the rights, remedies, claims, and privileges of the State of Texas. Moreover, notwithstanding the generality or specificity of any provision hereof, the provisions of this Agreement as they pertain to Licensor are enforceable only to the extent authorized by the Constitution and laws of the State of Texas; accordingly, to the extent any provision hereof conflicts with the Constitution or laws of the State of Texas or exceeds the right, power or authority of Licensor to agree to such provision, then that provision will not be enforceable against Licensor or the State of Texas.</w:t>
      </w:r>
    </w:p>
    <w:p>
      <w:pPr>
        <w:spacing w:after="0" w:line="65" w:lineRule="exact"/>
        <w:rPr>
          <w:sz w:val="20"/>
          <w:szCs w:val="20"/>
          <w:color w:val="auto"/>
        </w:rPr>
      </w:pPr>
    </w:p>
    <w:p>
      <w:pPr>
        <w:ind w:left="540" w:right="40" w:hanging="539"/>
        <w:spacing w:after="0" w:line="314" w:lineRule="auto"/>
        <w:tabs>
          <w:tab w:leader="none" w:pos="52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b w:val="1"/>
          <w:bCs w:val="1"/>
          <w:color w:val="auto"/>
        </w:rPr>
        <w:t>Dispute Resolution</w:t>
      </w:r>
      <w:r>
        <w:rPr>
          <w:rFonts w:ascii="Arial" w:cs="Arial" w:eastAsia="Arial" w:hAnsi="Arial"/>
          <w:sz w:val="16"/>
          <w:szCs w:val="16"/>
          <w:color w:val="auto"/>
        </w:rPr>
        <w:t>. If a dispute arises between the Parties concerning this Agreement other than with respect to disputes arising from [***],</w:t>
      </w:r>
      <w:r>
        <w:rPr>
          <w:rFonts w:ascii="Arial" w:cs="Arial" w:eastAsia="Arial" w:hAnsi="Arial"/>
          <w:sz w:val="16"/>
          <w:szCs w:val="16"/>
          <w:b w:val="1"/>
          <w:bCs w:val="1"/>
          <w:color w:val="auto"/>
        </w:rPr>
        <w:t xml:space="preserve"> </w:t>
      </w:r>
      <w:r>
        <w:rPr>
          <w:rFonts w:ascii="Arial" w:cs="Arial" w:eastAsia="Arial" w:hAnsi="Arial"/>
          <w:sz w:val="16"/>
          <w:szCs w:val="16"/>
          <w:color w:val="auto"/>
        </w:rPr>
        <w:t>then the Parties will confer, as soon as practicable, in an attempt to resolve the dispute. If the Parties are unable to resolve such dispute amicably, then the Parties will submit to the exclusive jurisdiction of, and venue in, the state and Federal courts located in the Northern District of Texas.</w:t>
      </w:r>
    </w:p>
    <w:p>
      <w:pPr>
        <w:spacing w:after="0" w:line="47"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9.10.1</w:t>
      </w:r>
      <w:r>
        <w:rPr>
          <w:sz w:val="20"/>
          <w:szCs w:val="20"/>
          <w:color w:val="auto"/>
        </w:rPr>
        <w:tab/>
      </w:r>
      <w:r>
        <w:rPr>
          <w:rFonts w:ascii="Arial" w:cs="Arial" w:eastAsia="Arial" w:hAnsi="Arial"/>
          <w:sz w:val="16"/>
          <w:szCs w:val="16"/>
          <w:b w:val="1"/>
          <w:bCs w:val="1"/>
          <w:color w:val="auto"/>
        </w:rPr>
        <w:t>Resolution of Matters by Expert</w:t>
      </w:r>
      <w:r>
        <w:rPr>
          <w:rFonts w:ascii="Arial" w:cs="Arial" w:eastAsia="Arial" w:hAnsi="Arial"/>
          <w:sz w:val="16"/>
          <w:szCs w:val="16"/>
          <w:color w:val="auto"/>
        </w:rPr>
        <w:t>. Any matter expressly stated in this Agreement to be resolved by an expert in accordance with this</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Section 9.10.1 shall be resolved pursuant to the procedures described in this Section 9.10.1:</w:t>
      </w:r>
    </w:p>
    <w:p>
      <w:pPr>
        <w:spacing w:after="0" w:line="116" w:lineRule="exact"/>
        <w:rPr>
          <w:sz w:val="20"/>
          <w:szCs w:val="20"/>
          <w:color w:val="auto"/>
        </w:rPr>
      </w:pPr>
    </w:p>
    <w:p>
      <w:pPr>
        <w:ind w:left="1740" w:right="200" w:hanging="543"/>
        <w:spacing w:after="0" w:line="255" w:lineRule="auto"/>
        <w:tabs>
          <w:tab w:leader="none" w:pos="17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Parties shall select an independent expert (with respect to disputes arising from Sections [***], such independent expert shall have [***] expertise), mutually agreeable to both Parties, with experience in resolving disputes (with respect to disputes arising from [***], such experience shall be in resolving [***] disputes) pursuant to agreements between biopharmaceutical entities. The costs of the expert shall be shared equally by the Parties, and each Party shall bear its own expense in connection with its performance of the procedures in this Section 9.10.1. The decision rendered by the expert shall be written, final, non-appealable and binding on both Parties.</w:t>
      </w:r>
    </w:p>
    <w:p>
      <w:pPr>
        <w:spacing w:after="0" w:line="97" w:lineRule="exact"/>
        <w:rPr>
          <w:rFonts w:ascii="Arial" w:cs="Arial" w:eastAsia="Arial" w:hAnsi="Arial"/>
          <w:sz w:val="18"/>
          <w:szCs w:val="18"/>
          <w:color w:val="auto"/>
        </w:rPr>
      </w:pPr>
    </w:p>
    <w:p>
      <w:pPr>
        <w:ind w:left="1740" w:hanging="543"/>
        <w:spacing w:after="0" w:line="271" w:lineRule="auto"/>
        <w:tabs>
          <w:tab w:leader="none" w:pos="17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Within [***] after the expert is appointed, each Party shall provide the expert and the other Party with a written report setting forth its position with respect to the substance of such matter to be decided by the expert. Each Party may submit a revised report and position to the expert within [***] of receiving the other Party’s report. If so requested by the expert, each Party shall make oral and/or other written submissions to the expert in accordance with procedures to be established by the expert; provided that the other Party shall have the right to be present during any oral submissions. The expert shall select one of the Party’s position as his or her decision, based on what is most reasonable and equitable to each of the Parties under the circumstances, and shall not have the authority to render any substantive decision other than to so select one Party’s position as initially submitted, or as revised in accordance with the foregoing, as applicable.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91" w:name="page392"/>
    <w:bookmarkEnd w:id="391"/>
    <w:p>
      <w:pPr>
        <w:ind w:left="1740" w:right="40" w:hanging="543"/>
        <w:spacing w:after="0" w:line="263" w:lineRule="auto"/>
        <w:tabs>
          <w:tab w:leader="none" w:pos="17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clarity, it is understood that the Parties intend the expert shall only select one of the Party’s position on such matter (e.g., “Baseball” structure); and the expert may fashion such detailed procedures as the expert considers appropriate to implement this intent.</w:t>
      </w:r>
    </w:p>
    <w:p>
      <w:pPr>
        <w:spacing w:after="0" w:line="89" w:lineRule="exact"/>
        <w:rPr>
          <w:rFonts w:ascii="Arial" w:cs="Arial" w:eastAsia="Arial" w:hAnsi="Arial"/>
          <w:sz w:val="18"/>
          <w:szCs w:val="18"/>
          <w:color w:val="auto"/>
        </w:rPr>
      </w:pPr>
    </w:p>
    <w:p>
      <w:pPr>
        <w:ind w:left="1740" w:right="60" w:hanging="543"/>
        <w:spacing w:after="0" w:line="277" w:lineRule="auto"/>
        <w:tabs>
          <w:tab w:leader="none" w:pos="17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any dispute resolution under this Section 9.10.1, the expert and the Parties shall use their best efforts to resolve such disputed matter within [***] after the selection of the expert, or as soon thereafter as is practicable.</w:t>
      </w:r>
    </w:p>
    <w:p>
      <w:pPr>
        <w:spacing w:after="0" w:line="72" w:lineRule="exact"/>
        <w:rPr>
          <w:sz w:val="20"/>
          <w:szCs w:val="20"/>
          <w:color w:val="auto"/>
        </w:rPr>
      </w:pPr>
    </w:p>
    <w:p>
      <w:pPr>
        <w:ind w:left="540" w:right="80" w:hanging="539"/>
        <w:spacing w:after="0" w:line="256" w:lineRule="auto"/>
        <w:tabs>
          <w:tab w:leader="none" w:pos="5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b w:val="1"/>
          <w:bCs w:val="1"/>
          <w:color w:val="auto"/>
        </w:rPr>
        <w:t>Notices and Deliveries</w:t>
      </w:r>
      <w:r>
        <w:rPr>
          <w:rFonts w:ascii="Arial" w:cs="Arial" w:eastAsia="Arial" w:hAnsi="Arial"/>
          <w:sz w:val="18"/>
          <w:szCs w:val="18"/>
          <w:color w:val="auto"/>
        </w:rPr>
        <w:t>. Any notice, request, approval or consent required or permitted to be given under this Agreement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 Party at its address or facsimile number shown below or such other address or facsimile number as such Party shall have last given by notice to the other Party. A notice will be deemed received: if delivered personally, on the date of delivery; if mailed, five (5) days after deposit in the United States mail; if sent via courier, one (1) business day after deposit with the courier service; or if sent via facsimile, upon receipt of confirmation of transmission provided that a confirming copy of such notice is sent by certified mail, postage prepaid, return receipt requested.</w:t>
      </w:r>
    </w:p>
    <w:p>
      <w:pPr>
        <w:spacing w:after="0" w:line="201"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88"/>
              </w:rPr>
              <w:t>For Licensor</w:t>
            </w:r>
          </w:p>
        </w:tc>
        <w:tc>
          <w:tcPr>
            <w:tcW w:w="250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with a copy to:</w:t>
            </w:r>
          </w:p>
        </w:tc>
      </w:tr>
      <w:tr>
        <w:trPr>
          <w:trHeight w:val="20"/>
        </w:trPr>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2"/>
        </w:trPr>
        <w:tc>
          <w:tcPr>
            <w:tcW w:w="3480" w:type="dxa"/>
            <w:vAlign w:val="bottom"/>
            <w:gridSpan w:val="3"/>
          </w:tcPr>
          <w:p>
            <w:pPr>
              <w:spacing w:after="0"/>
              <w:rPr>
                <w:sz w:val="20"/>
                <w:szCs w:val="20"/>
                <w:color w:val="auto"/>
              </w:rPr>
            </w:pPr>
            <w:r>
              <w:rPr>
                <w:rFonts w:ascii="Arial" w:cs="Arial" w:eastAsia="Arial" w:hAnsi="Arial"/>
                <w:sz w:val="18"/>
                <w:szCs w:val="18"/>
                <w:color w:val="auto"/>
              </w:rPr>
              <w:t>UT Southwestern Medical Center</w:t>
            </w:r>
          </w:p>
        </w:tc>
        <w:tc>
          <w:tcPr>
            <w:tcW w:w="21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For Licensee:</w:t>
            </w:r>
          </w:p>
        </w:tc>
        <w:tc>
          <w:tcPr>
            <w:tcW w:w="2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with a copy to:</w:t>
            </w: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2"/>
        </w:trPr>
        <w:tc>
          <w:tcPr>
            <w:tcW w:w="3480" w:type="dxa"/>
            <w:vAlign w:val="bottom"/>
            <w:gridSpan w:val="3"/>
          </w:tcPr>
          <w:p>
            <w:pPr>
              <w:spacing w:after="0"/>
              <w:rPr>
                <w:sz w:val="20"/>
                <w:szCs w:val="20"/>
                <w:color w:val="auto"/>
              </w:rPr>
            </w:pPr>
            <w:r>
              <w:rPr>
                <w:rFonts w:ascii="Arial" w:cs="Arial" w:eastAsia="Arial" w:hAnsi="Arial"/>
                <w:sz w:val="18"/>
                <w:szCs w:val="18"/>
                <w:color w:val="auto"/>
              </w:rPr>
              <w:t>Tenaya Therapeutics, Inc.</w:t>
            </w:r>
          </w:p>
        </w:tc>
        <w:tc>
          <w:tcPr>
            <w:tcW w:w="3560" w:type="dxa"/>
            <w:vAlign w:val="bottom"/>
            <w:gridSpan w:val="3"/>
          </w:tcPr>
          <w:p>
            <w:pPr>
              <w:ind w:left="1040"/>
              <w:spacing w:after="0"/>
              <w:rPr>
                <w:sz w:val="20"/>
                <w:szCs w:val="20"/>
                <w:color w:val="auto"/>
              </w:rPr>
            </w:pPr>
            <w:r>
              <w:rPr>
                <w:rFonts w:ascii="Arial" w:cs="Arial" w:eastAsia="Arial" w:hAnsi="Arial"/>
                <w:sz w:val="18"/>
                <w:szCs w:val="18"/>
                <w:color w:val="auto"/>
                <w:w w:val="92"/>
              </w:rPr>
              <w:t>Wilson Sonsini Goodrich &amp; Rosati</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1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0"/>
                <w:szCs w:val="20"/>
                <w:color w:val="auto"/>
              </w:rPr>
            </w:pPr>
          </w:p>
        </w:tc>
      </w:tr>
    </w:tbl>
    <w:p>
      <w:pPr>
        <w:spacing w:after="0" w:line="103" w:lineRule="exact"/>
        <w:rPr>
          <w:sz w:val="20"/>
          <w:szCs w:val="20"/>
          <w:color w:val="auto"/>
        </w:rPr>
      </w:pPr>
    </w:p>
    <w:p>
      <w:pPr>
        <w:ind w:left="540" w:right="140" w:hanging="539"/>
        <w:spacing w:after="0" w:line="261" w:lineRule="auto"/>
        <w:tabs>
          <w:tab w:leader="none" w:pos="52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b w:val="1"/>
          <w:bCs w:val="1"/>
          <w:color w:val="auto"/>
        </w:rPr>
        <w:t>Waiver</w:t>
      </w:r>
      <w:r>
        <w:rPr>
          <w:rFonts w:ascii="Arial" w:cs="Arial" w:eastAsia="Arial" w:hAnsi="Arial"/>
          <w:sz w:val="18"/>
          <w:szCs w:val="18"/>
          <w:color w:val="auto"/>
        </w:rPr>
        <w:t>. A waiver by either Party of any of the terms and conditions of this Agreement in any instance shall not be deemed or construed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85" w:lineRule="exact"/>
        <w:rPr>
          <w:sz w:val="20"/>
          <w:szCs w:val="20"/>
          <w:color w:val="auto"/>
        </w:rPr>
      </w:pPr>
    </w:p>
    <w:p>
      <w:pPr>
        <w:ind w:left="540" w:hanging="539"/>
        <w:spacing w:after="0" w:line="303" w:lineRule="auto"/>
        <w:tabs>
          <w:tab w:leader="none" w:pos="52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b w:val="1"/>
          <w:bCs w:val="1"/>
          <w:color w:val="auto"/>
        </w:rPr>
        <w:t>Severability</w:t>
      </w:r>
      <w:r>
        <w:rPr>
          <w:rFonts w:ascii="Arial" w:cs="Arial" w:eastAsia="Arial" w:hAnsi="Arial"/>
          <w:sz w:val="16"/>
          <w:szCs w:val="16"/>
          <w:color w:val="auto"/>
        </w:rPr>
        <w:t>. When possible, each provision of this Agreement will be interpreted in such manner as to be effective and valid under law, but if</w:t>
      </w:r>
      <w:r>
        <w:rPr>
          <w:rFonts w:ascii="Arial" w:cs="Arial" w:eastAsia="Arial" w:hAnsi="Arial"/>
          <w:sz w:val="16"/>
          <w:szCs w:val="16"/>
          <w:b w:val="1"/>
          <w:bCs w:val="1"/>
          <w:color w:val="auto"/>
        </w:rPr>
        <w:t xml:space="preserve"> </w:t>
      </w:r>
      <w:r>
        <w:rPr>
          <w:rFonts w:ascii="Arial" w:cs="Arial" w:eastAsia="Arial" w:hAnsi="Arial"/>
          <w:sz w:val="16"/>
          <w:szCs w:val="16"/>
          <w:color w:val="auto"/>
        </w:rPr>
        <w:t>any 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56" w:lineRule="exact"/>
        <w:rPr>
          <w:sz w:val="20"/>
          <w:szCs w:val="20"/>
          <w:color w:val="auto"/>
        </w:rPr>
      </w:pPr>
    </w:p>
    <w:p>
      <w:pPr>
        <w:ind w:left="540" w:right="160" w:hanging="539"/>
        <w:spacing w:after="0" w:line="258" w:lineRule="auto"/>
        <w:tabs>
          <w:tab w:leader="none" w:pos="52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8"/>
          <w:szCs w:val="18"/>
          <w:b w:val="1"/>
          <w:bCs w:val="1"/>
          <w:color w:val="auto"/>
        </w:rPr>
        <w:t>Interpretation</w:t>
      </w:r>
      <w:r>
        <w:rPr>
          <w:rFonts w:ascii="Arial" w:cs="Arial" w:eastAsia="Arial" w:hAnsi="Arial"/>
          <w:sz w:val="18"/>
          <w:szCs w:val="18"/>
          <w:color w:val="auto"/>
        </w:rPr>
        <w:t>. The words “include,” “includes” and “including” shall be deemed to be followed by the phrase “without limitation.”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“or” will be interpreted in the inclusive sense commonly associated with the term “and/or.” All references herein to Articles, Sections, and Schedules shall be deemed references to Articles and Sections of, and Schedules to, this Agreement unless the context shall otherwise require. Except as otherwise expressly provided herein, all terms of an accounting or financial nature shall be construed in accordance with Accounting Standards,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92" w:name="page393"/>
    <w:bookmarkEnd w:id="392"/>
    <w:p>
      <w:pPr>
        <w:ind w:lef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in effect from time to time. Unless the context otherwise requires, countries shall include territories. References to any specific Law or article, section or other division thereof, shall be deemed to include the then-current amendments or any replacement Law thereto.</w:t>
      </w:r>
    </w:p>
    <w:p>
      <w:pPr>
        <w:spacing w:after="0" w:line="48" w:lineRule="exact"/>
        <w:rPr>
          <w:sz w:val="20"/>
          <w:szCs w:val="20"/>
          <w:color w:val="auto"/>
        </w:rPr>
      </w:pPr>
    </w:p>
    <w:p>
      <w:pPr>
        <w:jc w:val="both"/>
        <w:ind w:left="480" w:right="240" w:hanging="539"/>
        <w:spacing w:after="0" w:line="266" w:lineRule="auto"/>
        <w:tabs>
          <w:tab w:leader="none" w:pos="46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will be deemed an original, and all of which together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one and the same instrument. A facsimile or a portable document format (PDF) copy of this Agreement, including the signature pages, will be deemed an original.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500" w:top="274" w:right="49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8"/>
          <w:szCs w:val="18"/>
          <w:color w:val="auto"/>
        </w:rPr>
        <w:t>duly authorized representatives of the Parties have executed this Agreement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BOARD OF REGENTS OF THE</w:t>
            </w:r>
          </w:p>
        </w:tc>
        <w:tc>
          <w:tcPr>
            <w:tcW w:w="480" w:type="dxa"/>
            <w:vAlign w:val="bottom"/>
          </w:tcPr>
          <w:p>
            <w:pPr>
              <w:spacing w:after="0"/>
              <w:rPr>
                <w:sz w:val="18"/>
                <w:szCs w:val="18"/>
                <w:color w:val="auto"/>
              </w:rPr>
            </w:pPr>
          </w:p>
        </w:tc>
        <w:tc>
          <w:tcPr>
            <w:tcW w:w="6620" w:type="dxa"/>
            <w:vAlign w:val="bottom"/>
            <w:gridSpan w:val="2"/>
          </w:tcPr>
          <w:p>
            <w:pPr>
              <w:ind w:left="3040"/>
              <w:spacing w:after="0"/>
              <w:rPr>
                <w:sz w:val="20"/>
                <w:szCs w:val="20"/>
                <w:color w:val="auto"/>
              </w:rPr>
            </w:pPr>
            <w:r>
              <w:rPr>
                <w:rFonts w:ascii="Arial" w:cs="Arial" w:eastAsia="Arial" w:hAnsi="Arial"/>
                <w:sz w:val="18"/>
                <w:szCs w:val="18"/>
                <w:b w:val="1"/>
                <w:bCs w:val="1"/>
                <w:color w:val="auto"/>
              </w:rPr>
              <w:t>TENAYA THERAPEUTICS, INC.</w:t>
            </w:r>
          </w:p>
        </w:tc>
      </w:tr>
      <w:tr>
        <w:trPr>
          <w:trHeight w:val="234"/>
        </w:trPr>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UNIVERSITY OF TEXAS SYSTEM</w:t>
            </w:r>
          </w:p>
        </w:tc>
        <w:tc>
          <w:tcPr>
            <w:tcW w:w="4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 Arnim Dontes</w:t>
            </w:r>
          </w:p>
        </w:tc>
        <w:tc>
          <w:tcPr>
            <w:tcW w:w="480" w:type="dxa"/>
            <w:vAlign w:val="bottom"/>
          </w:tcPr>
          <w:p>
            <w:pPr>
              <w:spacing w:after="0"/>
              <w:rPr>
                <w:sz w:val="24"/>
                <w:szCs w:val="24"/>
                <w:color w:val="auto"/>
              </w:rPr>
            </w:pPr>
          </w:p>
        </w:tc>
        <w:tc>
          <w:tcPr>
            <w:tcW w:w="6620" w:type="dxa"/>
            <w:vAlign w:val="bottom"/>
            <w:gridSpan w:val="2"/>
          </w:tcPr>
          <w:p>
            <w:pPr>
              <w:ind w:left="3040"/>
              <w:spacing w:after="0"/>
              <w:rPr>
                <w:sz w:val="20"/>
                <w:szCs w:val="20"/>
                <w:color w:val="auto"/>
              </w:rPr>
            </w:pPr>
            <w:r>
              <w:rPr>
                <w:rFonts w:ascii="Arial" w:cs="Arial" w:eastAsia="Arial" w:hAnsi="Arial"/>
                <w:sz w:val="18"/>
                <w:szCs w:val="18"/>
                <w:color w:val="auto"/>
              </w:rPr>
              <w:t>By  /s/ Faraz Ali</w:t>
            </w:r>
          </w:p>
        </w:tc>
      </w:tr>
      <w:tr>
        <w:trPr>
          <w:trHeight w:val="209"/>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Arnim Dontes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Faraz Ali</w:t>
            </w:r>
          </w:p>
        </w:tc>
      </w:tr>
      <w:tr>
        <w:trPr>
          <w:trHeight w:val="216"/>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w w:val="93"/>
              </w:rPr>
              <w:t>Executive Vice President for Business Affairs</w:t>
            </w:r>
          </w:p>
        </w:tc>
        <w:tc>
          <w:tcPr>
            <w:tcW w:w="4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Title: CEO</w:t>
            </w:r>
          </w:p>
        </w:tc>
      </w:tr>
      <w:tr>
        <w:trPr>
          <w:trHeight w:val="230"/>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UT Southwestern Medical Center</w:t>
            </w:r>
          </w:p>
        </w:tc>
        <w:tc>
          <w:tcPr>
            <w:tcW w:w="4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32"/>
        </w:trPr>
        <w:tc>
          <w:tcPr>
            <w:tcW w:w="3920" w:type="dxa"/>
            <w:vAlign w:val="bottom"/>
            <w:gridSpan w:val="4"/>
          </w:tcPr>
          <w:p>
            <w:pPr>
              <w:spacing w:after="0"/>
              <w:rPr>
                <w:sz w:val="20"/>
                <w:szCs w:val="20"/>
                <w:color w:val="auto"/>
              </w:rPr>
            </w:pPr>
            <w:r>
              <w:rPr>
                <w:rFonts w:ascii="Arial" w:cs="Arial" w:eastAsia="Arial" w:hAnsi="Arial"/>
                <w:sz w:val="18"/>
                <w:szCs w:val="18"/>
                <w:color w:val="auto"/>
              </w:rPr>
              <w:t>Date 1/12/2020</w:t>
            </w:r>
          </w:p>
        </w:tc>
        <w:tc>
          <w:tcPr>
            <w:tcW w:w="480" w:type="dxa"/>
            <w:vAlign w:val="bottom"/>
          </w:tcPr>
          <w:p>
            <w:pPr>
              <w:spacing w:after="0"/>
              <w:rPr>
                <w:sz w:val="24"/>
                <w:szCs w:val="24"/>
                <w:color w:val="auto"/>
              </w:rPr>
            </w:pPr>
          </w:p>
        </w:tc>
        <w:tc>
          <w:tcPr>
            <w:tcW w:w="6620" w:type="dxa"/>
            <w:vAlign w:val="bottom"/>
            <w:gridSpan w:val="2"/>
          </w:tcPr>
          <w:p>
            <w:pPr>
              <w:ind w:left="3040"/>
              <w:spacing w:after="0"/>
              <w:rPr>
                <w:sz w:val="20"/>
                <w:szCs w:val="20"/>
                <w:color w:val="auto"/>
              </w:rPr>
            </w:pPr>
            <w:r>
              <w:rPr>
                <w:rFonts w:ascii="Arial" w:cs="Arial" w:eastAsia="Arial" w:hAnsi="Arial"/>
                <w:sz w:val="18"/>
                <w:szCs w:val="18"/>
                <w:color w:val="auto"/>
              </w:rPr>
              <w:t>Date 1/10/2020</w:t>
            </w:r>
          </w:p>
        </w:tc>
      </w:tr>
      <w:tr>
        <w:trPr>
          <w:trHeight w:val="432"/>
        </w:trPr>
        <w:tc>
          <w:tcPr>
            <w:tcW w:w="3920" w:type="dxa"/>
            <w:vAlign w:val="bottom"/>
            <w:gridSpan w:val="4"/>
          </w:tcPr>
          <w:p>
            <w:pPr>
              <w:spacing w:after="0"/>
              <w:rPr>
                <w:sz w:val="20"/>
                <w:szCs w:val="20"/>
                <w:color w:val="auto"/>
              </w:rPr>
            </w:pPr>
            <w:r>
              <w:rPr>
                <w:rFonts w:ascii="Arial" w:cs="Arial" w:eastAsia="Arial" w:hAnsi="Arial"/>
                <w:sz w:val="18"/>
                <w:szCs w:val="18"/>
                <w:color w:val="auto"/>
              </w:rPr>
              <w:t>Approved as to Content:</w:t>
            </w: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59"/>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Claire Aldridge, Ph.D.</w:t>
            </w:r>
          </w:p>
        </w:tc>
        <w:tc>
          <w:tcPr>
            <w:tcW w:w="480" w:type="dxa"/>
            <w:vAlign w:val="bottom"/>
            <w:tcBorders>
              <w:bottom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Claire Aldridge, Ph.D.</w:t>
            </w:r>
          </w:p>
        </w:tc>
        <w:tc>
          <w:tcPr>
            <w:tcW w:w="4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Associate Vice President,</w:t>
            </w:r>
          </w:p>
        </w:tc>
        <w:tc>
          <w:tcPr>
            <w:tcW w:w="4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w w:val="92"/>
              </w:rPr>
              <w:t>Commercialization and Business Development</w:t>
            </w:r>
          </w:p>
        </w:tc>
        <w:tc>
          <w:tcPr>
            <w:tcW w:w="4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UT Southwestern Medical Center</w:t>
            </w:r>
          </w:p>
        </w:tc>
        <w:tc>
          <w:tcPr>
            <w:tcW w:w="4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45"/>
        </w:trPr>
        <w:tc>
          <w:tcPr>
            <w:tcW w:w="4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gridSpan w:val="2"/>
          </w:tcPr>
          <w:p>
            <w:pPr>
              <w:spacing w:after="0"/>
              <w:rPr>
                <w:sz w:val="20"/>
                <w:szCs w:val="20"/>
                <w:color w:val="auto"/>
              </w:rPr>
            </w:pPr>
            <w:r>
              <w:rPr>
                <w:rFonts w:ascii="Arial" w:cs="Arial" w:eastAsia="Arial" w:hAnsi="Arial"/>
                <w:sz w:val="18"/>
                <w:szCs w:val="18"/>
                <w:color w:val="auto"/>
              </w:rPr>
              <w:t>1/12/2020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3"/>
          </w:tcPr>
          <w:p>
            <w:pPr>
              <w:ind w:left="80"/>
              <w:spacing w:after="0"/>
              <w:rPr>
                <w:sz w:val="20"/>
                <w:szCs w:val="20"/>
                <w:color w:val="auto"/>
              </w:rPr>
            </w:pPr>
            <w:r>
              <w:rPr>
                <w:rFonts w:ascii="Arial" w:cs="Arial" w:eastAsia="Arial" w:hAnsi="Arial"/>
                <w:sz w:val="18"/>
                <w:szCs w:val="18"/>
                <w:b w:val="1"/>
                <w:bCs w:val="1"/>
                <w:color w:val="auto"/>
              </w:rPr>
              <w:t>[Signature Page to License Agreement]</w:t>
            </w:r>
          </w:p>
        </w:tc>
      </w:tr>
    </w:tbl>
    <w:p>
      <w:pPr>
        <w:sectPr>
          <w:pgSz w:w="11900" w:h="16838" w:orient="portrait"/>
          <w:cols w:equalWidth="0" w:num="1">
            <w:col w:w="11020"/>
          </w:cols>
          <w:pgMar w:left="440" w:top="270" w:right="439" w:bottom="1440" w:gutter="0" w:footer="0" w:header="0"/>
        </w:sectPr>
      </w:pPr>
    </w:p>
    <w:bookmarkStart w:id="394" w:name="page395"/>
    <w:bookmarkEnd w:id="3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Form of Financial Report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395" w:name="page396"/>
    <w:bookmarkEnd w:id="395"/>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1.24</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LICENSOR MATERIALS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quantities of [***] provided by Licensor to Licensee under this Agreement.</w:t>
      </w:r>
    </w:p>
    <w:p>
      <w:pPr>
        <w:sectPr>
          <w:pgSz w:w="11900" w:h="16838" w:orient="portrait"/>
          <w:cols w:equalWidth="0" w:num="1">
            <w:col w:w="10019"/>
          </w:cols>
          <w:pgMar w:left="440" w:top="270" w:right="1440" w:bottom="1440" w:gutter="0" w:footer="0" w:header="0"/>
        </w:sectPr>
      </w:pPr>
    </w:p>
    <w:bookmarkStart w:id="396" w:name="page397"/>
    <w:bookmarkEnd w:id="39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1.25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Licensor Patent Rights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8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7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7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7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r>
    </w:tbl>
    <w:p>
      <w:pPr>
        <w:sectPr>
          <w:pgSz w:w="11900" w:h="16838" w:orient="portrait"/>
          <w:cols w:equalWidth="0" w:num="1">
            <w:col w:w="11020"/>
          </w:cols>
          <w:pgMar w:left="440" w:top="270" w:right="4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List of Countries and Territories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31B62D"/>
    <w:multiLevelType w:val="hybridMultilevel"/>
    <w:lvl w:ilvl="0">
      <w:lvlJc w:val="left"/>
      <w:lvlText w:val="(%1)"/>
      <w:numFmt w:val="decimal"/>
      <w:start w:val="1"/>
    </w:lvl>
  </w:abstractNum>
  <w:abstractNum w:abstractNumId="1">
    <w:nsid w:val="1849C29B"/>
    <w:multiLevelType w:val="hybridMultilevel"/>
    <w:lvl w:ilvl="0">
      <w:lvlJc w:val="left"/>
      <w:lvlText w:val="(%1)"/>
      <w:numFmt w:val="decimal"/>
      <w:start w:val="1"/>
    </w:lvl>
  </w:abstractNum>
  <w:abstractNum w:abstractNumId="2">
    <w:nsid w:val="7DFF9D09"/>
    <w:multiLevelType w:val="hybridMultilevel"/>
    <w:lvl w:ilvl="0">
      <w:lvlJc w:val="left"/>
      <w:lvlText w:val="%1."/>
      <w:numFmt w:val="decimal"/>
      <w:start w:val="1"/>
    </w:lvl>
  </w:abstractNum>
  <w:abstractNum w:abstractNumId="3">
    <w:nsid w:val="754342"/>
    <w:multiLevelType w:val="hybridMultilevel"/>
    <w:lvl w:ilvl="0">
      <w:lvlJc w:val="left"/>
      <w:lvlText w:val="%1."/>
      <w:numFmt w:val="decimal"/>
      <w:start w:val="1"/>
    </w:lvl>
  </w:abstractNum>
  <w:abstractNum w:abstractNumId="4">
    <w:nsid w:val="69E7F3E5"/>
    <w:multiLevelType w:val="hybridMultilevel"/>
    <w:lvl w:ilvl="0">
      <w:lvlJc w:val="left"/>
      <w:lvlText w:val="%1."/>
      <w:numFmt w:val="decimal"/>
      <w:start w:val="5"/>
    </w:lvl>
  </w:abstractNum>
  <w:abstractNum w:abstractNumId="5">
    <w:nsid w:val="2A6DE806"/>
    <w:multiLevelType w:val="hybridMultilevel"/>
    <w:lvl w:ilvl="0">
      <w:lvlJc w:val="left"/>
      <w:lvlText w:val="•"/>
      <w:numFmt w:val="bullet"/>
      <w:start w:val="1"/>
    </w:lvl>
  </w:abstractNum>
  <w:abstractNum w:abstractNumId="6">
    <w:nsid w:val="1816F8C4"/>
    <w:multiLevelType w:val="hybridMultilevel"/>
    <w:lvl w:ilvl="0">
      <w:lvlJc w:val="left"/>
      <w:lvlText w:val="•"/>
      <w:numFmt w:val="bullet"/>
      <w:start w:val="1"/>
    </w:lvl>
  </w:abstractNum>
  <w:abstractNum w:abstractNumId="7">
    <w:nsid w:val="37DF2233"/>
    <w:multiLevelType w:val="hybridMultilevel"/>
    <w:lvl w:ilvl="0">
      <w:lvlJc w:val="left"/>
      <w:lvlText w:val="•"/>
      <w:numFmt w:val="bullet"/>
      <w:start w:val="1"/>
    </w:lvl>
  </w:abstractNum>
  <w:abstractNum w:abstractNumId="8">
    <w:nsid w:val="7AB49DAF"/>
    <w:multiLevelType w:val="hybridMultilevel"/>
    <w:lvl w:ilvl="0">
      <w:lvlJc w:val="left"/>
      <w:lvlText w:val="•"/>
      <w:numFmt w:val="bullet"/>
      <w:start w:val="1"/>
    </w:lvl>
  </w:abstractNum>
  <w:abstractNum w:abstractNumId="9">
    <w:nsid w:val="759F82CD"/>
    <w:multiLevelType w:val="hybridMultilevel"/>
    <w:lvl w:ilvl="0">
      <w:lvlJc w:val="left"/>
      <w:lvlText w:val="•"/>
      <w:numFmt w:val="bullet"/>
      <w:start w:val="1"/>
    </w:lvl>
  </w:abstractNum>
  <w:abstractNum w:abstractNumId="10">
    <w:nsid w:val="61E74EA3"/>
    <w:multiLevelType w:val="hybridMultilevel"/>
    <w:lvl w:ilvl="0">
      <w:lvlJc w:val="left"/>
      <w:lvlText w:val="•"/>
      <w:numFmt w:val="bullet"/>
      <w:start w:val="1"/>
    </w:lvl>
  </w:abstractNum>
  <w:abstractNum w:abstractNumId="11">
    <w:nsid w:val="597B4D84"/>
    <w:multiLevelType w:val="hybridMultilevel"/>
    <w:lvl w:ilvl="0">
      <w:lvlJc w:val="left"/>
      <w:lvlText w:val="•"/>
      <w:numFmt w:val="bullet"/>
      <w:start w:val="1"/>
    </w:lvl>
  </w:abstractNum>
  <w:abstractNum w:abstractNumId="12">
    <w:nsid w:val="F819E7F"/>
    <w:multiLevelType w:val="hybridMultilevel"/>
    <w:lvl w:ilvl="0">
      <w:lvlJc w:val="left"/>
      <w:lvlText w:val="•"/>
      <w:numFmt w:val="bullet"/>
      <w:start w:val="1"/>
    </w:lvl>
  </w:abstractNum>
  <w:abstractNum w:abstractNumId="13">
    <w:nsid w:val="57C7D42D"/>
    <w:multiLevelType w:val="hybridMultilevel"/>
    <w:lvl w:ilvl="0">
      <w:lvlJc w:val="left"/>
      <w:lvlText w:val="•"/>
      <w:numFmt w:val="bullet"/>
      <w:start w:val="1"/>
    </w:lvl>
  </w:abstractNum>
  <w:abstractNum w:abstractNumId="14">
    <w:nsid w:val="312167AD"/>
    <w:multiLevelType w:val="hybridMultilevel"/>
    <w:lvl w:ilvl="0">
      <w:lvlJc w:val="left"/>
      <w:lvlText w:val="•"/>
      <w:numFmt w:val="bullet"/>
      <w:start w:val="1"/>
    </w:lvl>
  </w:abstractNum>
  <w:abstractNum w:abstractNumId="15">
    <w:nsid w:val="631B64D4"/>
    <w:multiLevelType w:val="hybridMultilevel"/>
    <w:lvl w:ilvl="0">
      <w:lvlJc w:val="left"/>
      <w:lvlText w:val="•"/>
      <w:numFmt w:val="bullet"/>
      <w:start w:val="1"/>
    </w:lvl>
  </w:abstractNum>
  <w:abstractNum w:abstractNumId="16">
    <w:nsid w:val="78B5E776"/>
    <w:multiLevelType w:val="hybridMultilevel"/>
    <w:lvl w:ilvl="0">
      <w:lvlJc w:val="left"/>
      <w:lvlText w:val="•"/>
      <w:numFmt w:val="bullet"/>
      <w:start w:val="1"/>
    </w:lvl>
  </w:abstractNum>
  <w:abstractNum w:abstractNumId="17">
    <w:nsid w:val="75486E47"/>
    <w:multiLevelType w:val="hybridMultilevel"/>
    <w:lvl w:ilvl="0">
      <w:lvlJc w:val="left"/>
      <w:lvlText w:val="•"/>
      <w:numFmt w:val="bullet"/>
      <w:start w:val="1"/>
    </w:lvl>
  </w:abstractNum>
  <w:abstractNum w:abstractNumId="18">
    <w:nsid w:val="6E534CDE"/>
    <w:multiLevelType w:val="hybridMultilevel"/>
    <w:lvl w:ilvl="0">
      <w:lvlJc w:val="left"/>
      <w:lvlText w:val="(%1)"/>
      <w:numFmt w:val="decimal"/>
      <w:start w:val="1"/>
    </w:lvl>
  </w:abstractNum>
  <w:abstractNum w:abstractNumId="19">
    <w:nsid w:val="1A0DDE32"/>
    <w:multiLevelType w:val="hybridMultilevel"/>
    <w:lvl w:ilvl="0">
      <w:lvlJc w:val="left"/>
      <w:lvlText w:val="(%1)"/>
      <w:numFmt w:val="decimal"/>
      <w:start w:val="1"/>
    </w:lvl>
  </w:abstractNum>
  <w:abstractNum w:abstractNumId="20">
    <w:nsid w:val="65968C1C"/>
    <w:multiLevelType w:val="hybridMultilevel"/>
    <w:lvl w:ilvl="0">
      <w:lvlJc w:val="left"/>
      <w:lvlText w:val="(%1)"/>
      <w:numFmt w:val="decimal"/>
      <w:start w:val="3"/>
    </w:lvl>
  </w:abstractNum>
  <w:abstractNum w:abstractNumId="21">
    <w:nsid w:val="46263DEC"/>
    <w:multiLevelType w:val="hybridMultilevel"/>
    <w:lvl w:ilvl="0">
      <w:lvlJc w:val="left"/>
      <w:lvlText w:val="(%1)"/>
      <w:numFmt w:val="decimal"/>
      <w:start w:val="4"/>
    </w:lvl>
  </w:abstractNum>
  <w:abstractNum w:abstractNumId="22">
    <w:nsid w:val="260D8C4A"/>
    <w:multiLevelType w:val="hybridMultilevel"/>
    <w:lvl w:ilvl="0">
      <w:lvlJc w:val="left"/>
      <w:lvlText w:val="•"/>
      <w:numFmt w:val="bullet"/>
      <w:start w:val="1"/>
    </w:lvl>
  </w:abstractNum>
  <w:abstractNum w:abstractNumId="23">
    <w:nsid w:val="73D4D3C4"/>
    <w:multiLevelType w:val="hybridMultilevel"/>
    <w:lvl w:ilvl="0">
      <w:lvlJc w:val="left"/>
      <w:lvlText w:val="•"/>
      <w:numFmt w:val="bullet"/>
      <w:start w:val="1"/>
    </w:lvl>
  </w:abstractNum>
  <w:abstractNum w:abstractNumId="24">
    <w:nsid w:val="746F2E30"/>
    <w:multiLevelType w:val="hybridMultilevel"/>
    <w:lvl w:ilvl="0">
      <w:lvlJc w:val="left"/>
      <w:lvlText w:val="•"/>
      <w:numFmt w:val="bullet"/>
      <w:start w:val="1"/>
    </w:lvl>
  </w:abstractNum>
  <w:abstractNum w:abstractNumId="25">
    <w:nsid w:val="6FDE8AF6"/>
    <w:multiLevelType w:val="hybridMultilevel"/>
    <w:lvl w:ilvl="0">
      <w:lvlJc w:val="left"/>
      <w:lvlText w:val="•"/>
      <w:numFmt w:val="bullet"/>
      <w:start w:val="1"/>
    </w:lvl>
  </w:abstractNum>
  <w:abstractNum w:abstractNumId="26">
    <w:nsid w:val="3FC32E20"/>
    <w:multiLevelType w:val="hybridMultilevel"/>
    <w:lvl w:ilvl="0">
      <w:lvlJc w:val="left"/>
      <w:lvlText w:val="•"/>
      <w:numFmt w:val="bullet"/>
      <w:start w:val="1"/>
    </w:lvl>
  </w:abstractNum>
  <w:abstractNum w:abstractNumId="27">
    <w:nsid w:val="49C0E823"/>
    <w:multiLevelType w:val="hybridMultilevel"/>
    <w:lvl w:ilvl="0">
      <w:lvlJc w:val="left"/>
      <w:lvlText w:val="•"/>
      <w:numFmt w:val="bullet"/>
      <w:start w:val="1"/>
    </w:lvl>
  </w:abstractNum>
  <w:abstractNum w:abstractNumId="28">
    <w:nsid w:val="14D53685"/>
    <w:multiLevelType w:val="hybridMultilevel"/>
    <w:lvl w:ilvl="0">
      <w:lvlJc w:val="left"/>
      <w:lvlText w:val="•"/>
      <w:numFmt w:val="bullet"/>
      <w:start w:val="1"/>
    </w:lvl>
  </w:abstractNum>
  <w:abstractNum w:abstractNumId="29">
    <w:nsid w:val="230F856C"/>
    <w:multiLevelType w:val="hybridMultilevel"/>
    <w:lvl w:ilvl="0">
      <w:lvlJc w:val="left"/>
      <w:lvlText w:val="•"/>
      <w:numFmt w:val="bullet"/>
      <w:start w:val="1"/>
    </w:lvl>
  </w:abstractNum>
  <w:abstractNum w:abstractNumId="30">
    <w:nsid w:val="6EAA85FB"/>
    <w:multiLevelType w:val="hybridMultilevel"/>
    <w:lvl w:ilvl="0">
      <w:lvlJc w:val="left"/>
      <w:lvlText w:val="•"/>
      <w:numFmt w:val="bullet"/>
      <w:start w:val="1"/>
    </w:lvl>
  </w:abstractNum>
  <w:abstractNum w:abstractNumId="31">
    <w:nsid w:val="3F06ECB2"/>
    <w:multiLevelType w:val="hybridMultilevel"/>
    <w:lvl w:ilvl="0">
      <w:lvlJc w:val="left"/>
      <w:lvlText w:val="•"/>
      <w:numFmt w:val="bullet"/>
      <w:start w:val="1"/>
    </w:lvl>
  </w:abstractNum>
  <w:abstractNum w:abstractNumId="32">
    <w:nsid w:val="3B594807"/>
    <w:multiLevelType w:val="hybridMultilevel"/>
    <w:lvl w:ilvl="0">
      <w:lvlJc w:val="left"/>
      <w:lvlText w:val="•"/>
      <w:numFmt w:val="bullet"/>
      <w:start w:val="1"/>
    </w:lvl>
  </w:abstractNum>
  <w:abstractNum w:abstractNumId="33">
    <w:nsid w:val="6CAA2304"/>
    <w:multiLevelType w:val="hybridMultilevel"/>
    <w:lvl w:ilvl="0">
      <w:lvlJc w:val="left"/>
      <w:lvlText w:val="•"/>
      <w:numFmt w:val="bullet"/>
      <w:start w:val="1"/>
    </w:lvl>
  </w:abstractNum>
  <w:abstractNum w:abstractNumId="34">
    <w:nsid w:val="3F7C2FF4"/>
    <w:multiLevelType w:val="hybridMultilevel"/>
    <w:lvl w:ilvl="0">
      <w:lvlJc w:val="left"/>
      <w:lvlText w:val="•"/>
      <w:numFmt w:val="bullet"/>
      <w:start w:val="1"/>
    </w:lvl>
  </w:abstractNum>
  <w:abstractNum w:abstractNumId="35">
    <w:nsid w:val="25413BEC"/>
    <w:multiLevelType w:val="hybridMultilevel"/>
    <w:lvl w:ilvl="0">
      <w:lvlJc w:val="left"/>
      <w:lvlText w:val="•"/>
      <w:numFmt w:val="bullet"/>
      <w:start w:val="1"/>
    </w:lvl>
  </w:abstractNum>
  <w:abstractNum w:abstractNumId="36">
    <w:nsid w:val="17180B0B"/>
    <w:multiLevelType w:val="hybridMultilevel"/>
    <w:lvl w:ilvl="0">
      <w:lvlJc w:val="left"/>
      <w:lvlText w:val="•"/>
      <w:numFmt w:val="bullet"/>
      <w:start w:val="1"/>
    </w:lvl>
  </w:abstractNum>
  <w:abstractNum w:abstractNumId="37">
    <w:nsid w:val="579328B9"/>
    <w:multiLevelType w:val="hybridMultilevel"/>
    <w:lvl w:ilvl="0">
      <w:lvlJc w:val="left"/>
      <w:lvlText w:val="•"/>
      <w:numFmt w:val="bullet"/>
      <w:start w:val="1"/>
    </w:lvl>
  </w:abstractNum>
  <w:abstractNum w:abstractNumId="38">
    <w:nsid w:val="5D205E20"/>
    <w:multiLevelType w:val="hybridMultilevel"/>
    <w:lvl w:ilvl="0">
      <w:lvlJc w:val="left"/>
      <w:lvlText w:val="•"/>
      <w:numFmt w:val="bullet"/>
      <w:start w:val="1"/>
    </w:lvl>
  </w:abstractNum>
  <w:abstractNum w:abstractNumId="39">
    <w:nsid w:val="11CCA8BA"/>
    <w:multiLevelType w:val="hybridMultilevel"/>
    <w:lvl w:ilvl="0">
      <w:lvlJc w:val="left"/>
      <w:lvlText w:val="•"/>
      <w:numFmt w:val="bullet"/>
      <w:start w:val="1"/>
    </w:lvl>
  </w:abstractNum>
  <w:abstractNum w:abstractNumId="40">
    <w:nsid w:val="4D32AB86"/>
    <w:multiLevelType w:val="hybridMultilevel"/>
    <w:lvl w:ilvl="0">
      <w:lvlJc w:val="left"/>
      <w:lvlText w:val="•"/>
      <w:numFmt w:val="bullet"/>
      <w:start w:val="1"/>
    </w:lvl>
  </w:abstractNum>
  <w:abstractNum w:abstractNumId="41">
    <w:nsid w:val="3F07ACC3"/>
    <w:multiLevelType w:val="hybridMultilevel"/>
    <w:lvl w:ilvl="0">
      <w:lvlJc w:val="left"/>
      <w:lvlText w:val="•"/>
      <w:numFmt w:val="bullet"/>
      <w:start w:val="1"/>
    </w:lvl>
  </w:abstractNum>
  <w:abstractNum w:abstractNumId="42">
    <w:nsid w:val="6B47F63E"/>
    <w:multiLevelType w:val="hybridMultilevel"/>
    <w:lvl w:ilvl="0">
      <w:lvlJc w:val="left"/>
      <w:lvlText w:val="•"/>
      <w:numFmt w:val="bullet"/>
      <w:start w:val="1"/>
    </w:lvl>
  </w:abstractNum>
  <w:abstractNum w:abstractNumId="43">
    <w:nsid w:val="5CB44A05"/>
    <w:multiLevelType w:val="hybridMultilevel"/>
    <w:lvl w:ilvl="0">
      <w:lvlJc w:val="left"/>
      <w:lvlText w:val="•"/>
      <w:numFmt w:val="bullet"/>
      <w:start w:val="1"/>
    </w:lvl>
  </w:abstractNum>
  <w:abstractNum w:abstractNumId="44">
    <w:nsid w:val="16CF80F1"/>
    <w:multiLevelType w:val="hybridMultilevel"/>
    <w:lvl w:ilvl="0">
      <w:lvlJc w:val="left"/>
      <w:lvlText w:val="•"/>
      <w:numFmt w:val="bullet"/>
      <w:start w:val="1"/>
    </w:lvl>
  </w:abstractNum>
  <w:abstractNum w:abstractNumId="45">
    <w:nsid w:val="1C695DEC"/>
    <w:multiLevelType w:val="hybridMultilevel"/>
    <w:lvl w:ilvl="0">
      <w:lvlJc w:val="left"/>
      <w:lvlText w:val="•"/>
      <w:numFmt w:val="bullet"/>
      <w:start w:val="1"/>
    </w:lvl>
  </w:abstractNum>
  <w:abstractNum w:abstractNumId="46">
    <w:nsid w:val="3FCFAED9"/>
    <w:multiLevelType w:val="hybridMultilevel"/>
    <w:lvl w:ilvl="0">
      <w:lvlJc w:val="left"/>
      <w:lvlText w:val="•"/>
      <w:numFmt w:val="bullet"/>
      <w:start w:val="1"/>
    </w:lvl>
  </w:abstractNum>
  <w:abstractNum w:abstractNumId="47">
    <w:nsid w:val="F856867"/>
    <w:multiLevelType w:val="hybridMultilevel"/>
    <w:lvl w:ilvl="0">
      <w:lvlJc w:val="left"/>
      <w:lvlText w:val="•"/>
      <w:numFmt w:val="bullet"/>
      <w:start w:val="1"/>
    </w:lvl>
  </w:abstractNum>
  <w:abstractNum w:abstractNumId="48">
    <w:nsid w:val="11B1CC33"/>
    <w:multiLevelType w:val="hybridMultilevel"/>
    <w:lvl w:ilvl="0">
      <w:lvlJc w:val="left"/>
      <w:lvlText w:val="•"/>
      <w:numFmt w:val="bullet"/>
      <w:start w:val="1"/>
    </w:lvl>
  </w:abstractNum>
  <w:abstractNum w:abstractNumId="49">
    <w:nsid w:val="2E22FBB7"/>
    <w:multiLevelType w:val="hybridMultilevel"/>
    <w:lvl w:ilvl="0">
      <w:lvlJc w:val="left"/>
      <w:lvlText w:val="•"/>
      <w:numFmt w:val="bullet"/>
      <w:start w:val="1"/>
    </w:lvl>
  </w:abstractNum>
  <w:abstractNum w:abstractNumId="50">
    <w:nsid w:val="29934699"/>
    <w:multiLevelType w:val="hybridMultilevel"/>
    <w:lvl w:ilvl="0">
      <w:lvlJc w:val="left"/>
      <w:lvlText w:val="•"/>
      <w:numFmt w:val="bullet"/>
      <w:start w:val="1"/>
    </w:lvl>
  </w:abstractNum>
  <w:abstractNum w:abstractNumId="51">
    <w:nsid w:val="77485850"/>
    <w:multiLevelType w:val="hybridMultilevel"/>
    <w:lvl w:ilvl="0">
      <w:lvlJc w:val="left"/>
      <w:lvlText w:val="•"/>
      <w:numFmt w:val="bullet"/>
      <w:start w:val="1"/>
    </w:lvl>
  </w:abstractNum>
  <w:abstractNum w:abstractNumId="52">
    <w:nsid w:val="744939A3"/>
    <w:multiLevelType w:val="hybridMultilevel"/>
    <w:lvl w:ilvl="0">
      <w:lvlJc w:val="left"/>
      <w:lvlText w:val="•"/>
      <w:numFmt w:val="bullet"/>
      <w:start w:val="1"/>
    </w:lvl>
  </w:abstractNum>
  <w:abstractNum w:abstractNumId="53">
    <w:nsid w:val="4FA0D2E3"/>
    <w:multiLevelType w:val="hybridMultilevel"/>
    <w:lvl w:ilvl="0">
      <w:lvlJc w:val="left"/>
      <w:lvlText w:val="•"/>
      <w:numFmt w:val="bullet"/>
      <w:start w:val="1"/>
    </w:lvl>
  </w:abstractNum>
  <w:abstractNum w:abstractNumId="54">
    <w:nsid w:val="6B1D2C14"/>
    <w:multiLevelType w:val="hybridMultilevel"/>
    <w:lvl w:ilvl="0">
      <w:lvlJc w:val="left"/>
      <w:lvlText w:val="•"/>
      <w:numFmt w:val="bullet"/>
      <w:start w:val="1"/>
    </w:lvl>
  </w:abstractNum>
  <w:abstractNum w:abstractNumId="55">
    <w:nsid w:val="68B867D3"/>
    <w:multiLevelType w:val="hybridMultilevel"/>
    <w:lvl w:ilvl="0">
      <w:lvlJc w:val="left"/>
      <w:lvlText w:val="•"/>
      <w:numFmt w:val="bullet"/>
      <w:start w:val="1"/>
    </w:lvl>
  </w:abstractNum>
  <w:abstractNum w:abstractNumId="56">
    <w:nsid w:val="3F7F5DD9"/>
    <w:multiLevelType w:val="hybridMultilevel"/>
    <w:lvl w:ilvl="0">
      <w:lvlJc w:val="left"/>
      <w:lvlText w:val="•"/>
      <w:numFmt w:val="bullet"/>
      <w:start w:val="1"/>
    </w:lvl>
  </w:abstractNum>
  <w:abstractNum w:abstractNumId="57">
    <w:nsid w:val="2AE05A34"/>
    <w:multiLevelType w:val="hybridMultilevel"/>
    <w:lvl w:ilvl="0">
      <w:lvlJc w:val="left"/>
      <w:lvlText w:val="•"/>
      <w:numFmt w:val="bullet"/>
      <w:start w:val="1"/>
    </w:lvl>
  </w:abstractNum>
  <w:abstractNum w:abstractNumId="58">
    <w:nsid w:val="32794FF7"/>
    <w:multiLevelType w:val="hybridMultilevel"/>
    <w:lvl w:ilvl="0">
      <w:lvlJc w:val="left"/>
      <w:lvlText w:val="•"/>
      <w:numFmt w:val="bullet"/>
      <w:start w:val="1"/>
    </w:lvl>
  </w:abstractNum>
  <w:abstractNum w:abstractNumId="59">
    <w:nsid w:val="5454945E"/>
    <w:multiLevelType w:val="hybridMultilevel"/>
    <w:lvl w:ilvl="0">
      <w:lvlJc w:val="left"/>
      <w:lvlText w:val="•"/>
      <w:numFmt w:val="bullet"/>
      <w:start w:val="1"/>
    </w:lvl>
  </w:abstractNum>
  <w:abstractNum w:abstractNumId="60">
    <w:nsid w:val="4DEFDFA0"/>
    <w:multiLevelType w:val="hybridMultilevel"/>
    <w:lvl w:ilvl="0">
      <w:lvlJc w:val="left"/>
      <w:lvlText w:val="•"/>
      <w:numFmt w:val="bullet"/>
      <w:start w:val="1"/>
    </w:lvl>
  </w:abstractNum>
  <w:abstractNum w:abstractNumId="61">
    <w:nsid w:val="2123D5F2"/>
    <w:multiLevelType w:val="hybridMultilevel"/>
    <w:lvl w:ilvl="0">
      <w:lvlJc w:val="left"/>
      <w:lvlText w:val="•"/>
      <w:numFmt w:val="bullet"/>
      <w:start w:val="1"/>
    </w:lvl>
  </w:abstractNum>
  <w:abstractNum w:abstractNumId="62">
    <w:nsid w:val="135B8110"/>
    <w:multiLevelType w:val="hybridMultilevel"/>
    <w:lvl w:ilvl="0">
      <w:lvlJc w:val="left"/>
      <w:lvlText w:val="•"/>
      <w:numFmt w:val="bullet"/>
      <w:start w:val="1"/>
    </w:lvl>
  </w:abstractNum>
  <w:abstractNum w:abstractNumId="63">
    <w:nsid w:val="94927A8"/>
    <w:multiLevelType w:val="hybridMultilevel"/>
    <w:lvl w:ilvl="0">
      <w:lvlJc w:val="left"/>
      <w:lvlText w:val="•"/>
      <w:numFmt w:val="bullet"/>
      <w:start w:val="1"/>
    </w:lvl>
  </w:abstractNum>
  <w:abstractNum w:abstractNumId="64">
    <w:nsid w:val="DCDF8F6"/>
    <w:multiLevelType w:val="hybridMultilevel"/>
    <w:lvl w:ilvl="0">
      <w:lvlJc w:val="left"/>
      <w:lvlText w:val="•"/>
      <w:numFmt w:val="bullet"/>
      <w:start w:val="1"/>
    </w:lvl>
  </w:abstractNum>
  <w:abstractNum w:abstractNumId="65">
    <w:nsid w:val="52D7B105"/>
    <w:multiLevelType w:val="hybridMultilevel"/>
    <w:lvl w:ilvl="0">
      <w:lvlJc w:val="left"/>
      <w:lvlText w:val="(%1)"/>
      <w:numFmt w:val="decimal"/>
      <w:start w:val="1"/>
    </w:lvl>
  </w:abstractNum>
  <w:abstractNum w:abstractNumId="66">
    <w:nsid w:val="2E8A6394"/>
    <w:multiLevelType w:val="hybridMultilevel"/>
    <w:lvl w:ilvl="0">
      <w:lvlJc w:val="left"/>
      <w:lvlText w:val="•"/>
      <w:numFmt w:val="bullet"/>
      <w:start w:val="1"/>
    </w:lvl>
  </w:abstractNum>
  <w:abstractNum w:abstractNumId="67">
    <w:nsid w:val="24E60401"/>
    <w:multiLevelType w:val="hybridMultilevel"/>
    <w:lvl w:ilvl="0">
      <w:lvlJc w:val="left"/>
      <w:lvlText w:val="•"/>
      <w:numFmt w:val="bullet"/>
      <w:start w:val="1"/>
    </w:lvl>
  </w:abstractNum>
  <w:abstractNum w:abstractNumId="68">
    <w:nsid w:val="2A6AD9BE"/>
    <w:multiLevelType w:val="hybridMultilevel"/>
    <w:lvl w:ilvl="0">
      <w:lvlJc w:val="left"/>
      <w:lvlText w:val="•"/>
      <w:numFmt w:val="bullet"/>
      <w:start w:val="1"/>
    </w:lvl>
  </w:abstractNum>
  <w:abstractNum w:abstractNumId="69">
    <w:nsid w:val="BAAC1B4"/>
    <w:multiLevelType w:val="hybridMultilevel"/>
    <w:lvl w:ilvl="0">
      <w:lvlJc w:val="left"/>
      <w:lvlText w:val="•"/>
      <w:numFmt w:val="bullet"/>
      <w:start w:val="1"/>
    </w:lvl>
  </w:abstractNum>
  <w:abstractNum w:abstractNumId="70">
    <w:nsid w:val="36B2ACBC"/>
    <w:multiLevelType w:val="hybridMultilevel"/>
    <w:lvl w:ilvl="0">
      <w:lvlJc w:val="left"/>
      <w:lvlText w:val="•"/>
      <w:numFmt w:val="bullet"/>
      <w:start w:val="1"/>
    </w:lvl>
  </w:abstractNum>
  <w:abstractNum w:abstractNumId="71">
    <w:nsid w:val="779D8544"/>
    <w:multiLevelType w:val="hybridMultilevel"/>
    <w:lvl w:ilvl="0">
      <w:lvlJc w:val="left"/>
      <w:lvlText w:val="(%1)"/>
      <w:numFmt w:val="decimal"/>
      <w:start w:val="1"/>
    </w:lvl>
  </w:abstractNum>
  <w:abstractNum w:abstractNumId="72">
    <w:nsid w:val="4AB26E78"/>
    <w:multiLevelType w:val="hybridMultilevel"/>
    <w:lvl w:ilvl="0">
      <w:lvlJc w:val="left"/>
      <w:lvlText w:val="(%1)"/>
      <w:numFmt w:val="decimal"/>
      <w:start w:val="1"/>
    </w:lvl>
  </w:abstractNum>
  <w:abstractNum w:abstractNumId="73">
    <w:nsid w:val="21FAA2FA"/>
    <w:multiLevelType w:val="hybridMultilevel"/>
    <w:lvl w:ilvl="0">
      <w:lvlJc w:val="left"/>
      <w:lvlText w:val="*"/>
      <w:numFmt w:val="bullet"/>
      <w:start w:val="1"/>
    </w:lvl>
  </w:abstractNum>
  <w:abstractNum w:abstractNumId="74">
    <w:nsid w:val="5451CF49"/>
    <w:multiLevelType w:val="hybridMultilevel"/>
    <w:lvl w:ilvl="0">
      <w:lvlJc w:val="left"/>
      <w:lvlText w:val="•"/>
      <w:numFmt w:val="bullet"/>
      <w:start w:val="1"/>
    </w:lvl>
  </w:abstractNum>
  <w:abstractNum w:abstractNumId="75">
    <w:nsid w:val="6181EF69"/>
    <w:multiLevelType w:val="hybridMultilevel"/>
    <w:lvl w:ilvl="0">
      <w:lvlJc w:val="left"/>
      <w:lvlText w:val="•"/>
      <w:numFmt w:val="bullet"/>
      <w:start w:val="1"/>
    </w:lvl>
  </w:abstractNum>
  <w:abstractNum w:abstractNumId="76">
    <w:nsid w:val="3E6400E6"/>
    <w:multiLevelType w:val="hybridMultilevel"/>
    <w:lvl w:ilvl="0">
      <w:lvlJc w:val="left"/>
      <w:lvlText w:val="•"/>
      <w:numFmt w:val="bullet"/>
      <w:start w:val="1"/>
    </w:lvl>
  </w:abstractNum>
  <w:abstractNum w:abstractNumId="77">
    <w:nsid w:val="14217E23"/>
    <w:multiLevelType w:val="hybridMultilevel"/>
    <w:lvl w:ilvl="0">
      <w:lvlJc w:val="left"/>
      <w:lvlText w:val="•"/>
      <w:numFmt w:val="bullet"/>
      <w:start w:val="1"/>
    </w:lvl>
  </w:abstractNum>
  <w:abstractNum w:abstractNumId="78">
    <w:nsid w:val="710757D0"/>
    <w:multiLevelType w:val="hybridMultilevel"/>
    <w:lvl w:ilvl="0">
      <w:lvlJc w:val="left"/>
      <w:lvlText w:val="•"/>
      <w:numFmt w:val="bullet"/>
      <w:start w:val="1"/>
    </w:lvl>
  </w:abstractNum>
  <w:abstractNum w:abstractNumId="79">
    <w:nsid w:val="5015CD1A"/>
    <w:multiLevelType w:val="hybridMultilevel"/>
    <w:lvl w:ilvl="0">
      <w:lvlJc w:val="left"/>
      <w:lvlText w:val="•"/>
      <w:numFmt w:val="bullet"/>
      <w:start w:val="1"/>
    </w:lvl>
  </w:abstractNum>
  <w:abstractNum w:abstractNumId="80">
    <w:nsid w:val="424479DA"/>
    <w:multiLevelType w:val="hybridMultilevel"/>
    <w:lvl w:ilvl="0">
      <w:lvlJc w:val="left"/>
      <w:lvlText w:val="%1."/>
      <w:numFmt w:val="decimal"/>
      <w:start w:val="1"/>
    </w:lvl>
  </w:abstractNum>
  <w:abstractNum w:abstractNumId="81">
    <w:nsid w:val="1A9A9E69"/>
    <w:multiLevelType w:val="hybridMultilevel"/>
    <w:lvl w:ilvl="0">
      <w:lvlJc w:val="left"/>
      <w:lvlText w:val="%1."/>
      <w:numFmt w:val="decimal"/>
      <w:start w:val="3"/>
    </w:lvl>
  </w:abstractNum>
  <w:abstractNum w:abstractNumId="82">
    <w:nsid w:val="475E256A"/>
    <w:multiLevelType w:val="hybridMultilevel"/>
    <w:lvl w:ilvl="0">
      <w:lvlJc w:val="left"/>
      <w:lvlText w:val="%1."/>
      <w:numFmt w:val="decimal"/>
      <w:start w:val="1"/>
    </w:lvl>
  </w:abstractNum>
  <w:abstractNum w:abstractNumId="83">
    <w:nsid w:val="368DB37E"/>
    <w:multiLevelType w:val="hybridMultilevel"/>
    <w:lvl w:ilvl="0">
      <w:lvlJc w:val="left"/>
      <w:lvlText w:val="%1."/>
      <w:numFmt w:val="decimal"/>
      <w:start w:val="2"/>
    </w:lvl>
  </w:abstractNum>
  <w:abstractNum w:abstractNumId="84">
    <w:nsid w:val="6A3B714C"/>
    <w:multiLevelType w:val="hybridMultilevel"/>
    <w:lvl w:ilvl="0">
      <w:lvlJc w:val="left"/>
      <w:lvlText w:val="•"/>
      <w:numFmt w:val="bullet"/>
      <w:start w:val="1"/>
    </w:lvl>
  </w:abstractNum>
  <w:abstractNum w:abstractNumId="85">
    <w:nsid w:val="327B517E"/>
    <w:multiLevelType w:val="hybridMultilevel"/>
    <w:lvl w:ilvl="0">
      <w:lvlJc w:val="left"/>
      <w:lvlText w:val="•"/>
      <w:numFmt w:val="bullet"/>
      <w:start w:val="1"/>
    </w:lvl>
  </w:abstractNum>
  <w:abstractNum w:abstractNumId="86">
    <w:nsid w:val="1F461B51"/>
    <w:multiLevelType w:val="hybridMultilevel"/>
    <w:lvl w:ilvl="0">
      <w:lvlJc w:val="left"/>
      <w:lvlText w:val="•"/>
      <w:numFmt w:val="bullet"/>
      <w:start w:val="1"/>
    </w:lvl>
  </w:abstractNum>
  <w:abstractNum w:abstractNumId="87">
    <w:nsid w:val="29BACF25"/>
    <w:multiLevelType w:val="hybridMultilevel"/>
    <w:lvl w:ilvl="0">
      <w:lvlJc w:val="left"/>
      <w:lvlText w:val="•"/>
      <w:numFmt w:val="bullet"/>
      <w:start w:val="1"/>
    </w:lvl>
  </w:abstractNum>
  <w:abstractNum w:abstractNumId="88">
    <w:nsid w:val="5D5BABB3"/>
    <w:multiLevelType w:val="hybridMultilevel"/>
    <w:lvl w:ilvl="0">
      <w:lvlJc w:val="left"/>
      <w:lvlText w:val="•"/>
      <w:numFmt w:val="bullet"/>
      <w:start w:val="1"/>
    </w:lvl>
  </w:abstractNum>
  <w:abstractNum w:abstractNumId="89">
    <w:nsid w:val="51BF6B48"/>
    <w:multiLevelType w:val="hybridMultilevel"/>
    <w:lvl w:ilvl="0">
      <w:lvlJc w:val="left"/>
      <w:lvlText w:val="•"/>
      <w:numFmt w:val="bullet"/>
      <w:start w:val="1"/>
    </w:lvl>
  </w:abstractNum>
  <w:abstractNum w:abstractNumId="90">
    <w:nsid w:val="7E0F6384"/>
    <w:multiLevelType w:val="hybridMultilevel"/>
    <w:lvl w:ilvl="0">
      <w:lvlJc w:val="left"/>
      <w:lvlText w:val="(%1)"/>
      <w:numFmt w:val="decimal"/>
      <w:start w:val="1"/>
    </w:lvl>
  </w:abstractNum>
  <w:abstractNum w:abstractNumId="91">
    <w:nsid w:val="2B4B8B53"/>
    <w:multiLevelType w:val="hybridMultilevel"/>
    <w:lvl w:ilvl="0">
      <w:lvlJc w:val="left"/>
      <w:lvlText w:val="•"/>
      <w:numFmt w:val="bullet"/>
      <w:start w:val="1"/>
    </w:lvl>
  </w:abstractNum>
  <w:abstractNum w:abstractNumId="92">
    <w:nsid w:val="72E3413A"/>
    <w:multiLevelType w:val="hybridMultilevel"/>
    <w:lvl w:ilvl="0">
      <w:lvlJc w:val="left"/>
      <w:lvlText w:val="•"/>
      <w:numFmt w:val="bullet"/>
      <w:start w:val="1"/>
    </w:lvl>
  </w:abstractNum>
  <w:abstractNum w:abstractNumId="93">
    <w:nsid w:val="116AE494"/>
    <w:multiLevelType w:val="hybridMultilevel"/>
    <w:lvl w:ilvl="0">
      <w:lvlJc w:val="left"/>
      <w:lvlText w:val="•"/>
      <w:numFmt w:val="bullet"/>
      <w:start w:val="1"/>
    </w:lvl>
  </w:abstractNum>
  <w:abstractNum w:abstractNumId="94">
    <w:nsid w:val="3494B2FB"/>
    <w:multiLevelType w:val="hybridMultilevel"/>
    <w:lvl w:ilvl="0">
      <w:lvlJc w:val="left"/>
      <w:lvlText w:val="•"/>
      <w:numFmt w:val="bullet"/>
      <w:start w:val="1"/>
    </w:lvl>
  </w:abstractNum>
  <w:abstractNum w:abstractNumId="95">
    <w:nsid w:val="B13A31"/>
    <w:multiLevelType w:val="hybridMultilevel"/>
    <w:lvl w:ilvl="0">
      <w:lvlJc w:val="left"/>
      <w:lvlText w:val="%1."/>
      <w:numFmt w:val="decimal"/>
      <w:start w:val="1"/>
    </w:lvl>
    <w:lvl w:ilvl="1">
      <w:lvlJc w:val="left"/>
      <w:lvlText w:val="•"/>
      <w:numFmt w:val="bullet"/>
      <w:start w:val="1"/>
    </w:lvl>
  </w:abstractNum>
  <w:abstractNum w:abstractNumId="96">
    <w:nsid w:val="64429599"/>
    <w:multiLevelType w:val="hybridMultilevel"/>
    <w:lvl w:ilvl="0">
      <w:lvlJc w:val="left"/>
      <w:lvlText w:val="•"/>
      <w:numFmt w:val="bullet"/>
      <w:start w:val="1"/>
    </w:lvl>
  </w:abstractNum>
  <w:abstractNum w:abstractNumId="97">
    <w:nsid w:val="631F1690"/>
    <w:multiLevelType w:val="hybridMultilevel"/>
    <w:lvl w:ilvl="0">
      <w:lvlJc w:val="left"/>
      <w:lvlText w:val="•"/>
      <w:numFmt w:val="bullet"/>
      <w:start w:val="1"/>
    </w:lvl>
  </w:abstractNum>
  <w:abstractNum w:abstractNumId="98">
    <w:nsid w:val="25973E32"/>
    <w:multiLevelType w:val="hybridMultilevel"/>
    <w:lvl w:ilvl="0">
      <w:lvlJc w:val="left"/>
      <w:lvlText w:val="•"/>
      <w:numFmt w:val="bullet"/>
      <w:start w:val="1"/>
    </w:lvl>
  </w:abstractNum>
  <w:abstractNum w:abstractNumId="99">
    <w:nsid w:val="EAD6F57"/>
    <w:multiLevelType w:val="hybridMultilevel"/>
    <w:lvl w:ilvl="0">
      <w:lvlJc w:val="left"/>
      <w:lvlText w:val="•"/>
      <w:numFmt w:val="bullet"/>
      <w:start w:val="1"/>
    </w:lvl>
  </w:abstractNum>
  <w:abstractNum w:abstractNumId="100">
    <w:nsid w:val="6EC9D844"/>
    <w:multiLevelType w:val="hybridMultilevel"/>
    <w:lvl w:ilvl="0">
      <w:lvlJc w:val="left"/>
      <w:lvlText w:val="•"/>
      <w:numFmt w:val="bullet"/>
      <w:start w:val="1"/>
    </w:lvl>
  </w:abstractNum>
  <w:abstractNum w:abstractNumId="101">
    <w:nsid w:val="5C49EAEE"/>
    <w:multiLevelType w:val="hybridMultilevel"/>
    <w:lvl w:ilvl="0">
      <w:lvlJc w:val="left"/>
      <w:lvlText w:val="•"/>
      <w:numFmt w:val="bullet"/>
      <w:start w:val="1"/>
    </w:lvl>
  </w:abstractNum>
  <w:abstractNum w:abstractNumId="102">
    <w:nsid w:val="64AF49B"/>
    <w:multiLevelType w:val="hybridMultilevel"/>
    <w:lvl w:ilvl="0">
      <w:lvlJc w:val="left"/>
      <w:lvlText w:val="•"/>
      <w:numFmt w:val="bullet"/>
      <w:start w:val="1"/>
    </w:lvl>
  </w:abstractNum>
  <w:abstractNum w:abstractNumId="103">
    <w:nsid w:val="397C46BC"/>
    <w:multiLevelType w:val="hybridMultilevel"/>
    <w:lvl w:ilvl="0">
      <w:lvlJc w:val="left"/>
      <w:lvlText w:val="•"/>
      <w:numFmt w:val="bullet"/>
      <w:start w:val="1"/>
    </w:lvl>
  </w:abstractNum>
  <w:abstractNum w:abstractNumId="104">
    <w:nsid w:val="7E448DE9"/>
    <w:multiLevelType w:val="hybridMultilevel"/>
    <w:lvl w:ilvl="0">
      <w:lvlJc w:val="left"/>
      <w:lvlText w:val="•"/>
      <w:numFmt w:val="bullet"/>
      <w:start w:val="1"/>
    </w:lvl>
  </w:abstractNum>
  <w:abstractNum w:abstractNumId="105">
    <w:nsid w:val="5A9CC3E5"/>
    <w:multiLevelType w:val="hybridMultilevel"/>
    <w:lvl w:ilvl="0">
      <w:lvlJc w:val="left"/>
      <w:lvlText w:val="•"/>
      <w:numFmt w:val="bullet"/>
      <w:start w:val="1"/>
    </w:lvl>
  </w:abstractNum>
  <w:abstractNum w:abstractNumId="106">
    <w:nsid w:val="1AFE3625"/>
    <w:multiLevelType w:val="hybridMultilevel"/>
    <w:lvl w:ilvl="0">
      <w:lvlJc w:val="left"/>
      <w:lvlText w:val="•"/>
      <w:numFmt w:val="bullet"/>
      <w:start w:val="1"/>
    </w:lvl>
  </w:abstractNum>
  <w:abstractNum w:abstractNumId="107">
    <w:nsid w:val="3CA88ECF"/>
    <w:multiLevelType w:val="hybridMultilevel"/>
    <w:lvl w:ilvl="0">
      <w:lvlJc w:val="left"/>
      <w:lvlText w:val="•"/>
      <w:numFmt w:val="bullet"/>
      <w:start w:val="1"/>
    </w:lvl>
  </w:abstractNum>
  <w:abstractNum w:abstractNumId="108">
    <w:nsid w:val="6EBE4208"/>
    <w:multiLevelType w:val="hybridMultilevel"/>
    <w:lvl w:ilvl="0">
      <w:lvlJc w:val="left"/>
      <w:lvlText w:val="•"/>
      <w:numFmt w:val="bullet"/>
      <w:start w:val="1"/>
    </w:lvl>
  </w:abstractNum>
  <w:abstractNum w:abstractNumId="109">
    <w:nsid w:val="C058DF5"/>
    <w:multiLevelType w:val="hybridMultilevel"/>
    <w:lvl w:ilvl="0">
      <w:lvlJc w:val="left"/>
      <w:lvlText w:val="•"/>
      <w:numFmt w:val="bullet"/>
      <w:start w:val="1"/>
    </w:lvl>
  </w:abstractNum>
  <w:abstractNum w:abstractNumId="110">
    <w:nsid w:val="CBE5BE9"/>
    <w:multiLevelType w:val="hybridMultilevel"/>
    <w:lvl w:ilvl="0">
      <w:lvlJc w:val="left"/>
      <w:lvlText w:val="•"/>
      <w:numFmt w:val="bullet"/>
      <w:start w:val="1"/>
    </w:lvl>
  </w:abstractNum>
  <w:abstractNum w:abstractNumId="111">
    <w:nsid w:val="3102BBE2"/>
    <w:multiLevelType w:val="hybridMultilevel"/>
    <w:lvl w:ilvl="0">
      <w:lvlJc w:val="left"/>
      <w:lvlText w:val="•"/>
      <w:numFmt w:val="bullet"/>
      <w:start w:val="1"/>
    </w:lvl>
  </w:abstractNum>
  <w:abstractNum w:abstractNumId="112">
    <w:nsid w:val="26A02C5E"/>
    <w:multiLevelType w:val="hybridMultilevel"/>
    <w:lvl w:ilvl="0">
      <w:lvlJc w:val="left"/>
      <w:lvlText w:val="•"/>
      <w:numFmt w:val="bullet"/>
      <w:start w:val="1"/>
    </w:lvl>
  </w:abstractNum>
  <w:abstractNum w:abstractNumId="113">
    <w:nsid w:val="541C8153"/>
    <w:multiLevelType w:val="hybridMultilevel"/>
    <w:lvl w:ilvl="0">
      <w:lvlJc w:val="left"/>
      <w:lvlText w:val="•"/>
      <w:numFmt w:val="bullet"/>
      <w:start w:val="1"/>
    </w:lvl>
  </w:abstractNum>
  <w:abstractNum w:abstractNumId="114">
    <w:nsid w:val="67906F60"/>
    <w:multiLevelType w:val="hybridMultilevel"/>
    <w:lvl w:ilvl="0">
      <w:lvlJc w:val="left"/>
      <w:lvlText w:val="•"/>
      <w:numFmt w:val="bullet"/>
      <w:start w:val="1"/>
    </w:lvl>
  </w:abstractNum>
  <w:abstractNum w:abstractNumId="115">
    <w:nsid w:val="10DB9DAA"/>
    <w:multiLevelType w:val="hybridMultilevel"/>
    <w:lvl w:ilvl="0">
      <w:lvlJc w:val="left"/>
      <w:lvlText w:val="•"/>
      <w:numFmt w:val="bullet"/>
      <w:start w:val="1"/>
    </w:lvl>
  </w:abstractNum>
  <w:abstractNum w:abstractNumId="116">
    <w:nsid w:val="697D2D2"/>
    <w:multiLevelType w:val="hybridMultilevel"/>
    <w:lvl w:ilvl="0">
      <w:lvlJc w:val="left"/>
      <w:lvlText w:val="•"/>
      <w:numFmt w:val="bullet"/>
      <w:start w:val="1"/>
    </w:lvl>
  </w:abstractNum>
  <w:abstractNum w:abstractNumId="117">
    <w:nsid w:val="6D68AB2"/>
    <w:multiLevelType w:val="hybridMultilevel"/>
    <w:lvl w:ilvl="0">
      <w:lvlJc w:val="left"/>
      <w:lvlText w:val="•"/>
      <w:numFmt w:val="bullet"/>
      <w:start w:val="1"/>
    </w:lvl>
  </w:abstractNum>
  <w:abstractNum w:abstractNumId="118">
    <w:nsid w:val="3A966CD0"/>
    <w:multiLevelType w:val="hybridMultilevel"/>
    <w:lvl w:ilvl="0">
      <w:lvlJc w:val="left"/>
      <w:lvlText w:val="•"/>
      <w:numFmt w:val="bullet"/>
      <w:start w:val="1"/>
    </w:lvl>
  </w:abstractNum>
  <w:abstractNum w:abstractNumId="119">
    <w:nsid w:val="63F37E85"/>
    <w:multiLevelType w:val="hybridMultilevel"/>
    <w:lvl w:ilvl="0">
      <w:lvlJc w:val="left"/>
      <w:lvlText w:val="•"/>
      <w:numFmt w:val="bullet"/>
      <w:start w:val="1"/>
    </w:lvl>
  </w:abstractNum>
  <w:abstractNum w:abstractNumId="120">
    <w:nsid w:val="5895F5FA"/>
    <w:multiLevelType w:val="hybridMultilevel"/>
    <w:lvl w:ilvl="0">
      <w:lvlJc w:val="left"/>
      <w:lvlText w:val="•"/>
      <w:numFmt w:val="bullet"/>
      <w:start w:val="1"/>
    </w:lvl>
  </w:abstractNum>
  <w:abstractNum w:abstractNumId="121">
    <w:nsid w:val="38A5D054"/>
    <w:multiLevelType w:val="hybridMultilevel"/>
    <w:lvl w:ilvl="0">
      <w:lvlJc w:val="left"/>
      <w:lvlText w:val="•"/>
      <w:numFmt w:val="bullet"/>
      <w:start w:val="1"/>
    </w:lvl>
  </w:abstractNum>
  <w:abstractNum w:abstractNumId="122">
    <w:nsid w:val="F3F09D8"/>
    <w:multiLevelType w:val="hybridMultilevel"/>
    <w:lvl w:ilvl="0">
      <w:lvlJc w:val="left"/>
      <w:lvlText w:val="•"/>
      <w:numFmt w:val="bullet"/>
      <w:start w:val="1"/>
    </w:lvl>
  </w:abstractNum>
  <w:abstractNum w:abstractNumId="123">
    <w:nsid w:val="4B793735"/>
    <w:multiLevelType w:val="hybridMultilevel"/>
    <w:lvl w:ilvl="0">
      <w:lvlJc w:val="left"/>
      <w:lvlText w:val="•"/>
      <w:numFmt w:val="bullet"/>
      <w:start w:val="1"/>
    </w:lvl>
  </w:abstractNum>
  <w:abstractNum w:abstractNumId="124">
    <w:nsid w:val="4A10B4E8"/>
    <w:multiLevelType w:val="hybridMultilevel"/>
    <w:lvl w:ilvl="0">
      <w:lvlJc w:val="left"/>
      <w:lvlText w:val="•"/>
      <w:numFmt w:val="bullet"/>
      <w:start w:val="1"/>
    </w:lvl>
  </w:abstractNum>
  <w:abstractNum w:abstractNumId="125">
    <w:nsid w:val="43D3BCD4"/>
    <w:multiLevelType w:val="hybridMultilevel"/>
    <w:lvl w:ilvl="0">
      <w:lvlJc w:val="left"/>
      <w:lvlText w:val="(%1)"/>
      <w:numFmt w:val="decimal"/>
      <w:start w:val="1"/>
    </w:lvl>
  </w:abstractNum>
  <w:abstractNum w:abstractNumId="126">
    <w:nsid w:val="4C2A7166"/>
    <w:multiLevelType w:val="hybridMultilevel"/>
    <w:lvl w:ilvl="0">
      <w:lvlJc w:val="left"/>
      <w:lvlText w:val="•"/>
      <w:numFmt w:val="bullet"/>
      <w:start w:val="1"/>
    </w:lvl>
  </w:abstractNum>
  <w:abstractNum w:abstractNumId="127">
    <w:nsid w:val="2E534A82"/>
    <w:multiLevelType w:val="hybridMultilevel"/>
    <w:lvl w:ilvl="0">
      <w:lvlJc w:val="left"/>
      <w:lvlText w:val="•"/>
      <w:numFmt w:val="bullet"/>
      <w:start w:val="1"/>
    </w:lvl>
    <w:lvl w:ilvl="1">
      <w:lvlJc w:val="left"/>
      <w:lvlText w:val="."/>
      <w:numFmt w:val="bullet"/>
      <w:start w:val="1"/>
    </w:lvl>
  </w:abstractNum>
  <w:abstractNum w:abstractNumId="128">
    <w:nsid w:val="26F2D364"/>
    <w:multiLevelType w:val="hybridMultilevel"/>
    <w:lvl w:ilvl="0">
      <w:lvlJc w:val="left"/>
      <w:lvlText w:val="•"/>
      <w:numFmt w:val="bullet"/>
      <w:start w:val="1"/>
    </w:lvl>
  </w:abstractNum>
  <w:abstractNum w:abstractNumId="129">
    <w:nsid w:val="71C1AF98"/>
    <w:multiLevelType w:val="hybridMultilevel"/>
    <w:lvl w:ilvl="0">
      <w:lvlJc w:val="left"/>
      <w:lvlText w:val="(%1)"/>
      <w:numFmt w:val="decimal"/>
      <w:start w:val="1"/>
    </w:lvl>
  </w:abstractNum>
  <w:abstractNum w:abstractNumId="130">
    <w:nsid w:val="3D00B9D9"/>
    <w:multiLevelType w:val="hybridMultilevel"/>
    <w:lvl w:ilvl="0">
      <w:lvlJc w:val="left"/>
      <w:lvlText w:val="•"/>
      <w:numFmt w:val="bullet"/>
      <w:start w:val="1"/>
    </w:lvl>
  </w:abstractNum>
  <w:abstractNum w:abstractNumId="131">
    <w:nsid w:val="15BCABA8"/>
    <w:multiLevelType w:val="hybridMultilevel"/>
    <w:lvl w:ilvl="0">
      <w:lvlJc w:val="left"/>
      <w:lvlText w:val="(%1)"/>
      <w:numFmt w:val="decimal"/>
      <w:start w:val="1"/>
    </w:lvl>
  </w:abstractNum>
  <w:abstractNum w:abstractNumId="132">
    <w:nsid w:val="4E0B9A87"/>
    <w:multiLevelType w:val="hybridMultilevel"/>
    <w:lvl w:ilvl="0">
      <w:lvlJc w:val="left"/>
      <w:lvlText w:val="(%1)"/>
      <w:numFmt w:val="decimal"/>
      <w:start w:val="1"/>
    </w:lvl>
  </w:abstractNum>
  <w:abstractNum w:abstractNumId="133">
    <w:nsid w:val="434BAE75"/>
    <w:multiLevelType w:val="hybridMultilevel"/>
    <w:lvl w:ilvl="0">
      <w:lvlJc w:val="left"/>
      <w:lvlText w:val="(%1)"/>
      <w:numFmt w:val="decimal"/>
      <w:start w:val="3"/>
    </w:lvl>
  </w:abstractNum>
  <w:abstractNum w:abstractNumId="134">
    <w:nsid w:val="4F38F265"/>
    <w:multiLevelType w:val="hybridMultilevel"/>
    <w:lvl w:ilvl="0">
      <w:lvlJc w:val="left"/>
      <w:lvlText w:val="•"/>
      <w:numFmt w:val="bullet"/>
      <w:start w:val="1"/>
    </w:lvl>
  </w:abstractNum>
  <w:abstractNum w:abstractNumId="135">
    <w:nsid w:val="4C502870"/>
    <w:multiLevelType w:val="hybridMultilevel"/>
    <w:lvl w:ilvl="0">
      <w:lvlJc w:val="left"/>
      <w:lvlText w:val="•"/>
      <w:numFmt w:val="bullet"/>
      <w:start w:val="1"/>
    </w:lvl>
  </w:abstractNum>
  <w:abstractNum w:abstractNumId="136">
    <w:nsid w:val="1DE8725A"/>
    <w:multiLevelType w:val="hybridMultilevel"/>
    <w:lvl w:ilvl="0">
      <w:lvlJc w:val="left"/>
      <w:lvlText w:val="(%1)"/>
      <w:numFmt w:val="decimal"/>
      <w:start w:val="1"/>
    </w:lvl>
  </w:abstractNum>
  <w:abstractNum w:abstractNumId="137">
    <w:nsid w:val="6A37288A"/>
    <w:multiLevelType w:val="hybridMultilevel"/>
    <w:lvl w:ilvl="0">
      <w:lvlJc w:val="left"/>
      <w:lvlText w:val="(%1)"/>
      <w:numFmt w:val="decimal"/>
      <w:start w:val="1"/>
    </w:lvl>
  </w:abstractNum>
  <w:abstractNum w:abstractNumId="138">
    <w:nsid w:val="8F8B73F"/>
    <w:multiLevelType w:val="hybridMultilevel"/>
    <w:lvl w:ilvl="0">
      <w:lvlJc w:val="left"/>
      <w:lvlText w:val="•"/>
      <w:numFmt w:val="bullet"/>
      <w:start w:val="1"/>
    </w:lvl>
  </w:abstractNum>
  <w:abstractNum w:abstractNumId="139">
    <w:nsid w:val="CA6B462"/>
    <w:multiLevelType w:val="hybridMultilevel"/>
    <w:lvl w:ilvl="0">
      <w:lvlJc w:val="left"/>
      <w:lvlText w:val="*"/>
      <w:numFmt w:val="bullet"/>
      <w:start w:val="1"/>
    </w:lvl>
  </w:abstractNum>
  <w:abstractNum w:abstractNumId="140">
    <w:nsid w:val="763CB680"/>
    <w:multiLevelType w:val="hybridMultilevel"/>
    <w:lvl w:ilvl="0">
      <w:lvlJc w:val="left"/>
      <w:lvlText w:val="(%1)"/>
      <w:numFmt w:val="decimal"/>
      <w:start w:val="1"/>
    </w:lvl>
  </w:abstractNum>
  <w:abstractNum w:abstractNumId="141">
    <w:nsid w:val="15B71329"/>
    <w:multiLevelType w:val="hybridMultilevel"/>
    <w:lvl w:ilvl="0">
      <w:lvlJc w:val="left"/>
      <w:lvlText w:val="(%1)"/>
      <w:numFmt w:val="decimal"/>
      <w:start w:val="5"/>
    </w:lvl>
  </w:abstractNum>
  <w:abstractNum w:abstractNumId="142">
    <w:nsid w:val="3DA97044"/>
    <w:multiLevelType w:val="hybridMultilevel"/>
    <w:lvl w:ilvl="0">
      <w:lvlJc w:val="left"/>
      <w:lvlText w:val="•"/>
      <w:numFmt w:val="bullet"/>
      <w:start w:val="1"/>
    </w:lvl>
  </w:abstractNum>
  <w:abstractNum w:abstractNumId="143">
    <w:nsid w:val="1CDCE2DE"/>
    <w:multiLevelType w:val="hybridMultilevel"/>
    <w:lvl w:ilvl="0">
      <w:lvlJc w:val="left"/>
      <w:lvlText w:val="•"/>
      <w:numFmt w:val="bullet"/>
      <w:start w:val="1"/>
    </w:lvl>
  </w:abstractNum>
  <w:abstractNum w:abstractNumId="144">
    <w:nsid w:val="69D3947C"/>
    <w:multiLevelType w:val="hybridMultilevel"/>
    <w:lvl w:ilvl="0">
      <w:lvlJc w:val="left"/>
      <w:lvlText w:val="•"/>
      <w:numFmt w:val="bullet"/>
      <w:start w:val="1"/>
    </w:lvl>
  </w:abstractNum>
  <w:abstractNum w:abstractNumId="145">
    <w:nsid w:val="2539DFA5"/>
    <w:multiLevelType w:val="hybridMultilevel"/>
    <w:lvl w:ilvl="0">
      <w:lvlJc w:val="left"/>
      <w:lvlText w:val="•"/>
      <w:numFmt w:val="bullet"/>
      <w:start w:val="1"/>
    </w:lvl>
  </w:abstractNum>
  <w:abstractNum w:abstractNumId="146">
    <w:nsid w:val="2DB88089"/>
    <w:multiLevelType w:val="hybridMultilevel"/>
    <w:lvl w:ilvl="0">
      <w:lvlJc w:val="left"/>
      <w:lvlText w:val="•"/>
      <w:numFmt w:val="bullet"/>
      <w:start w:val="1"/>
    </w:lvl>
  </w:abstractNum>
  <w:abstractNum w:abstractNumId="147">
    <w:nsid w:val="706B674E"/>
    <w:multiLevelType w:val="hybridMultilevel"/>
    <w:lvl w:ilvl="0">
      <w:lvlJc w:val="left"/>
      <w:lvlText w:val="•"/>
      <w:numFmt w:val="bullet"/>
      <w:start w:val="1"/>
    </w:lvl>
  </w:abstractNum>
  <w:abstractNum w:abstractNumId="148">
    <w:nsid w:val="2C106A57"/>
    <w:multiLevelType w:val="hybridMultilevel"/>
    <w:lvl w:ilvl="0">
      <w:lvlJc w:val="left"/>
      <w:lvlText w:val="•"/>
      <w:numFmt w:val="bullet"/>
      <w:start w:val="1"/>
    </w:lvl>
  </w:abstractNum>
  <w:abstractNum w:abstractNumId="149">
    <w:nsid w:val="684EED59"/>
    <w:multiLevelType w:val="hybridMultilevel"/>
    <w:lvl w:ilvl="0">
      <w:lvlJc w:val="left"/>
      <w:lvlText w:val="•"/>
      <w:numFmt w:val="bullet"/>
      <w:start w:val="1"/>
    </w:lvl>
  </w:abstractNum>
  <w:abstractNum w:abstractNumId="150">
    <w:nsid w:val="545EE5D3"/>
    <w:multiLevelType w:val="hybridMultilevel"/>
    <w:lvl w:ilvl="0">
      <w:lvlJc w:val="left"/>
      <w:lvlText w:val="•"/>
      <w:numFmt w:val="bullet"/>
      <w:start w:val="1"/>
    </w:lvl>
  </w:abstractNum>
  <w:abstractNum w:abstractNumId="151">
    <w:nsid w:val="4A66051"/>
    <w:multiLevelType w:val="hybridMultilevel"/>
    <w:lvl w:ilvl="0">
      <w:lvlJc w:val="left"/>
      <w:lvlText w:val="(%1)"/>
      <w:numFmt w:val="lowerLetter"/>
      <w:start w:val="1"/>
    </w:lvl>
  </w:abstractNum>
  <w:abstractNum w:abstractNumId="152">
    <w:nsid w:val="20F4BDAD"/>
    <w:multiLevelType w:val="hybridMultilevel"/>
    <w:lvl w:ilvl="0">
      <w:lvlJc w:val="left"/>
      <w:lvlText w:val="(%1)"/>
      <w:numFmt w:val="lowerRoman"/>
      <w:start w:val="2"/>
    </w:lvl>
    <w:lvl w:ilvl="1">
      <w:lvlJc w:val="left"/>
      <w:lvlText w:val="•"/>
      <w:numFmt w:val="bullet"/>
      <w:start w:val="1"/>
    </w:lvl>
  </w:abstractNum>
  <w:abstractNum w:abstractNumId="153">
    <w:nsid w:val="639DEFAC"/>
    <w:multiLevelType w:val="hybridMultilevel"/>
    <w:lvl w:ilvl="0">
      <w:lvlJc w:val="left"/>
      <w:lvlText w:val="(%1)"/>
      <w:numFmt w:val="lowerLetter"/>
      <w:start w:val="1"/>
    </w:lvl>
  </w:abstractNum>
  <w:abstractNum w:abstractNumId="154">
    <w:nsid w:val="501F9786"/>
    <w:multiLevelType w:val="hybridMultilevel"/>
    <w:lvl w:ilvl="0">
      <w:lvlJc w:val="left"/>
      <w:lvlText w:val="(%1)"/>
      <w:numFmt w:val="lowerLetter"/>
      <w:start w:val="1"/>
    </w:lvl>
  </w:abstractNum>
  <w:abstractNum w:abstractNumId="155">
    <w:nsid w:val="6B057295"/>
    <w:multiLevelType w:val="hybridMultilevel"/>
    <w:lvl w:ilvl="0">
      <w:lvlJc w:val="left"/>
      <w:lvlText w:val="(%1)"/>
      <w:numFmt w:val="lowerLetter"/>
      <w:start w:val="1"/>
    </w:lvl>
  </w:abstractNum>
  <w:abstractNum w:abstractNumId="156">
    <w:nsid w:val="2771AC80"/>
    <w:multiLevelType w:val="hybridMultilevel"/>
    <w:lvl w:ilvl="0">
      <w:lvlJc w:val="left"/>
      <w:lvlText w:val="(%1)"/>
      <w:numFmt w:val="lowerLetter"/>
      <w:start w:val="1"/>
    </w:lvl>
  </w:abstractNum>
  <w:abstractNum w:abstractNumId="157">
    <w:nsid w:val="1C4A08EC"/>
    <w:multiLevelType w:val="hybridMultilevel"/>
    <w:lvl w:ilvl="0">
      <w:lvlJc w:val="left"/>
      <w:lvlText w:val="%1."/>
      <w:numFmt w:val="lowerRoman"/>
      <w:start w:val="2"/>
    </w:lvl>
  </w:abstractNum>
  <w:abstractNum w:abstractNumId="158">
    <w:nsid w:val="1958BD17"/>
    <w:multiLevelType w:val="hybridMultilevel"/>
    <w:lvl w:ilvl="0">
      <w:lvlJc w:val="left"/>
      <w:lvlText w:val="(%1)"/>
      <w:numFmt w:val="decimal"/>
      <w:start w:val="4"/>
    </w:lvl>
  </w:abstractNum>
  <w:abstractNum w:abstractNumId="159">
    <w:nsid w:val="4E647FE4"/>
    <w:multiLevelType w:val="hybridMultilevel"/>
    <w:lvl w:ilvl="0">
      <w:lvlJc w:val="left"/>
      <w:lvlText w:val="(%1)"/>
      <w:numFmt w:val="lowerLetter"/>
      <w:start w:val="1"/>
    </w:lvl>
  </w:abstractNum>
  <w:abstractNum w:abstractNumId="160">
    <w:nsid w:val="E0BB885"/>
    <w:multiLevelType w:val="hybridMultilevel"/>
    <w:lvl w:ilvl="0">
      <w:lvlJc w:val="left"/>
      <w:lvlText w:val="(%1)"/>
      <w:numFmt w:val="lowerLetter"/>
      <w:start w:val="4"/>
    </w:lvl>
  </w:abstractNum>
  <w:abstractNum w:abstractNumId="161">
    <w:nsid w:val="565976F1"/>
    <w:multiLevelType w:val="hybridMultilevel"/>
    <w:lvl w:ilvl="0">
      <w:lvlJc w:val="left"/>
      <w:lvlText w:val="(%1)"/>
      <w:numFmt w:val="decimal"/>
      <w:start w:val="2"/>
    </w:lvl>
  </w:abstractNum>
  <w:abstractNum w:abstractNumId="162">
    <w:nsid w:val="64212B8C"/>
    <w:multiLevelType w:val="hybridMultilevel"/>
    <w:lvl w:ilvl="0">
      <w:lvlJc w:val="left"/>
      <w:lvlText w:val="(%1)"/>
      <w:numFmt w:val="decimal"/>
      <w:start w:val="1"/>
    </w:lvl>
  </w:abstractNum>
  <w:abstractNum w:abstractNumId="163">
    <w:nsid w:val="5C17530C"/>
    <w:multiLevelType w:val="hybridMultilevel"/>
    <w:lvl w:ilvl="0">
      <w:lvlJc w:val="left"/>
      <w:lvlText w:val="*"/>
      <w:numFmt w:val="bullet"/>
      <w:start w:val="1"/>
    </w:lvl>
  </w:abstractNum>
  <w:abstractNum w:abstractNumId="164">
    <w:nsid w:val="19A52566"/>
    <w:multiLevelType w:val="hybridMultilevel"/>
    <w:lvl w:ilvl="0">
      <w:lvlJc w:val="left"/>
      <w:lvlText w:val="+"/>
      <w:numFmt w:val="bullet"/>
      <w:start w:val="1"/>
    </w:lvl>
  </w:abstractNum>
  <w:abstractNum w:abstractNumId="165">
    <w:nsid w:val="335A1DF1"/>
    <w:multiLevelType w:val="hybridMultilevel"/>
    <w:lvl w:ilvl="0">
      <w:lvlJc w:val="left"/>
      <w:lvlText w:val="#"/>
      <w:numFmt w:val="bullet"/>
      <w:start w:val="1"/>
    </w:lvl>
  </w:abstractNum>
  <w:abstractNum w:abstractNumId="166">
    <w:nsid w:val="28677B7C"/>
    <w:multiLevelType w:val="hybridMultilevel"/>
    <w:lvl w:ilvl="0">
      <w:lvlJc w:val="left"/>
      <w:lvlText w:val="%1."/>
      <w:numFmt w:val="decimal"/>
      <w:start w:val="1"/>
    </w:lvl>
  </w:abstractNum>
  <w:abstractNum w:abstractNumId="167">
    <w:nsid w:val="378D97C0"/>
    <w:multiLevelType w:val="hybridMultilevel"/>
    <w:lvl w:ilvl="0">
      <w:lvlJc w:val="left"/>
      <w:lvlText w:val="%1."/>
      <w:numFmt w:val="decimal"/>
      <w:start w:val="1"/>
    </w:lvl>
    <w:lvl w:ilvl="1">
      <w:lvlJc w:val="left"/>
      <w:lvlText w:val="(%2)"/>
      <w:numFmt w:val="lowerLetter"/>
      <w:start w:val="1"/>
    </w:lvl>
  </w:abstractNum>
  <w:abstractNum w:abstractNumId="168">
    <w:nsid w:val="1D91467C"/>
    <w:multiLevelType w:val="hybridMultilevel"/>
    <w:lvl w:ilvl="0">
      <w:lvlJc w:val="left"/>
      <w:lvlText w:val="%1"/>
      <w:numFmt w:val="decimal"/>
      <w:start w:val="1"/>
    </w:lvl>
    <w:lvl w:ilvl="1">
      <w:lvlJc w:val="left"/>
      <w:lvlText w:val="(%2)"/>
      <w:numFmt w:val="lowerLetter"/>
      <w:start w:val="5"/>
    </w:lvl>
  </w:abstractNum>
  <w:abstractNum w:abstractNumId="169">
    <w:nsid w:val="316032BB"/>
    <w:multiLevelType w:val="hybridMultilevel"/>
    <w:lvl w:ilvl="0">
      <w:lvlJc w:val="left"/>
      <w:lvlText w:val="%1."/>
      <w:numFmt w:val="decimal"/>
      <w:start w:val="2"/>
    </w:lvl>
    <w:lvl w:ilvl="1">
      <w:lvlJc w:val="left"/>
      <w:lvlText w:val="(%2)"/>
      <w:numFmt w:val="lowerLetter"/>
      <w:start w:val="1"/>
    </w:lvl>
  </w:abstractNum>
  <w:abstractNum w:abstractNumId="170">
    <w:nsid w:val="44344C2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71">
    <w:nsid w:val="13CDFCFC"/>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72">
    <w:nsid w:val="471745E4"/>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1"/>
    </w:lvl>
  </w:abstractNum>
  <w:abstractNum w:abstractNumId="173">
    <w:nsid w:val="1DDBC6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74">
    <w:nsid w:val="30AADFDA"/>
    <w:multiLevelType w:val="hybridMultilevel"/>
    <w:lvl w:ilvl="0">
      <w:lvlJc w:val="left"/>
      <w:lvlText w:val="(%1)"/>
      <w:numFmt w:val="lowerLetter"/>
      <w:start w:val="4"/>
    </w:lvl>
    <w:lvl w:ilvl="1">
      <w:lvlJc w:val="left"/>
      <w:lvlText w:val="(%2)"/>
      <w:numFmt w:val="lowerRoman"/>
      <w:start w:val="1"/>
    </w:lvl>
  </w:abstractNum>
  <w:abstractNum w:abstractNumId="175">
    <w:nsid w:val="30EADA61"/>
    <w:multiLevelType w:val="hybridMultilevel"/>
    <w:lvl w:ilvl="0">
      <w:lvlJc w:val="left"/>
      <w:lvlText w:val="(%1)"/>
      <w:numFmt w:val="lowerLetter"/>
      <w:start w:val="5"/>
    </w:lvl>
  </w:abstractNum>
  <w:abstractNum w:abstractNumId="176">
    <w:nsid w:val="27179C0B"/>
    <w:multiLevelType w:val="hybridMultilevel"/>
    <w:lvl w:ilvl="0">
      <w:lvlJc w:val="left"/>
      <w:lvlText w:val="%1"/>
      <w:numFmt w:val="decimal"/>
      <w:start w:val="1"/>
    </w:lvl>
    <w:lvl w:ilvl="1">
      <w:lvlJc w:val="left"/>
      <w:lvlText w:val="(%2)"/>
      <w:numFmt w:val="lowerLetter"/>
      <w:start w:val="6"/>
    </w:lvl>
  </w:abstractNum>
  <w:abstractNum w:abstractNumId="177">
    <w:nsid w:val="5E636063"/>
    <w:multiLevelType w:val="hybridMultilevel"/>
    <w:lvl w:ilvl="0">
      <w:lvlJc w:val="left"/>
      <w:lvlText w:val="%1."/>
      <w:numFmt w:val="decimal"/>
      <w:start w:val="4"/>
    </w:lvl>
    <w:lvl w:ilvl="1">
      <w:lvlJc w:val="left"/>
      <w:lvlText w:val="(%2)"/>
      <w:numFmt w:val="lowerLetter"/>
      <w:start w:val="1"/>
    </w:lvl>
  </w:abstractNum>
  <w:abstractNum w:abstractNumId="178">
    <w:nsid w:val="215641AF"/>
    <w:multiLevelType w:val="hybridMultilevel"/>
    <w:lvl w:ilvl="0">
      <w:lvlJc w:val="left"/>
      <w:lvlText w:val="(%1)"/>
      <w:numFmt w:val="lowerLetter"/>
      <w:start w:val="3"/>
    </w:lvl>
    <w:lvl w:ilvl="1">
      <w:lvlJc w:val="left"/>
      <w:lvlText w:val="(%2)"/>
      <w:numFmt w:val="lowerRoman"/>
      <w:start w:val="1"/>
    </w:lvl>
  </w:abstractNum>
  <w:abstractNum w:abstractNumId="179">
    <w:nsid w:val="53280662"/>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80">
    <w:nsid w:val="46B24DBC"/>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81">
    <w:nsid w:val="75B5278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82">
    <w:nsid w:val="57CE66B4"/>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183">
    <w:nsid w:val="67A70B69"/>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84">
    <w:nsid w:val="5953172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2"/>
    </w:lvl>
  </w:abstractNum>
  <w:abstractNum w:abstractNumId="185">
    <w:nsid w:val="27EDFE3A"/>
    <w:multiLevelType w:val="hybridMultilevel"/>
    <w:lvl w:ilvl="0">
      <w:lvlJc w:val="left"/>
      <w:lvlText w:val="(%1)"/>
      <w:numFmt w:val="lowerLetter"/>
      <w:start w:val="2"/>
    </w:lvl>
    <w:lvl w:ilvl="1">
      <w:lvlJc w:val="left"/>
      <w:lvlText w:val="(%2)"/>
      <w:numFmt w:val="lowerLetter"/>
      <w:start w:val="4"/>
    </w:lvl>
    <w:lvl w:ilvl="2">
      <w:lvlJc w:val="left"/>
      <w:lvlText w:val="(%3)"/>
      <w:numFmt w:val="decimal"/>
      <w:start w:val="2"/>
    </w:lvl>
    <w:lvl w:ilvl="3">
      <w:lvlJc w:val="left"/>
      <w:lvlText w:val="(%4)"/>
      <w:numFmt w:val="lowerLetter"/>
      <w:start w:val="24"/>
    </w:lvl>
  </w:abstractNum>
  <w:abstractNum w:abstractNumId="186">
    <w:nsid w:val="52AC7DFF"/>
    <w:multiLevelType w:val="hybridMultilevel"/>
    <w:lvl w:ilvl="0">
      <w:lvlJc w:val="left"/>
      <w:lvlText w:val="(%1)"/>
      <w:numFmt w:val="lowerLetter"/>
      <w:start w:val="8"/>
    </w:lvl>
    <w:lvl w:ilvl="1">
      <w:lvlJc w:val="left"/>
      <w:lvlText w:val="(%2)"/>
      <w:numFmt w:val="lowerRoman"/>
      <w:start w:val="1"/>
    </w:lvl>
  </w:abstractNum>
  <w:abstractNum w:abstractNumId="187">
    <w:nsid w:val="C4C3AF"/>
    <w:multiLevelType w:val="hybridMultilevel"/>
    <w:lvl w:ilvl="0">
      <w:lvlJc w:val="left"/>
      <w:lvlText w:val="%1"/>
      <w:numFmt w:val="decimal"/>
      <w:start w:val="1"/>
    </w:lvl>
    <w:lvl w:ilvl="1">
      <w:lvlJc w:val="left"/>
      <w:lvlText w:val="(%2)"/>
      <w:numFmt w:val="lowerLetter"/>
      <w:start w:val="11"/>
    </w:lvl>
  </w:abstractNum>
  <w:abstractNum w:abstractNumId="188">
    <w:nsid w:val="44380727"/>
    <w:multiLevelType w:val="hybridMultilevel"/>
    <w:lvl w:ilvl="0">
      <w:lvlJc w:val="left"/>
      <w:lvlText w:val="%1."/>
      <w:numFmt w:val="decimal"/>
      <w:start w:val="5"/>
    </w:lvl>
    <w:lvl w:ilvl="1">
      <w:lvlJc w:val="left"/>
      <w:lvlText w:val="(%2)"/>
      <w:numFmt w:val="lowerLetter"/>
      <w:start w:val="1"/>
    </w:lvl>
  </w:abstractNum>
  <w:abstractNum w:abstractNumId="189">
    <w:nsid w:val="6C053B16"/>
    <w:multiLevelType w:val="hybridMultilevel"/>
    <w:lvl w:ilvl="0">
      <w:lvlJc w:val="left"/>
      <w:lvlText w:val="(%1)"/>
      <w:numFmt w:val="lowerLetter"/>
      <w:start w:val="1"/>
    </w:lvl>
  </w:abstractNum>
  <w:abstractNum w:abstractNumId="190">
    <w:nsid w:val="4F29439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abstractNum>
  <w:abstractNum w:abstractNumId="191">
    <w:nsid w:val="5243BFA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92">
    <w:nsid w:val="425EB20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93">
    <w:nsid w:val="334A6F1F"/>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194">
    <w:nsid w:val="2E5B12B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5">
    <w:nsid w:val="5C03D76D"/>
    <w:multiLevelType w:val="hybridMultilevel"/>
    <w:lvl w:ilvl="0">
      <w:lvlJc w:val="left"/>
      <w:lvlText w:val="(%1)"/>
      <w:numFmt w:val="lowerRoman"/>
      <w:start w:val="2"/>
    </w:lvl>
  </w:abstractNum>
  <w:abstractNum w:abstractNumId="196">
    <w:nsid w:val="66A48D11"/>
    <w:multiLevelType w:val="hybridMultilevel"/>
    <w:lvl w:ilvl="0">
      <w:lvlJc w:val="left"/>
      <w:lvlText w:val="(%1)"/>
      <w:numFmt w:val="lowerRoman"/>
      <w:start w:val="2"/>
    </w:lvl>
  </w:abstractNum>
  <w:abstractNum w:abstractNumId="197">
    <w:nsid w:val="56C28E34"/>
    <w:multiLevelType w:val="hybridMultilevel"/>
    <w:lvl w:ilvl="0">
      <w:lvlJc w:val="left"/>
      <w:lvlText w:val="(%1)"/>
      <w:numFmt w:val="lowerLetter"/>
      <w:start w:val="4"/>
    </w:lvl>
  </w:abstractNum>
  <w:abstractNum w:abstractNumId="198">
    <w:nsid w:val="13916F2D"/>
    <w:multiLevelType w:val="hybridMultilevel"/>
    <w:lvl w:ilvl="0">
      <w:lvlJc w:val="left"/>
      <w:lvlText w:val="%1."/>
      <w:numFmt w:val="decimal"/>
      <w:start w:val="9"/>
    </w:lvl>
  </w:abstractNum>
  <w:abstractNum w:abstractNumId="199">
    <w:nsid w:val="435D38D"/>
    <w:multiLevelType w:val="hybridMultilevel"/>
    <w:lvl w:ilvl="0">
      <w:lvlJc w:val="left"/>
      <w:lvlText w:val="%1."/>
      <w:numFmt w:val="decimal"/>
      <w:start w:val="1"/>
    </w:lvl>
  </w:abstractNum>
  <w:abstractNum w:abstractNumId="200">
    <w:nsid w:val="822C0EF"/>
    <w:multiLevelType w:val="hybridMultilevel"/>
    <w:lvl w:ilvl="0">
      <w:lvlJc w:val="left"/>
      <w:lvlText w:val="%1."/>
      <w:numFmt w:val="decimal"/>
      <w:start w:val="3"/>
    </w:lvl>
  </w:abstractNum>
  <w:abstractNum w:abstractNumId="201">
    <w:nsid w:val="57C5BB4F"/>
    <w:multiLevelType w:val="hybridMultilevel"/>
    <w:lvl w:ilvl="0">
      <w:lvlJc w:val="left"/>
      <w:lvlText w:val="(%1)"/>
      <w:numFmt w:val="lowerRoman"/>
      <w:start w:val="1"/>
    </w:lvl>
  </w:abstractNum>
  <w:abstractNum w:abstractNumId="202">
    <w:nsid w:val="1803D089"/>
    <w:multiLevelType w:val="hybridMultilevel"/>
    <w:lvl w:ilvl="0">
      <w:lvlJc w:val="left"/>
      <w:lvlText w:val="(%1)"/>
      <w:numFmt w:val="lowerRoman"/>
      <w:start w:val="1"/>
    </w:lvl>
  </w:abstractNum>
  <w:abstractNum w:abstractNumId="203">
    <w:nsid w:val="4F3A06D4"/>
    <w:multiLevelType w:val="hybridMultilevel"/>
    <w:lvl w:ilvl="0">
      <w:lvlJc w:val="left"/>
      <w:lvlText w:val="(%1)"/>
      <w:numFmt w:val="lowerRoman"/>
      <w:start w:val="1"/>
    </w:lvl>
  </w:abstractNum>
  <w:abstractNum w:abstractNumId="204">
    <w:nsid w:val="59A377B6"/>
    <w:multiLevelType w:val="hybridMultilevel"/>
    <w:lvl w:ilvl="0">
      <w:lvlJc w:val="left"/>
      <w:lvlText w:val="(%1)"/>
      <w:numFmt w:val="lowerRoman"/>
      <w:start w:val="1"/>
    </w:lvl>
  </w:abstractNum>
  <w:abstractNum w:abstractNumId="205">
    <w:nsid w:val="48AEB063"/>
    <w:multiLevelType w:val="hybridMultilevel"/>
    <w:lvl w:ilvl="0">
      <w:lvlJc w:val="left"/>
      <w:lvlText w:val="(%1)"/>
      <w:numFmt w:val="lowerRoman"/>
      <w:start w:val="1"/>
    </w:lvl>
  </w:abstractNum>
  <w:abstractNum w:abstractNumId="206">
    <w:nsid w:val="24E135"/>
    <w:multiLevelType w:val="hybridMultilevel"/>
    <w:lvl w:ilvl="0">
      <w:lvlJc w:val="left"/>
      <w:lvlText w:val="(%1)"/>
      <w:numFmt w:val="lowerRoman"/>
      <w:start w:val="2"/>
    </w:lvl>
  </w:abstractNum>
  <w:abstractNum w:abstractNumId="207">
    <w:nsid w:val="BB13C1"/>
    <w:multiLevelType w:val="hybridMultilevel"/>
    <w:lvl w:ilvl="0">
      <w:lvlJc w:val="left"/>
      <w:lvlText w:val="(%1)"/>
      <w:numFmt w:val="lowerRoman"/>
      <w:start w:val="3"/>
    </w:lvl>
  </w:abstractNum>
  <w:abstractNum w:abstractNumId="208">
    <w:nsid w:val="271210C7"/>
    <w:multiLevelType w:val="hybridMultilevel"/>
    <w:lvl w:ilvl="0">
      <w:lvlJc w:val="left"/>
      <w:lvlText w:val="(%1)"/>
      <w:numFmt w:val="lowerRoman"/>
      <w:start w:val="1"/>
    </w:lvl>
  </w:abstractNum>
  <w:abstractNum w:abstractNumId="209">
    <w:nsid w:val="217B22E4"/>
    <w:multiLevelType w:val="hybridMultilevel"/>
    <w:lvl w:ilvl="0">
      <w:lvlJc w:val="left"/>
      <w:lvlText w:val="(%1)"/>
      <w:numFmt w:val="lowerRoman"/>
      <w:start w:val="1"/>
    </w:lvl>
  </w:abstractNum>
  <w:abstractNum w:abstractNumId="210">
    <w:nsid w:val="53E31A24"/>
    <w:multiLevelType w:val="hybridMultilevel"/>
    <w:lvl w:ilvl="0">
      <w:lvlJc w:val="left"/>
      <w:lvlText w:val="(%1)"/>
      <w:numFmt w:val="lowerRoman"/>
      <w:start w:val="1"/>
    </w:lvl>
  </w:abstractNum>
  <w:abstractNum w:abstractNumId="211">
    <w:nsid w:val="6DC45E83"/>
    <w:multiLevelType w:val="hybridMultilevel"/>
    <w:lvl w:ilvl="0">
      <w:lvlJc w:val="left"/>
      <w:lvlText w:val="(%1)"/>
      <w:numFmt w:val="lowerRoman"/>
      <w:start w:val="2"/>
    </w:lvl>
  </w:abstractNum>
  <w:abstractNum w:abstractNumId="212">
    <w:nsid w:val="17304A67"/>
    <w:multiLevelType w:val="hybridMultilevel"/>
    <w:lvl w:ilvl="0">
      <w:lvlJc w:val="left"/>
      <w:lvlText w:val="(%1)"/>
      <w:numFmt w:val="lowerRoman"/>
      <w:start w:val="1"/>
    </w:lvl>
    <w:lvl w:ilvl="1">
      <w:lvlJc w:val="left"/>
      <w:lvlText w:val="-"/>
      <w:numFmt w:val="bullet"/>
      <w:start w:val="1"/>
    </w:lvl>
  </w:abstractNum>
  <w:abstractNum w:abstractNumId="213">
    <w:nsid w:val="2BB180D8"/>
    <w:multiLevelType w:val="hybridMultilevel"/>
    <w:lvl w:ilvl="0">
      <w:lvlJc w:val="left"/>
      <w:lvlText w:val="%1"/>
      <w:numFmt w:val="upperLetter"/>
      <w:start w:val="1"/>
    </w:lvl>
    <w:lvl w:ilvl="1">
      <w:lvlJc w:val="left"/>
      <w:lvlText w:val="(%2)"/>
      <w:numFmt w:val="lowerRoman"/>
      <w:start w:val="3"/>
    </w:lvl>
  </w:abstractNum>
  <w:abstractNum w:abstractNumId="214">
    <w:nsid w:val="556B69ED"/>
    <w:multiLevelType w:val="hybridMultilevel"/>
    <w:lvl w:ilvl="0">
      <w:lvlJc w:val="left"/>
      <w:lvlText w:val="(%1)"/>
      <w:numFmt w:val="upperLetter"/>
      <w:start w:val="1"/>
    </w:lvl>
    <w:lvl w:ilvl="1">
      <w:lvlJc w:val="left"/>
      <w:lvlText w:val="(%2)"/>
      <w:numFmt w:val="lowerRoman"/>
      <w:start w:val="4"/>
    </w:lvl>
  </w:abstractNum>
  <w:abstractNum w:abstractNumId="215">
    <w:nsid w:val="70836196"/>
    <w:multiLevelType w:val="hybridMultilevel"/>
    <w:lvl w:ilvl="0">
      <w:lvlJc w:val="left"/>
      <w:lvlText w:val="(%1)"/>
      <w:numFmt w:val="lowerLetter"/>
      <w:start w:val="1"/>
    </w:lvl>
  </w:abstractNum>
  <w:abstractNum w:abstractNumId="216">
    <w:nsid w:val="539F7F12"/>
    <w:multiLevelType w:val="hybridMultilevel"/>
    <w:lvl w:ilvl="0">
      <w:lvlJc w:val="left"/>
      <w:lvlText w:val="%1"/>
      <w:numFmt w:val="lowerLetter"/>
      <w:start w:val="1"/>
    </w:lvl>
    <w:lvl w:ilvl="1">
      <w:lvlJc w:val="left"/>
      <w:lvlText w:val="(%2)"/>
      <w:numFmt w:val="lowerLetter"/>
      <w:start w:val="5"/>
    </w:lvl>
  </w:abstractNum>
  <w:abstractNum w:abstractNumId="217">
    <w:nsid w:val="2817E7EC"/>
    <w:multiLevelType w:val="hybridMultilevel"/>
    <w:lvl w:ilvl="0">
      <w:lvlJc w:val="left"/>
      <w:lvlText w:val="(%1)"/>
      <w:numFmt w:val="lowerLetter"/>
      <w:start w:val="35"/>
    </w:lvl>
    <w:lvl w:ilvl="1">
      <w:lvlJc w:val="left"/>
      <w:lvlText w:val="%2"/>
      <w:numFmt w:val="lowerLetter"/>
      <w:start w:val="1"/>
    </w:lvl>
  </w:abstractNum>
  <w:abstractNum w:abstractNumId="218">
    <w:nsid w:val="71482545"/>
    <w:multiLevelType w:val="hybridMultilevel"/>
    <w:lvl w:ilvl="0">
      <w:lvlJc w:val="left"/>
      <w:lvlText w:val="(%1)"/>
      <w:numFmt w:val="lowerLetter"/>
      <w:start w:val="9"/>
    </w:lvl>
    <w:lvl w:ilvl="1">
      <w:lvlJc w:val="left"/>
      <w:lvlText w:val="(%2)"/>
      <w:numFmt w:val="lowerLetter"/>
      <w:start w:val="16"/>
    </w:lvl>
  </w:abstractNum>
  <w:abstractNum w:abstractNumId="219">
    <w:nsid w:val="17D78639"/>
    <w:multiLevelType w:val="hybridMultilevel"/>
    <w:lvl w:ilvl="0">
      <w:lvlJc w:val="left"/>
      <w:lvlText w:val="(%1)"/>
      <w:numFmt w:val="lowerLetter"/>
      <w:start w:val="18"/>
    </w:lvl>
  </w:abstractNum>
  <w:abstractNum w:abstractNumId="220">
    <w:nsid w:val="141D2302"/>
    <w:multiLevelType w:val="hybridMultilevel"/>
    <w:lvl w:ilvl="0">
      <w:lvlJc w:val="left"/>
      <w:lvlText w:val="(%1)"/>
      <w:numFmt w:val="lowerLetter"/>
      <w:start w:val="1"/>
    </w:lvl>
  </w:abstractNum>
  <w:abstractNum w:abstractNumId="221">
    <w:nsid w:val="407168D8"/>
    <w:multiLevelType w:val="hybridMultilevel"/>
    <w:lvl w:ilvl="0">
      <w:lvlJc w:val="left"/>
      <w:lvlText w:val="(%1)"/>
      <w:numFmt w:val="lowerRoman"/>
      <w:start w:val="1"/>
    </w:lvl>
  </w:abstractNum>
  <w:abstractNum w:abstractNumId="222">
    <w:nsid w:val="6A1B45E5"/>
    <w:multiLevelType w:val="hybridMultilevel"/>
    <w:lvl w:ilvl="0">
      <w:lvlJc w:val="left"/>
      <w:lvlText w:val="%1"/>
      <w:numFmt w:val="lowerLetter"/>
      <w:start w:val="1"/>
    </w:lvl>
    <w:lvl w:ilvl="1">
      <w:lvlJc w:val="left"/>
      <w:lvlText w:val="(%2)"/>
      <w:numFmt w:val="lowerLetter"/>
      <w:start w:val="35"/>
    </w:lvl>
  </w:abstractNum>
  <w:abstractNum w:abstractNumId="223">
    <w:nsid w:val="567BD50A"/>
    <w:multiLevelType w:val="hybridMultilevel"/>
    <w:lvl w:ilvl="0">
      <w:lvlJc w:val="left"/>
      <w:lvlText w:val="(%1)"/>
      <w:numFmt w:val="lowerLetter"/>
      <w:start w:val="2"/>
    </w:lvl>
    <w:lvl w:ilvl="1">
      <w:lvlJc w:val="left"/>
      <w:lvlText w:val="(%2)"/>
      <w:numFmt w:val="lowerLetter"/>
      <w:start w:val="9"/>
    </w:lvl>
  </w:abstractNum>
  <w:abstractNum w:abstractNumId="224">
    <w:nsid w:val="73BBD7F8"/>
    <w:multiLevelType w:val="hybridMultilevel"/>
    <w:lvl w:ilvl="0">
      <w:lvlJc w:val="left"/>
      <w:lvlText w:val="%1"/>
      <w:numFmt w:val="lowerLetter"/>
      <w:start w:val="1"/>
    </w:lvl>
    <w:lvl w:ilvl="1">
      <w:lvlJc w:val="left"/>
      <w:lvlText w:val="(%2)"/>
      <w:numFmt w:val="lowerRoman"/>
      <w:start w:val="2"/>
    </w:lvl>
  </w:abstractNum>
  <w:abstractNum w:abstractNumId="225">
    <w:nsid w:val="1876589D"/>
    <w:multiLevelType w:val="hybridMultilevel"/>
    <w:lvl w:ilvl="0">
      <w:lvlJc w:val="left"/>
      <w:lvlText w:val="(%1)"/>
      <w:numFmt w:val="lowerLetter"/>
      <w:start w:val="3"/>
    </w:lvl>
    <w:lvl w:ilvl="1">
      <w:lvlJc w:val="left"/>
      <w:lvlText w:val="%2"/>
      <w:numFmt w:val="lowerRoman"/>
      <w:start w:val="1"/>
    </w:lvl>
  </w:abstractNum>
  <w:abstractNum w:abstractNumId="226">
    <w:nsid w:val="327FAC77"/>
    <w:multiLevelType w:val="hybridMultilevel"/>
    <w:lvl w:ilvl="0">
      <w:lvlJc w:val="left"/>
      <w:lvlText w:val="(%1)"/>
      <w:numFmt w:val="lowerLetter"/>
      <w:start w:val="4"/>
    </w:lvl>
  </w:abstractNum>
  <w:abstractNum w:abstractNumId="227">
    <w:nsid w:val="5A606509"/>
    <w:multiLevelType w:val="hybridMultilevel"/>
    <w:lvl w:ilvl="0">
      <w:lvlJc w:val="left"/>
      <w:lvlText w:val="(%1)"/>
      <w:numFmt w:val="lowerLetter"/>
      <w:start w:val="1"/>
    </w:lvl>
    <w:lvl w:ilvl="1">
      <w:lvlJc w:val="left"/>
      <w:lvlText w:val="(%2)"/>
      <w:numFmt w:val="lowerRoman"/>
      <w:start w:val="1"/>
    </w:lvl>
  </w:abstractNum>
  <w:abstractNum w:abstractNumId="228">
    <w:nsid w:val="6F38E6D1"/>
    <w:multiLevelType w:val="hybridMultilevel"/>
    <w:lvl w:ilvl="0">
      <w:lvlJc w:val="left"/>
      <w:lvlText w:val="(%1)"/>
      <w:numFmt w:val="lowerRoman"/>
      <w:start w:val="3"/>
    </w:lvl>
  </w:abstractNum>
  <w:abstractNum w:abstractNumId="229">
    <w:nsid w:val="46111BA5"/>
    <w:multiLevelType w:val="hybridMultilevel"/>
    <w:lvl w:ilvl="0">
      <w:lvlJc w:val="left"/>
      <w:lvlText w:val="(%1)"/>
      <w:numFmt w:val="lowerLetter"/>
      <w:start w:val="3"/>
    </w:lvl>
  </w:abstractNum>
  <w:abstractNum w:abstractNumId="230">
    <w:nsid w:val="5E963896"/>
    <w:multiLevelType w:val="hybridMultilevel"/>
    <w:lvl w:ilvl="0">
      <w:lvlJc w:val="left"/>
      <w:lvlText w:val="(%1)"/>
      <w:numFmt w:val="lowerLetter"/>
      <w:start w:val="1"/>
    </w:lvl>
    <w:lvl w:ilvl="1">
      <w:lvlJc w:val="left"/>
      <w:lvlText w:val="(%2)"/>
      <w:numFmt w:val="lowerRoman"/>
      <w:start w:val="1"/>
    </w:lvl>
  </w:abstractNum>
  <w:abstractNum w:abstractNumId="231">
    <w:nsid w:val="775BA7C1"/>
    <w:multiLevelType w:val="hybridMultilevel"/>
    <w:lvl w:ilvl="0">
      <w:lvlJc w:val="left"/>
      <w:lvlText w:val="%1"/>
      <w:numFmt w:val="lowerLetter"/>
      <w:start w:val="1"/>
    </w:lvl>
    <w:lvl w:ilvl="1">
      <w:lvlJc w:val="left"/>
      <w:lvlText w:val="(%2)"/>
      <w:numFmt w:val="lowerLetter"/>
      <w:start w:val="61"/>
    </w:lvl>
  </w:abstractNum>
  <w:abstractNum w:abstractNumId="232">
    <w:nsid w:val="1DD6D6F4"/>
    <w:multiLevelType w:val="hybridMultilevel"/>
    <w:lvl w:ilvl="0">
      <w:lvlJc w:val="left"/>
      <w:lvlText w:val="(%1)"/>
      <w:numFmt w:val="lowerLetter"/>
      <w:start w:val="3"/>
    </w:lvl>
    <w:lvl w:ilvl="1">
      <w:lvlJc w:val="left"/>
      <w:lvlText w:val="%2"/>
      <w:numFmt w:val="lowerLetter"/>
      <w:start w:val="1"/>
    </w:lvl>
  </w:abstractNum>
  <w:abstractNum w:abstractNumId="233">
    <w:nsid w:val="769A091F"/>
    <w:multiLevelType w:val="hybridMultilevel"/>
    <w:lvl w:ilvl="0">
      <w:lvlJc w:val="left"/>
      <w:lvlText w:val="(%1)"/>
      <w:numFmt w:val="lowerLetter"/>
      <w:start w:val="1"/>
    </w:lvl>
  </w:abstractNum>
  <w:abstractNum w:abstractNumId="234">
    <w:nsid w:val="4695AE95"/>
    <w:multiLevelType w:val="hybridMultilevel"/>
    <w:lvl w:ilvl="0">
      <w:lvlJc w:val="left"/>
      <w:lvlText w:val="(%1)"/>
      <w:numFmt w:val="lowerLetter"/>
      <w:start w:val="3"/>
    </w:lvl>
  </w:abstractNum>
  <w:abstractNum w:abstractNumId="235">
    <w:nsid w:val="777A4EAA"/>
    <w:multiLevelType w:val="hybridMultilevel"/>
    <w:lvl w:ilvl="0">
      <w:lvlJc w:val="left"/>
      <w:lvlText w:val="(%1)"/>
      <w:numFmt w:val="lowerLetter"/>
      <w:start w:val="1"/>
    </w:lvl>
  </w:abstractNum>
  <w:abstractNum w:abstractNumId="236">
    <w:nsid w:val="3F48B982"/>
    <w:multiLevelType w:val="hybridMultilevel"/>
    <w:lvl w:ilvl="0">
      <w:lvlJc w:val="left"/>
      <w:lvlText w:val="(%1)"/>
      <w:numFmt w:val="lowerLetter"/>
      <w:start w:val="2"/>
    </w:lvl>
  </w:abstractNum>
  <w:abstractNum w:abstractNumId="237">
    <w:nsid w:val="46BA8FCA"/>
    <w:multiLevelType w:val="hybridMultilevel"/>
    <w:lvl w:ilvl="0">
      <w:lvlJc w:val="left"/>
      <w:lvlText w:val="(%1)"/>
      <w:numFmt w:val="lowerLetter"/>
      <w:start w:val="3"/>
    </w:lvl>
  </w:abstractNum>
  <w:abstractNum w:abstractNumId="238">
    <w:nsid w:val="7835626C"/>
    <w:multiLevelType w:val="hybridMultilevel"/>
    <w:lvl w:ilvl="0">
      <w:lvlJc w:val="left"/>
      <w:lvlText w:val="(%1)"/>
      <w:numFmt w:val="lowerLetter"/>
      <w:start w:val="1"/>
    </w:lvl>
    <w:lvl w:ilvl="1">
      <w:lvlJc w:val="left"/>
      <w:lvlText w:val="(%2)"/>
      <w:numFmt w:val="lowerRoman"/>
      <w:start w:val="1"/>
    </w:lvl>
  </w:abstractNum>
  <w:abstractNum w:abstractNumId="239">
    <w:nsid w:val="665ACA49"/>
    <w:multiLevelType w:val="hybridMultilevel"/>
    <w:lvl w:ilvl="0">
      <w:lvlJc w:val="left"/>
      <w:lvlText w:val="(%1)"/>
      <w:numFmt w:val="lowerLetter"/>
      <w:start w:val="2"/>
    </w:lvl>
  </w:abstractNum>
  <w:abstractNum w:abstractNumId="240">
    <w:nsid w:val="6835B2AE"/>
    <w:multiLevelType w:val="hybridMultilevel"/>
    <w:lvl w:ilvl="0">
      <w:lvlJc w:val="left"/>
      <w:lvlText w:val="(%1)"/>
      <w:numFmt w:val="lowerLetter"/>
      <w:start w:val="3"/>
    </w:lvl>
  </w:abstractNum>
  <w:abstractNum w:abstractNumId="241">
    <w:nsid w:val="4C187C90"/>
    <w:multiLevelType w:val="hybridMultilevel"/>
    <w:lvl w:ilvl="0">
      <w:lvlJc w:val="left"/>
      <w:lvlText w:val="(%1)"/>
      <w:numFmt w:val="lowerLetter"/>
      <w:start w:val="4"/>
    </w:lvl>
  </w:abstractNum>
  <w:abstractNum w:abstractNumId="242">
    <w:nsid w:val="541F28CD"/>
    <w:multiLevelType w:val="hybridMultilevel"/>
    <w:lvl w:ilvl="0">
      <w:lvlJc w:val="left"/>
      <w:lvlText w:val="(%1)"/>
      <w:numFmt w:val="lowerLetter"/>
      <w:start w:val="1"/>
    </w:lvl>
  </w:abstractNum>
  <w:abstractNum w:abstractNumId="243">
    <w:nsid w:val="7F65FD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4">
    <w:nsid w:val="77C9FD68"/>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2"/>
    </w:lvl>
  </w:abstractNum>
  <w:abstractNum w:abstractNumId="245">
    <w:nsid w:val="298A92BA"/>
    <w:multiLevelType w:val="hybridMultilevel"/>
    <w:lvl w:ilvl="0">
      <w:lvlJc w:val="left"/>
      <w:lvlText w:val="(%1)"/>
      <w:numFmt w:val="lowerLetter"/>
      <w:start w:val="3"/>
    </w:lvl>
  </w:abstractNum>
  <w:abstractNum w:abstractNumId="246">
    <w:nsid w:val="6FE95EAC"/>
    <w:multiLevelType w:val="hybridMultilevel"/>
    <w:lvl w:ilvl="0">
      <w:lvlJc w:val="left"/>
      <w:lvlText w:val="(%1)"/>
      <w:numFmt w:val="lowerLetter"/>
      <w:start w:val="1"/>
    </w:lvl>
  </w:abstractNum>
  <w:abstractNum w:abstractNumId="247">
    <w:nsid w:val="4B697C7A"/>
    <w:multiLevelType w:val="hybridMultilevel"/>
    <w:lvl w:ilvl="0">
      <w:lvlJc w:val="left"/>
      <w:lvlText w:val="(%1)"/>
      <w:numFmt w:val="lowerLetter"/>
      <w:start w:val="1"/>
    </w:lvl>
  </w:abstractNum>
  <w:abstractNum w:abstractNumId="248">
    <w:nsid w:val="51A27AA6"/>
    <w:multiLevelType w:val="hybridMultilevel"/>
    <w:lvl w:ilvl="0">
      <w:lvlJc w:val="left"/>
      <w:lvlText w:val="(%1)"/>
      <w:numFmt w:val="lowerLetter"/>
      <w:start w:val="5"/>
    </w:lvl>
  </w:abstractNum>
  <w:abstractNum w:abstractNumId="249">
    <w:nsid w:val="613183F2"/>
    <w:multiLevelType w:val="hybridMultilevel"/>
    <w:lvl w:ilvl="0">
      <w:lvlJc w:val="left"/>
      <w:lvlText w:val="(%1)"/>
      <w:numFmt w:val="lowerLetter"/>
      <w:start w:val="1"/>
    </w:lvl>
  </w:abstractNum>
  <w:abstractNum w:abstractNumId="250">
    <w:nsid w:val="634102B4"/>
    <w:multiLevelType w:val="hybridMultilevel"/>
    <w:lvl w:ilvl="0">
      <w:lvlJc w:val="left"/>
      <w:lvlText w:val="(%1)"/>
      <w:numFmt w:val="lowerRoman"/>
      <w:start w:val="1"/>
    </w:lvl>
  </w:abstractNum>
  <w:abstractNum w:abstractNumId="251">
    <w:nsid w:val="65BF9DA8"/>
    <w:multiLevelType w:val="hybridMultilevel"/>
    <w:lvl w:ilvl="0">
      <w:lvlJc w:val="left"/>
      <w:lvlText w:val="(%1)"/>
      <w:numFmt w:val="lowerLetter"/>
      <w:start w:val="2"/>
    </w:lvl>
  </w:abstractNum>
  <w:abstractNum w:abstractNumId="252">
    <w:nsid w:val="21A2ECCA"/>
    <w:multiLevelType w:val="hybridMultilevel"/>
    <w:lvl w:ilvl="0">
      <w:lvlJc w:val="left"/>
      <w:lvlText w:val="(%1)"/>
      <w:numFmt w:val="lowerLetter"/>
      <w:start w:val="2"/>
    </w:lvl>
  </w:abstractNum>
  <w:abstractNum w:abstractNumId="253">
    <w:nsid w:val="4D5C4899"/>
    <w:multiLevelType w:val="hybridMultilevel"/>
    <w:lvl w:ilvl="0">
      <w:lvlJc w:val="left"/>
      <w:lvlText w:val="(%1)"/>
      <w:numFmt w:val="lowerLetter"/>
      <w:start w:val="2"/>
    </w:lvl>
  </w:abstractNum>
  <w:abstractNum w:abstractNumId="254">
    <w:nsid w:val="3C3B72B2"/>
    <w:multiLevelType w:val="hybridMultilevel"/>
    <w:lvl w:ilvl="0">
      <w:lvlJc w:val="left"/>
      <w:lvlText w:val="(%1)"/>
      <w:numFmt w:val="lowerLetter"/>
      <w:start w:val="1"/>
    </w:lvl>
  </w:abstractNum>
  <w:abstractNum w:abstractNumId="255">
    <w:nsid w:val="155EC4C2"/>
    <w:multiLevelType w:val="hybridMultilevel"/>
    <w:lvl w:ilvl="0">
      <w:lvlJc w:val="left"/>
      <w:lvlText w:val="(%1)"/>
      <w:numFmt w:val="lowerLetter"/>
      <w:start w:val="25"/>
    </w:lvl>
  </w:abstractNum>
  <w:abstractNum w:abstractNumId="256">
    <w:nsid w:val="65D2A137"/>
    <w:multiLevelType w:val="hybridMultilevel"/>
    <w:lvl w:ilvl="0">
      <w:lvlJc w:val="left"/>
      <w:lvlText w:val="(%1)"/>
      <w:numFmt w:val="lowerLetter"/>
      <w:start w:val="25"/>
    </w:lvl>
  </w:abstractNum>
  <w:abstractNum w:abstractNumId="257">
    <w:nsid w:val="6EBB1F2A"/>
    <w:multiLevelType w:val="hybridMultilevel"/>
    <w:lvl w:ilvl="0">
      <w:lvlJc w:val="left"/>
      <w:lvlText w:val="(%1)"/>
      <w:numFmt w:val="lowerLetter"/>
      <w:start w:val="1"/>
    </w:lvl>
  </w:abstractNum>
  <w:abstractNum w:abstractNumId="258">
    <w:nsid w:val="6FBF29CB"/>
    <w:multiLevelType w:val="hybridMultilevel"/>
    <w:lvl w:ilvl="0">
      <w:lvlJc w:val="left"/>
      <w:lvlText w:val="(%1)"/>
      <w:numFmt w:val="lowerLetter"/>
      <w:start w:val="1"/>
    </w:lvl>
  </w:abstractNum>
  <w:abstractNum w:abstractNumId="259">
    <w:nsid w:val="550B8808"/>
    <w:multiLevelType w:val="hybridMultilevel"/>
    <w:lvl w:ilvl="0">
      <w:lvlJc w:val="left"/>
      <w:lvlText w:val="(%1)"/>
      <w:numFmt w:val="lowerLetter"/>
      <w:start w:val="1"/>
    </w:lvl>
  </w:abstractNum>
  <w:abstractNum w:abstractNumId="260">
    <w:nsid w:val="34CC3ACF"/>
    <w:multiLevelType w:val="hybridMultilevel"/>
    <w:lvl w:ilvl="0">
      <w:lvlJc w:val="left"/>
      <w:lvlText w:val="(%1)"/>
      <w:numFmt w:val="lowerLetter"/>
      <w:start w:val="2"/>
    </w:lvl>
  </w:abstractNum>
  <w:abstractNum w:abstractNumId="261">
    <w:nsid w:val="4E556261"/>
    <w:multiLevelType w:val="hybridMultilevel"/>
    <w:lvl w:ilvl="0">
      <w:lvlJc w:val="left"/>
      <w:lvlText w:val="(%1)"/>
      <w:numFmt w:val="lowerLetter"/>
      <w:start w:val="1"/>
    </w:lvl>
  </w:abstractNum>
  <w:abstractNum w:abstractNumId="262">
    <w:nsid w:val="4C672FC9"/>
    <w:multiLevelType w:val="hybridMultilevel"/>
    <w:lvl w:ilvl="0">
      <w:lvlJc w:val="left"/>
      <w:lvlText w:val="(%1)"/>
      <w:numFmt w:val="lowerLetter"/>
      <w:start w:val="1"/>
    </w:lvl>
    <w:lvl w:ilvl="1">
      <w:lvlJc w:val="left"/>
      <w:lvlText w:val="(%2)"/>
      <w:numFmt w:val="lowerRoman"/>
      <w:start w:val="1"/>
    </w:lvl>
  </w:abstractNum>
  <w:abstractNum w:abstractNumId="263">
    <w:nsid w:val="52A311C3"/>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264">
    <w:nsid w:val="44EF6B80"/>
    <w:multiLevelType w:val="hybridMultilevel"/>
    <w:lvl w:ilvl="0">
      <w:lvlJc w:val="left"/>
      <w:lvlText w:val="(%1)"/>
      <w:numFmt w:val="lowerLetter"/>
      <w:start w:val="1"/>
    </w:lvl>
  </w:abstractNum>
  <w:abstractNum w:abstractNumId="265">
    <w:nsid w:val="12FCDE5E"/>
    <w:multiLevelType w:val="hybridMultilevel"/>
    <w:lvl w:ilvl="0">
      <w:lvlJc w:val="left"/>
      <w:lvlText w:val="(%1)"/>
      <w:numFmt w:val="lowerLetter"/>
      <w:start w:val="1"/>
    </w:lvl>
  </w:abstractNum>
  <w:abstractNum w:abstractNumId="266">
    <w:nsid w:val="4A1D606E"/>
    <w:multiLevelType w:val="hybridMultilevel"/>
    <w:lvl w:ilvl="0">
      <w:lvlJc w:val="left"/>
      <w:lvlText w:val="(%1)"/>
      <w:numFmt w:val="lowerLetter"/>
      <w:start w:val="1"/>
    </w:lvl>
  </w:abstractNum>
  <w:abstractNum w:abstractNumId="267">
    <w:nsid w:val="4382503"/>
    <w:multiLevelType w:val="hybridMultilevel"/>
    <w:lvl w:ilvl="0">
      <w:lvlJc w:val="left"/>
      <w:lvlText w:val="(%1)"/>
      <w:numFmt w:val="lowerLetter"/>
      <w:start w:val="2"/>
    </w:lvl>
  </w:abstractNum>
  <w:abstractNum w:abstractNumId="268">
    <w:nsid w:val="59B76E28"/>
    <w:multiLevelType w:val="hybridMultilevel"/>
    <w:lvl w:ilvl="0">
      <w:lvlJc w:val="left"/>
      <w:lvlText w:val="(%1)"/>
      <w:numFmt w:val="lowerLetter"/>
      <w:start w:val="1"/>
    </w:lvl>
  </w:abstractNum>
  <w:abstractNum w:abstractNumId="269">
    <w:nsid w:val="4252C2DA"/>
    <w:multiLevelType w:val="hybridMultilevel"/>
    <w:lvl w:ilvl="0">
      <w:lvlJc w:val="left"/>
      <w:lvlText w:val="(%1)"/>
      <w:numFmt w:val="lowerLetter"/>
      <w:start w:val="3"/>
    </w:lvl>
  </w:abstractNum>
  <w:abstractNum w:abstractNumId="270">
    <w:nsid w:val="6A92EF4C"/>
    <w:multiLevelType w:val="hybridMultilevel"/>
    <w:lvl w:ilvl="0">
      <w:lvlJc w:val="left"/>
      <w:lvlText w:val="(%1)"/>
      <w:numFmt w:val="lowerLetter"/>
      <w:start w:val="4"/>
    </w:lvl>
  </w:abstractNum>
  <w:abstractNum w:abstractNumId="271">
    <w:nsid w:val="41ED20D7"/>
    <w:multiLevelType w:val="hybridMultilevel"/>
    <w:lvl w:ilvl="0">
      <w:lvlJc w:val="left"/>
      <w:lvlText w:val="(%1)"/>
      <w:numFmt w:val="lowerLetter"/>
      <w:start w:val="1"/>
    </w:lvl>
  </w:abstractNum>
  <w:abstractNum w:abstractNumId="272">
    <w:nsid w:val="E6B3F6A"/>
    <w:multiLevelType w:val="hybridMultilevel"/>
    <w:lvl w:ilvl="0">
      <w:lvlJc w:val="left"/>
      <w:lvlText w:val="(%1)"/>
      <w:numFmt w:val="lowerRoman"/>
      <w:start w:val="4"/>
    </w:lvl>
  </w:abstractNum>
  <w:abstractNum w:abstractNumId="273">
    <w:nsid w:val="3EB21819"/>
    <w:multiLevelType w:val="hybridMultilevel"/>
    <w:lvl w:ilvl="0">
      <w:lvlJc w:val="left"/>
      <w:lvlText w:val="(%1)"/>
      <w:numFmt w:val="lowerLetter"/>
      <w:start w:val="1"/>
    </w:lvl>
  </w:abstractNum>
  <w:abstractNum w:abstractNumId="274">
    <w:nsid w:val="41531DED"/>
    <w:multiLevelType w:val="hybridMultilevel"/>
    <w:lvl w:ilvl="0">
      <w:lvlJc w:val="left"/>
      <w:lvlText w:val="(%1)"/>
      <w:numFmt w:val="lowerLetter"/>
      <w:start w:val="2"/>
    </w:lvl>
  </w:abstractNum>
  <w:abstractNum w:abstractNumId="275">
    <w:nsid w:val="6353CD2"/>
    <w:multiLevelType w:val="hybridMultilevel"/>
    <w:lvl w:ilvl="0">
      <w:lvlJc w:val="left"/>
      <w:lvlText w:val="(%1)"/>
      <w:numFmt w:val="lowerLetter"/>
      <w:start w:val="1"/>
    </w:lvl>
  </w:abstractNum>
  <w:abstractNum w:abstractNumId="276">
    <w:nsid w:val="683CAAD3"/>
    <w:multiLevelType w:val="hybridMultilevel"/>
    <w:lvl w:ilvl="0">
      <w:lvlJc w:val="left"/>
      <w:lvlText w:val="(%1)"/>
      <w:numFmt w:val="lowerLetter"/>
      <w:start w:val="1"/>
    </w:lvl>
  </w:abstractNum>
  <w:abstractNum w:abstractNumId="277">
    <w:nsid w:val="313C7C9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2021-07-12T23:17:19Z</dcterms:created>
  <dcterms:modified xsi:type="dcterms:W3CDTF">2021-07-12T23:17:19Z</dcterms:modified>
</cp:coreProperties>
</file>