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333-266741</w:t>
      </w:r>
    </w:p>
    <w:p>
      <w:pPr>
        <w:spacing w:after="0" w:line="136" w:lineRule="exact"/>
        <w:rPr>
          <w:sz w:val="24"/>
          <w:szCs w:val="24"/>
          <w:color w:val="auto"/>
        </w:rPr>
      </w:pPr>
    </w:p>
    <w:p>
      <w:pPr>
        <w:ind w:left="120" w:right="120"/>
        <w:spacing w:after="0" w:line="246"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state or other jurisdiction where the offer or sale is not permitted.</w:t>
      </w:r>
    </w:p>
    <w:p>
      <w:pPr>
        <w:spacing w:after="0" w:line="9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DE1A1E"/>
        </w:rPr>
        <w:t>SUBJECT TO COMPLETION, DATED NOVEMBER 16, 2022</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PRELIMINARY PROSPECTUS SUPPLEMENT</w:t>
      </w:r>
    </w:p>
    <w:p>
      <w:pPr>
        <w:spacing w:after="0" w:line="1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(To prospectus dated August 17, 2022)</w:t>
      </w:r>
    </w:p>
    <w:p>
      <w:pPr>
        <w:spacing w:after="0" w:line="1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i w:val="1"/>
          <w:iCs w:val="1"/>
          <w:color w:val="auto"/>
        </w:rPr>
        <w:t>$75,000,000</w:t>
      </w: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PRE-FUNDED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630555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64770</wp:posOffset>
            </wp:positionV>
            <wp:extent cx="1148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87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offering $75,000,000 of shares of our common stock and, in lieu of common stock to certain investors that so choose, pre-funded warrants to purchase shares of our common stock in this offering. The purchase price of each pre-funded warrant will equal the price per share at which shares of our common stock are being sold to the public in this offering, minus $0.001 multiplied by the number of shares subject to the warrant, and the exercise price of each pre-funded warrant will equal $0.001 per share. This prospectus supplement also relates to the offering of the shares of our common stock issuable upon the exercise of such pre-funded warrants.</w:t>
      </w:r>
    </w:p>
    <w:p>
      <w:pPr>
        <w:spacing w:after="0" w:line="31" w:lineRule="exact"/>
        <w:rPr>
          <w:sz w:val="24"/>
          <w:szCs w:val="24"/>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listed on The Nasdaq Global Select Market under the symbol “TNYA.” On November 15, 2022, the last reported sale price of our common stock was $2.93 per share. There is no established public trading market for the pre-funded warrants, and we do not expect a market to develop. We do not intend to list the pre-funded warrants on The Nasdaq Global Select Market, any other national securities exchange or any other recognized trading system.</w:t>
      </w:r>
    </w:p>
    <w:p>
      <w:pPr>
        <w:spacing w:after="0" w:line="28" w:lineRule="exact"/>
        <w:rPr>
          <w:sz w:val="24"/>
          <w:szCs w:val="24"/>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under the federal securities laws and, as such, we have elected to comply with certain reduced public company reporting requirements for this prospectus supplement and may elect to do so for future filings. See “Prospectus supplement summary—Implications of Being an Emerging Growth Company and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2"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i w:val="1"/>
                <w:iCs w:val="1"/>
                <w:color w:val="auto"/>
              </w:rPr>
              <w:t>Per</w:t>
            </w:r>
          </w:p>
        </w:tc>
        <w:tc>
          <w:tcPr>
            <w:tcW w:w="8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Per</w:t>
            </w: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Pre-Funded</w:t>
            </w:r>
          </w:p>
        </w:tc>
        <w:tc>
          <w:tcPr>
            <w:tcW w:w="920" w:type="dxa"/>
            <w:vAlign w:val="bottom"/>
            <w:vMerge w:val="restart"/>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0" w:type="dxa"/>
            <w:vAlign w:val="bottom"/>
          </w:tcPr>
          <w:p>
            <w:pPr>
              <w:spacing w:after="0"/>
              <w:rPr>
                <w:sz w:val="1"/>
                <w:szCs w:val="1"/>
                <w:color w:val="auto"/>
              </w:rPr>
            </w:pPr>
          </w:p>
        </w:tc>
      </w:tr>
      <w:tr>
        <w:trPr>
          <w:trHeight w:val="175"/>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Public offering price</w:t>
            </w:r>
          </w:p>
        </w:tc>
        <w:tc>
          <w:tcPr>
            <w:tcW w:w="1760" w:type="dxa"/>
            <w:vAlign w:val="bottom"/>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9"/>
              </w:rPr>
              <w:t>Share</w:t>
            </w:r>
          </w:p>
        </w:tc>
        <w:tc>
          <w:tcPr>
            <w:tcW w:w="8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Warrant</w:t>
            </w:r>
          </w:p>
        </w:tc>
        <w:tc>
          <w:tcPr>
            <w:tcW w:w="920" w:type="dxa"/>
            <w:vAlign w:val="bottom"/>
            <w:vMerge w:val="continue"/>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vMerge w:val="continue"/>
          </w:tcPr>
          <w:p>
            <w:pPr>
              <w:spacing w:after="0"/>
              <w:rPr>
                <w:sz w:val="16"/>
                <w:szCs w:val="16"/>
                <w:color w:val="auto"/>
              </w:rPr>
            </w:pPr>
          </w:p>
        </w:tc>
        <w:tc>
          <w:tcPr>
            <w:tcW w:w="2120" w:type="dxa"/>
            <w:vAlign w:val="bottom"/>
            <w:gridSpan w:val="2"/>
          </w:tcPr>
          <w:p>
            <w:pPr>
              <w:jc w:val="right"/>
              <w:ind w:right="248"/>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620" w:type="dxa"/>
            <w:vAlign w:val="bottom"/>
            <w:gridSpan w:val="2"/>
          </w:tcPr>
          <w:p>
            <w:pPr>
              <w:jc w:val="right"/>
              <w:ind w:right="408"/>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208"/>
              <w:spacing w:after="0" w:line="189" w:lineRule="exact"/>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Underwriting discount and commissions (1)</w:t>
            </w:r>
          </w:p>
        </w:tc>
        <w:tc>
          <w:tcPr>
            <w:tcW w:w="21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i w:val="1"/>
                <w:iCs w:val="1"/>
                <w:color w:val="auto"/>
              </w:rPr>
              <w:t>$</w:t>
            </w:r>
          </w:p>
        </w:tc>
        <w:tc>
          <w:tcPr>
            <w:tcW w:w="16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6"/>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to Tenaya Therapeutics, Inc., before expenses</w:t>
            </w:r>
          </w:p>
        </w:tc>
        <w:tc>
          <w:tcPr>
            <w:tcW w:w="212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i w:val="1"/>
                <w:iCs w:val="1"/>
                <w:color w:val="auto"/>
              </w:rPr>
              <w:t>$</w:t>
            </w:r>
          </w:p>
        </w:tc>
        <w:tc>
          <w:tcPr>
            <w:tcW w:w="162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“Underwriting” for a description of the compensation payable to the underwriters.</w:t>
      </w:r>
    </w:p>
    <w:p>
      <w:pPr>
        <w:spacing w:after="0" w:line="77" w:lineRule="exact"/>
        <w:rPr>
          <w:sz w:val="24"/>
          <w:szCs w:val="24"/>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We have granted the underwriters an option for a period of 30 days to purchase up to an additional $11,250,000 of shares of our common stock to cover over-allotments, less the underwriting discounts and commissions.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95885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ind w:left="120" w:right="16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INVESTING IN OUR SECURITIES INVOLVES SIGNIFICANT RISKS. YOU SHOULD REVIEW CAREFULLY THE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ON PAGE S-13 OF THIS PROSPECTUS SUPPLEMENT, AND IN THE DOCUMENTS INCORPORATED BY REFERENCE IN THIS PROSPECTUS SUPPLEMENT AND ACCOMPANYING PROSPECTUS BEFORE INVESTING IN OUR SECURITIES.</w:t>
      </w:r>
    </w:p>
    <w:p>
      <w:pPr>
        <w:spacing w:after="0" w:line="36" w:lineRule="exact"/>
        <w:rPr>
          <w:sz w:val="24"/>
          <w:szCs w:val="24"/>
          <w:color w:val="auto"/>
        </w:rPr>
      </w:pPr>
    </w:p>
    <w:p>
      <w:pPr>
        <w:ind w:left="120" w:right="220"/>
        <w:spacing w:after="0" w:line="306" w:lineRule="auto"/>
        <w:rPr>
          <w:sz w:val="20"/>
          <w:szCs w:val="20"/>
          <w:color w:val="auto"/>
        </w:rPr>
      </w:pPr>
      <w:r>
        <w:rPr>
          <w:rFonts w:ascii="Times New Roman" w:cs="Times New Roman" w:eastAsia="Times New Roman" w:hAnsi="Times New Roman"/>
          <w:sz w:val="17"/>
          <w:szCs w:val="17"/>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36"/>
        </w:trPr>
        <w:tc>
          <w:tcPr>
            <w:tcW w:w="91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shares of common stock and pre-funded warrants to purchasers on or about November</w:t>
            </w:r>
          </w:p>
        </w:tc>
        <w:tc>
          <w:tcPr>
            <w:tcW w:w="1900" w:type="dxa"/>
            <w:vAlign w:val="bottom"/>
          </w:tcPr>
          <w:p>
            <w:pPr>
              <w:jc w:val="right"/>
              <w:ind w:right="1122"/>
              <w:spacing w:after="0"/>
              <w:rPr>
                <w:sz w:val="20"/>
                <w:szCs w:val="20"/>
                <w:color w:val="auto"/>
              </w:rPr>
            </w:pPr>
            <w:r>
              <w:rPr>
                <w:rFonts w:ascii="Times New Roman" w:cs="Times New Roman" w:eastAsia="Times New Roman" w:hAnsi="Times New Roman"/>
                <w:sz w:val="18"/>
                <w:szCs w:val="18"/>
                <w:i w:val="1"/>
                <w:iCs w:val="1"/>
                <w:color w:val="auto"/>
              </w:rPr>
              <w:t>, 2022.</w:t>
            </w:r>
          </w:p>
        </w:tc>
      </w:tr>
      <w:tr>
        <w:trPr>
          <w:trHeight w:val="203"/>
        </w:trPr>
        <w:tc>
          <w:tcPr>
            <w:tcW w:w="434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4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591"/>
        </w:trPr>
        <w:tc>
          <w:tcPr>
            <w:tcW w:w="9120" w:type="dxa"/>
            <w:vAlign w:val="bottom"/>
            <w:gridSpan w:val="3"/>
          </w:tcPr>
          <w:p>
            <w:pPr>
              <w:spacing w:after="0"/>
              <w:rPr>
                <w:sz w:val="20"/>
                <w:szCs w:val="20"/>
                <w:color w:val="auto"/>
              </w:rPr>
            </w:pPr>
            <w:r>
              <w:rPr>
                <w:rFonts w:ascii="Times New Roman" w:cs="Times New Roman" w:eastAsia="Times New Roman" w:hAnsi="Times New Roman"/>
                <w:sz w:val="32"/>
                <w:szCs w:val="32"/>
                <w:i w:val="1"/>
                <w:iCs w:val="1"/>
                <w:color w:val="auto"/>
              </w:rPr>
              <w:t>Morgan Stanley</w:t>
            </w:r>
          </w:p>
        </w:tc>
        <w:tc>
          <w:tcPr>
            <w:tcW w:w="1900" w:type="dxa"/>
            <w:vAlign w:val="bottom"/>
          </w:tcPr>
          <w:p>
            <w:pPr>
              <w:jc w:val="right"/>
              <w:spacing w:after="0"/>
              <w:rPr>
                <w:sz w:val="20"/>
                <w:szCs w:val="20"/>
                <w:color w:val="auto"/>
              </w:rPr>
            </w:pPr>
            <w:r>
              <w:rPr>
                <w:rFonts w:ascii="Times New Roman" w:cs="Times New Roman" w:eastAsia="Times New Roman" w:hAnsi="Times New Roman"/>
                <w:sz w:val="32"/>
                <w:szCs w:val="32"/>
                <w:i w:val="1"/>
                <w:iCs w:val="1"/>
                <w:color w:val="auto"/>
              </w:rPr>
              <w:t>Piper Sandler</w:t>
            </w:r>
          </w:p>
        </w:tc>
      </w:tr>
      <w:tr>
        <w:trPr>
          <w:trHeight w:val="472"/>
        </w:trPr>
        <w:tc>
          <w:tcPr>
            <w:tcW w:w="9120" w:type="dxa"/>
            <w:vAlign w:val="bottom"/>
            <w:gridSpan w:val="3"/>
          </w:tcPr>
          <w:p>
            <w:pPr>
              <w:spacing w:after="0"/>
              <w:rPr>
                <w:sz w:val="20"/>
                <w:szCs w:val="20"/>
                <w:color w:val="auto"/>
              </w:rPr>
            </w:pPr>
            <w:r>
              <w:rPr>
                <w:rFonts w:ascii="Times New Roman" w:cs="Times New Roman" w:eastAsia="Times New Roman" w:hAnsi="Times New Roman"/>
                <w:sz w:val="32"/>
                <w:szCs w:val="32"/>
                <w:i w:val="1"/>
                <w:iCs w:val="1"/>
                <w:color w:val="auto"/>
              </w:rPr>
              <w:t>H.C. Wainwright &amp; Co.</w:t>
            </w:r>
          </w:p>
        </w:tc>
        <w:tc>
          <w:tcPr>
            <w:tcW w:w="1900" w:type="dxa"/>
            <w:vAlign w:val="bottom"/>
          </w:tcPr>
          <w:p>
            <w:pPr>
              <w:jc w:val="right"/>
              <w:spacing w:after="0"/>
              <w:rPr>
                <w:sz w:val="20"/>
                <w:szCs w:val="20"/>
                <w:color w:val="auto"/>
              </w:rPr>
            </w:pPr>
            <w:r>
              <w:rPr>
                <w:rFonts w:ascii="Times New Roman" w:cs="Times New Roman" w:eastAsia="Times New Roman" w:hAnsi="Times New Roman"/>
                <w:sz w:val="32"/>
                <w:szCs w:val="32"/>
                <w:i w:val="1"/>
                <w:iCs w:val="1"/>
                <w:color w:val="auto"/>
              </w:rPr>
              <w:t>Chardan</w:t>
            </w:r>
          </w:p>
        </w:tc>
      </w:tr>
    </w:tbl>
    <w:p>
      <w:pPr>
        <w:spacing w:after="0" w:line="44" w:lineRule="exact"/>
        <w:rPr>
          <w:sz w:val="24"/>
          <w:szCs w:val="24"/>
          <w:color w:val="auto"/>
        </w:rPr>
      </w:pPr>
    </w:p>
    <w:p>
      <w:pPr>
        <w:sectPr>
          <w:pgSz w:w="11900" w:h="16838" w:orient="portrait"/>
          <w:cols w:equalWidth="0" w:num="1">
            <w:col w:w="11140"/>
          </w:cols>
          <w:pgMar w:left="320" w:top="226" w:right="439" w:bottom="1440" w:gutter="0" w:footer="0" w:header="0"/>
        </w:sect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November</w:t>
        <w:tab/>
        <w:t>, 2022</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11080"/>
          </w:cols>
          <w:pgMar w:left="320" w:top="455" w:right="499" w:bottom="1440" w:gutter="0" w:footer="0" w:header="0"/>
        </w:sect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1380" w:type="dxa"/>
            <w:vAlign w:val="bottom"/>
            <w:gridSpan w:val="3"/>
            <w:vMerge w:val="restart"/>
          </w:tcPr>
          <w:p>
            <w:pPr>
              <w:spacing w:after="0"/>
              <w:rPr>
                <w:sz w:val="15"/>
                <w:szCs w:val="15"/>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7"/>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SPECIAL NOTE REGARDING FORWARD-LOOKING</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STATEMENTS</w:t>
            </w:r>
          </w:p>
        </w:tc>
        <w:tc>
          <w:tcPr>
            <w:tcW w:w="350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w:t>
            </w:r>
          </w:p>
        </w:tc>
        <w:tc>
          <w:tcPr>
            <w:tcW w:w="0" w:type="dxa"/>
            <w:vAlign w:val="bottom"/>
          </w:tcPr>
          <w:p>
            <w:pPr>
              <w:spacing w:after="0"/>
              <w:rPr>
                <w:sz w:val="1"/>
                <w:szCs w:val="1"/>
                <w:color w:val="auto"/>
              </w:rPr>
            </w:pPr>
          </w:p>
        </w:tc>
      </w:tr>
      <w:tr>
        <w:trPr>
          <w:trHeight w:val="196"/>
        </w:trPr>
        <w:tc>
          <w:tcPr>
            <w:tcW w:w="48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324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48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PRE-FUNDED WARRANTS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9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MATERIAL U.S. FEDERAL INCOME TAX</w:t>
            </w: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4940" w:type="dxa"/>
            <w:vAlign w:val="bottom"/>
            <w:gridSpan w:val="11"/>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8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CONSEQUENCES FOR HOLDERS OF COMMON</w:t>
            </w:r>
          </w:p>
        </w:tc>
        <w:tc>
          <w:tcPr>
            <w:tcW w:w="9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AND PRE-FUNDED WARRANTS</w:t>
            </w:r>
          </w:p>
        </w:tc>
        <w:tc>
          <w:tcPr>
            <w:tcW w:w="1540" w:type="dxa"/>
            <w:vAlign w:val="bottom"/>
            <w:gridSpan w:val="4"/>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S-20</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S-26</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3480" w:type="dxa"/>
            <w:vAlign w:val="bottom"/>
            <w:gridSpan w:val="6"/>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S-37</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S-37</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120" w:type="dxa"/>
            <w:vAlign w:val="bottom"/>
            <w:gridSpan w:val="3"/>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S-37</w:t>
            </w:r>
          </w:p>
        </w:tc>
        <w:tc>
          <w:tcPr>
            <w:tcW w:w="0" w:type="dxa"/>
            <w:vAlign w:val="bottom"/>
          </w:tcPr>
          <w:p>
            <w:pPr>
              <w:spacing w:after="0"/>
              <w:rPr>
                <w:sz w:val="1"/>
                <w:szCs w:val="1"/>
                <w:color w:val="auto"/>
              </w:rPr>
            </w:pPr>
          </w:p>
        </w:tc>
      </w:tr>
      <w:tr>
        <w:trPr>
          <w:trHeight w:val="196"/>
        </w:trPr>
        <w:tc>
          <w:tcPr>
            <w:tcW w:w="49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9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REFERENCE</w:t>
            </w:r>
          </w:p>
        </w:tc>
        <w:tc>
          <w:tcPr>
            <w:tcW w:w="84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3"/>
              </w:rPr>
              <w:t>S-38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40" w:space="400"/>
            <w:col w:w="5340"/>
          </w:cols>
          <w:pgMar w:left="320" w:top="455" w:right="499" w:bottom="1440" w:gutter="0" w:footer="0" w:header="0"/>
          <w:type w:val="continuous"/>
        </w:sect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2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44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DESCRIPTION OF PURCHASE CONTRACTS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4920" w:type="dxa"/>
            <w:vAlign w:val="bottom"/>
            <w:gridSpan w:val="11"/>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400" w:type="dxa"/>
            <w:vAlign w:val="bottom"/>
          </w:tcPr>
          <w:p>
            <w:pPr>
              <w:spacing w:after="0"/>
              <w:rPr>
                <w:sz w:val="14"/>
                <w:szCs w:val="14"/>
                <w:color w:val="auto"/>
              </w:rPr>
            </w:pPr>
          </w:p>
        </w:tc>
        <w:tc>
          <w:tcPr>
            <w:tcW w:w="442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700" w:type="dxa"/>
            <w:vAlign w:val="bottom"/>
            <w:gridSpan w:val="7"/>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880" w:type="dxa"/>
            <w:vAlign w:val="bottom"/>
            <w:gridSpan w:val="2"/>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84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4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4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00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gridSpan w:val="5"/>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580" w:type="dxa"/>
            <w:vAlign w:val="bottom"/>
            <w:gridSpan w:val="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4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48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44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480" w:type="dxa"/>
            <w:vAlign w:val="bottom"/>
            <w:gridSpan w:val="5"/>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DEPOSITARY SHARES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40" w:type="dxa"/>
            <w:vAlign w:val="bottom"/>
            <w:tcBorders>
              <w:top w:val="single" w:sz="8" w:color="0000EE"/>
            </w:tcBorders>
            <w:gridSpan w:val="4"/>
          </w:tcPr>
          <w:p>
            <w:pPr>
              <w:spacing w:after="0"/>
              <w:rPr>
                <w:sz w:val="17"/>
                <w:szCs w:val="17"/>
                <w:color w:val="auto"/>
              </w:rPr>
            </w:pPr>
          </w:p>
        </w:tc>
        <w:tc>
          <w:tcPr>
            <w:tcW w:w="1600" w:type="dxa"/>
            <w:vAlign w:val="bottom"/>
            <w:gridSpan w:val="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RIGHTS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Securities and Exchange Commission, which we refer to as the “SEC,” utilizing a “shelf” registration process.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common stock and pre-funded warrants in two parts. The first part is this prospectus supplement, which provides you with specific information regarding the terms of this offering of our common stock and pre-funded warrants,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 and pre-funded warrants. Generally, when we refer to this prospectus, we are referring to both parts of this document combined.</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common stock or pre-funded warrants that we are offering, we urge you to carefully read this prospectus supplement, the accompanying prospectus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or therein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make any representation, other than those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offering to sell, and seeking offers to buy, our common stock and pre-funded warrants only in jurisdictions where offers and sales are permitted. The distribution of this prospectus supplement and the accompanying prospectus and the offering of the common stock and pre-funded warrants in certain jurisdictions may be restricted by law. Persons outside the United States who come into possession of this prospectus supplement and the accompanying prospectus must inform themselves about, and observe any restrictions relating to, the offering of the common stock and pre-funded warrants and the distribution of this prospectus supplement and the accompanying prospectus outside the United States.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Unless the context otherwise indicates, references in this prospectus supplement, the accompanying prospectus and the information incorporated by reference herein and therein to “Tenaya Therapeutics, Inc.,” “Tenaya,” “we,” “our” and “us” refer, collectively, to Tenaya Therapeutics, Inc.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documents incorporated by reference herein and therein, contain forward-looking statements within the meaning of Section 27A of the Securities Act, and Section 21E of the Exchange Act.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development plans, planned preclinical studies and clinical trials, future results of preclinical studies and clinical trials, expected research and development costs, regulatory strategy, timing and likelihood of success, as well as plans and objectives of management for future operations, are forward-looking statements.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These forward-looking statements include, but are not limited to, statements about:</w:t>
      </w:r>
    </w:p>
    <w:p>
      <w:pPr>
        <w:spacing w:after="0" w:line="79" w:lineRule="exact"/>
        <w:rPr>
          <w:sz w:val="20"/>
          <w:szCs w:val="20"/>
          <w:color w:val="auto"/>
        </w:rPr>
      </w:pPr>
    </w:p>
    <w:p>
      <w:pPr>
        <w:ind w:left="1080" w:right="54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ongoing preclinical studies and ongoing or planned clinical trials to demonstrate safety and efficacy of our product candidates, and other positive results;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ongoing or planned clinical trials for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our current product candidates and programs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commercialization, and marketing capabilities and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of our product candidates, including additional indications and targets we may pursue;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laws and regulations and regulatory developments in the United States, Europe and other jurisdictions;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the ongoing COVID-19 pandemic on our business, including our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5"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preclinical studies and clinical trials of our product candidates and for the development and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negotiate favorable terms of, any collaboration, partnership, licensing or other arrangements that may be necessary or desirable to develop, manufacture or commercialize our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current product candidates and other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operating losses,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cash equivalents, and investments in marketable securities will be sufficient to fund our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remain an emerging growth company under the JOBS Act;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herein and therein by reference, and any free writing prospectus that we may have authorized for use in connection with this offering,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supplement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You are cautioned not to give undue weight to any such information, projections and estimates.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this offering and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carefully read this entire prospectus supplement and the accompanying prospectus, including the information incorporated herein and therein, especially the risks of investing in our common stock discussed under “Risk Factors” beginning on page S-13 of this prospectus supplement, the “Risk Factors” section of our most recent Quarterly Report on Form 10-Q and other filings we make with the SEC,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are a clinical-stage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being assessed in clinical trials or are in the preclinical stage; we do not have any products approved for sale and have not generated any revenue to date.</w:t>
      </w:r>
    </w:p>
    <w:p>
      <w:pPr>
        <w:spacing w:after="0" w:line="180"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most advanced product candidate from our Gene Therapy Platform is TN-201. TN-201 is an adeno-associated virus (AAV)-based gene therapy that addresses genetic hypertrophic cardiomyopathy (HCM) caused by Myosin Binding Protein C3 (MYBPC3)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MYBPC3 gene driven by our proprietary heart-specific promoter to restore normal levels of MYBPC3 protein. We plan to submit an IND for TN-201 by year end 2022 and expect to provide an update on the status of the IND in early 2023. TN-201 has been granted orphan drug designation by both the FDA and the European Commission for the potential treatment of HCM due to mutations in the MYBPC3 gene. We intend to explore the effect of TN-201 in both the obstructive and nonobstructive HCM (nHCM) patient populations. However, as the majority of patients with MYBPC3 gene mutations have the nonobstructive form of HCM, we intend to focus initial clinical development on nHCM patients.</w:t>
      </w:r>
    </w:p>
    <w:p>
      <w:pPr>
        <w:spacing w:after="0" w:line="188"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In 2021, we initiated a global natural history study to improve our understanding of disease progression and unmet need in individuals carrying mutations in the MYBPC3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w:t>
      </w: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40"/>
          </w:cols>
          <w:pgMar w:left="320" w:top="455"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35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8" w:lineRule="auto"/>
        <w:rPr>
          <w:sz w:val="20"/>
          <w:szCs w:val="20"/>
          <w:color w:val="auto"/>
        </w:rPr>
      </w:pPr>
      <w:r>
        <w:rPr>
          <w:rFonts w:ascii="Times New Roman" w:cs="Times New Roman" w:eastAsia="Times New Roman" w:hAnsi="Times New Roman"/>
          <w:sz w:val="18"/>
          <w:szCs w:val="18"/>
          <w:color w:val="auto"/>
        </w:rPr>
        <w:t>areas of unmet need in heart disease, and is characterized by systemic inflammation, left ventricular hypertrophy, fibrosis and diastolic dysfunction resulting in high morbidity and mortality in affected individuals. In September 2022, we received clearance from the FDA for our TN-301 IND application and initiated our Phase 1 randomized, double-blind, placebo-controlled clinical trial designed to evaluate the safety and tolerability of escalating oral doses of TN-301. We expect to present data from the single-ascending and multiple-ascending dose portions of the Phase 1 trial in 2023.</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(PKP2)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are also working to expand our understanding of ARVC disease progression and intend to initiate a global non-interventional study in 2022 designed to collect treatment history and seroprevalence to AAV antibodies data among ARVC PKP2 gene mutation carriers. We plan to submit an IND for TN-401 in 2023.</w:t>
      </w:r>
    </w:p>
    <w:p>
      <w:pPr>
        <w:spacing w:after="0" w:line="18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(DWORF) gene in the heart, which has potentially broad utility in dilated cardiomyopathy and heart failure with reduced ejection fraction (HFrEF) and is currently at the candidate selection stage. Another program is an AAV-approach that involves reprogramming cardiofibroblasts cells to replace cardiomyocytes lost due to heart damage, such as myocardial infarction. This program is also currently at the candidate selection stage. In addition, we have numerous emerging programs being explored to address other forms of heart failure and we continue to research gene therapy-enabling technologies and capabilities. Among the most advanced of these initiatives is an effort to identify novel AAV capsids designed to deliver cardiac gene therapy with enhanced specificity and expression compared to current AAV vectors, with the goal of optimizing gene therapy safety, dosing and efficacy.</w:t>
      </w:r>
    </w:p>
    <w:p>
      <w:pPr>
        <w:spacing w:after="0" w:line="192"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We have invested in the build-out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trials. This facility will support the production of drug product at multiple scales for clinical trials for all AAV-based programs, including TN-201 and TN-401.</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 below summary of risk factors provides an overview of many of the risks we are exposed to in the normal course of our business activities and risks related to this offering.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prospectus supplement. Additional risks, beyond those summarized below or discussed elsewhere in this prospectus supplement,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94" w:lineRule="exact"/>
        <w:rPr>
          <w:sz w:val="20"/>
          <w:szCs w:val="20"/>
          <w:color w:val="auto"/>
        </w:rPr>
      </w:pPr>
    </w:p>
    <w:p>
      <w:pPr>
        <w:ind w:left="1240" w:right="100" w:hanging="523"/>
        <w:spacing w:after="0" w:line="266"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with a limited operating history, have not completed any clinical trials, and have no products approved for commercial sale, which may make it difficult for you to evaluate our current business and likelihood of success and future viability.</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2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any product revenue to date, have incurred significant net losses since our inception and expect to continue to incur significant net losses for the foreseeable future.</w:t>
      </w:r>
    </w:p>
    <w:p>
      <w:pPr>
        <w:spacing w:after="0" w:line="67" w:lineRule="exact"/>
        <w:rPr>
          <w:rFonts w:ascii="Times New Roman" w:cs="Times New Roman" w:eastAsia="Times New Roman" w:hAnsi="Times New Roman"/>
          <w:sz w:val="18"/>
          <w:szCs w:val="18"/>
          <w:color w:val="auto"/>
        </w:rPr>
      </w:pPr>
    </w:p>
    <w:p>
      <w:pPr>
        <w:ind w:left="1240" w:right="16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7" w:lineRule="exact"/>
        <w:rPr>
          <w:rFonts w:ascii="Times New Roman" w:cs="Times New Roman" w:eastAsia="Times New Roman" w:hAnsi="Times New Roman"/>
          <w:sz w:val="18"/>
          <w:szCs w:val="18"/>
          <w:color w:val="auto"/>
        </w:rPr>
      </w:pPr>
    </w:p>
    <w:p>
      <w:pPr>
        <w:ind w:left="1240" w:right="10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1" w:lineRule="exact"/>
        <w:rPr>
          <w:rFonts w:ascii="Times New Roman" w:cs="Times New Roman" w:eastAsia="Times New Roman" w:hAnsi="Times New Roman"/>
          <w:sz w:val="18"/>
          <w:szCs w:val="18"/>
          <w:color w:val="auto"/>
        </w:rPr>
      </w:pPr>
    </w:p>
    <w:p>
      <w:pPr>
        <w:ind w:left="1240" w:right="48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1"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81"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mechanisms of action of our product candidates are unproven, and we do not know whether we will be able to develop any drug of commercial value.</w:t>
      </w:r>
    </w:p>
    <w:p>
      <w:pPr>
        <w:spacing w:after="0" w:line="67" w:lineRule="exact"/>
        <w:rPr>
          <w:rFonts w:ascii="Times New Roman" w:cs="Times New Roman" w:eastAsia="Times New Roman" w:hAnsi="Times New Roman"/>
          <w:sz w:val="18"/>
          <w:szCs w:val="18"/>
          <w:color w:val="auto"/>
        </w:rPr>
      </w:pPr>
    </w:p>
    <w:p>
      <w:pPr>
        <w:ind w:left="1240" w:right="120" w:hanging="523"/>
        <w:spacing w:after="0" w:line="258"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The preclinical studies, clinical trials and post-marketing studies of our product candidates may not demonstrate safety and efficacy to the satisfaction of the FDA, European Medicines Agency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88" w:lineRule="exact"/>
        <w:rPr>
          <w:rFonts w:ascii="Times New Roman" w:cs="Times New Roman" w:eastAsia="Times New Roman" w:hAnsi="Times New Roman"/>
          <w:sz w:val="18"/>
          <w:szCs w:val="18"/>
          <w:color w:val="auto"/>
        </w:rPr>
      </w:pPr>
    </w:p>
    <w:p>
      <w:pPr>
        <w:ind w:left="124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81" w:lineRule="exact"/>
        <w:rPr>
          <w:rFonts w:ascii="Times New Roman" w:cs="Times New Roman" w:eastAsia="Times New Roman" w:hAnsi="Times New Roman"/>
          <w:sz w:val="18"/>
          <w:szCs w:val="18"/>
          <w:color w:val="auto"/>
        </w:rPr>
      </w:pPr>
    </w:p>
    <w:p>
      <w:pPr>
        <w:ind w:left="1240" w:hanging="523"/>
        <w:spacing w:after="0" w:line="261"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5" w:lineRule="exact"/>
        <w:rPr>
          <w:rFonts w:ascii="Times New Roman" w:cs="Times New Roman" w:eastAsia="Times New Roman" w:hAnsi="Times New Roman"/>
          <w:sz w:val="18"/>
          <w:szCs w:val="18"/>
          <w:color w:val="auto"/>
        </w:rPr>
      </w:pPr>
    </w:p>
    <w:p>
      <w:pPr>
        <w:jc w:val="both"/>
        <w:ind w:left="1240" w:right="160" w:hanging="523"/>
        <w:spacing w:after="0" w:line="312" w:lineRule="auto"/>
        <w:tabs>
          <w:tab w:leader="none" w:pos="1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45" w:lineRule="exact"/>
        <w:rPr>
          <w:rFonts w:ascii="Times New Roman" w:cs="Times New Roman" w:eastAsia="Times New Roman" w:hAnsi="Times New Roman"/>
          <w:sz w:val="17"/>
          <w:szCs w:val="17"/>
          <w:color w:val="auto"/>
        </w:rPr>
      </w:pPr>
    </w:p>
    <w:p>
      <w:pPr>
        <w:jc w:val="both"/>
        <w:ind w:left="124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comparable foreign regulatory authorities are lengthy, time-consuming and inherently unpredictable. If we are ultimately unable to obtain regulatory approval of our product candidates, we will be unable to generate product revenue and our business will be substantially harmed.</w:t>
      </w:r>
    </w:p>
    <w:p>
      <w:pPr>
        <w:spacing w:after="0" w:line="81" w:lineRule="exact"/>
        <w:rPr>
          <w:rFonts w:ascii="Times New Roman" w:cs="Times New Roman" w:eastAsia="Times New Roman" w:hAnsi="Times New Roman"/>
          <w:sz w:val="18"/>
          <w:szCs w:val="18"/>
          <w:color w:val="auto"/>
        </w:rPr>
      </w:pPr>
    </w:p>
    <w:p>
      <w:pPr>
        <w:ind w:left="1240" w:right="200" w:hanging="523"/>
        <w:spacing w:after="0" w:line="266"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41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1417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20" w:hanging="523"/>
        <w:spacing w:after="0" w:line="261"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85" w:lineRule="exact"/>
        <w:rPr>
          <w:rFonts w:ascii="Times New Roman" w:cs="Times New Roman" w:eastAsia="Times New Roman" w:hAnsi="Times New Roman"/>
          <w:sz w:val="18"/>
          <w:szCs w:val="18"/>
          <w:color w:val="auto"/>
        </w:rPr>
      </w:pPr>
    </w:p>
    <w:p>
      <w:pPr>
        <w:jc w:val="both"/>
        <w:ind w:left="1240" w:right="220" w:hanging="523"/>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our ongoing clinical trial and plan to rely on third parties to conduct future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w:t>
      </w:r>
    </w:p>
    <w:p>
      <w:pPr>
        <w:spacing w:after="0" w:line="130" w:lineRule="exact"/>
        <w:rPr>
          <w:rFonts w:ascii="Times New Roman" w:cs="Times New Roman" w:eastAsia="Times New Roman" w:hAnsi="Times New Roman"/>
          <w:sz w:val="18"/>
          <w:szCs w:val="18"/>
          <w:color w:val="auto"/>
        </w:rPr>
      </w:pPr>
    </w:p>
    <w:p>
      <w:pPr>
        <w:ind w:left="1240" w:right="28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will have broad discretion to use of the net proceeds from this offering and its investment of those proceeds may not yield a favorable return.</w:t>
      </w:r>
    </w:p>
    <w:p>
      <w:pPr>
        <w:spacing w:after="0" w:line="67" w:lineRule="exact"/>
        <w:rPr>
          <w:rFonts w:ascii="Times New Roman" w:cs="Times New Roman" w:eastAsia="Times New Roman" w:hAnsi="Times New Roman"/>
          <w:sz w:val="18"/>
          <w:szCs w:val="18"/>
          <w:color w:val="auto"/>
        </w:rPr>
      </w:pPr>
    </w:p>
    <w:p>
      <w:pPr>
        <w:ind w:left="1240" w:right="40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anticipate paying cash dividends and, accordingly, stockholders must rely on share appreciation for any return on their investment.</w:t>
      </w:r>
    </w:p>
    <w:p>
      <w:pPr>
        <w:spacing w:after="0" w:line="67" w:lineRule="exact"/>
        <w:rPr>
          <w:rFonts w:ascii="Times New Roman" w:cs="Times New Roman" w:eastAsia="Times New Roman" w:hAnsi="Times New Roman"/>
          <w:sz w:val="18"/>
          <w:szCs w:val="18"/>
          <w:color w:val="auto"/>
        </w:rPr>
      </w:pPr>
    </w:p>
    <w:p>
      <w:pPr>
        <w:ind w:left="1240" w:right="16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our stockholders, including purchasers of our common stock in this offering, restrict our operations or require us to relinquish substantial rights.</w:t>
      </w:r>
    </w:p>
    <w:p>
      <w:pPr>
        <w:spacing w:after="0" w:line="67" w:lineRule="exact"/>
        <w:rPr>
          <w:rFonts w:ascii="Times New Roman" w:cs="Times New Roman" w:eastAsia="Times New Roman" w:hAnsi="Times New Roman"/>
          <w:sz w:val="18"/>
          <w:szCs w:val="18"/>
          <w:color w:val="auto"/>
        </w:rPr>
      </w:pPr>
    </w:p>
    <w:p>
      <w:pPr>
        <w:ind w:left="1240" w:right="14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or may fall below the expectations of investors or securities analysts, each of which may cause our stock price to fluctuate or decline.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public market for the pre-funded warrants being offered in this offering.</w:t>
      </w:r>
    </w:p>
    <w:p>
      <w:pPr>
        <w:spacing w:after="0" w:line="130" w:lineRule="exact"/>
        <w:rPr>
          <w:rFonts w:ascii="Times New Roman" w:cs="Times New Roman" w:eastAsia="Times New Roman" w:hAnsi="Times New Roman"/>
          <w:sz w:val="18"/>
          <w:szCs w:val="18"/>
          <w:color w:val="auto"/>
        </w:rPr>
      </w:pPr>
    </w:p>
    <w:p>
      <w:pPr>
        <w:ind w:left="1240" w:right="120" w:hanging="523"/>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pre-funded warrants will have no rights as common stockholders until such holders exercise their pre-funded warrants and acquire our common stock.</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holders or beneficial owners of our common stock may not be permitted to exercise the pre-funded warrants that they hold.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supplement and should not be considered to be part of this prospectus supplement. The inclusion of our website address in this prospectus supplement is an inactive textual reference only.</w:t>
      </w:r>
    </w:p>
    <w:p>
      <w:pPr>
        <w:spacing w:after="0" w:line="180"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(JOBS Act). We will remain an emerging growth company until the earliest to occur of: (1) the last day</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253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3253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color w:val="auto"/>
        </w:rPr>
        <w:t>of the fiscal year in which we have more than $1.235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supplement, we have incorporated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we (1) are no longer an emerging growth company and</w:t>
      </w:r>
    </w:p>
    <w:p>
      <w:pPr>
        <w:spacing w:after="0" w:line="4" w:lineRule="exact"/>
        <w:rPr>
          <w:sz w:val="20"/>
          <w:szCs w:val="20"/>
          <w:color w:val="auto"/>
        </w:rPr>
      </w:pPr>
    </w:p>
    <w:p>
      <w:pPr>
        <w:ind w:left="300" w:right="140" w:hanging="2"/>
        <w:spacing w:after="0" w:line="260" w:lineRule="auto"/>
        <w:tabs>
          <w:tab w:leader="none" w:pos="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(1) the market value of our stock held by non-affiliates is less than $250 million or (2)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560" w:type="dxa"/>
            <w:vAlign w:val="bottom"/>
            <w:tcBorders>
              <w:top w:val="single" w:sz="8" w:color="auto"/>
              <w:left w:val="single" w:sz="8" w:color="auto"/>
            </w:tcBorders>
          </w:tcPr>
          <w:p>
            <w:pPr>
              <w:spacing w:after="0"/>
              <w:rPr>
                <w:sz w:val="24"/>
                <w:szCs w:val="24"/>
                <w:color w:val="auto"/>
              </w:rPr>
            </w:pPr>
          </w:p>
        </w:tc>
        <w:tc>
          <w:tcPr>
            <w:tcW w:w="646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and Pre-Funded Warrants Offered by Us</w:t>
            </w: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$75.0 million of shares of our common stock. We are also offering, in</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lieu of common stock to certain investors that so choose, pre-funded</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warrants to purchase shares of our common stock. The purchase price</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of each pre-funded warrant will equal the price per share at which</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shares of common stock are being sold to the public in this offering</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minus $0.001, multiplied by the number of shares subject to the</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warrant, and the exercise price of each pre-funded warrant will equal</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$0.001 per share. Each pre-funded warrant will be exercisable from</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date of issuance until the date the warrant is exercised in full,</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subject to an ownership limitation. See “Description of Pre-Funded</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Warrants.” This prospectus supplement also relates to the offering of</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shares of common stock issuable upon the exercise of such</w:t>
            </w:r>
          </w:p>
        </w:tc>
      </w:tr>
      <w:tr>
        <w:trPr>
          <w:trHeight w:val="234"/>
        </w:trPr>
        <w:tc>
          <w:tcPr>
            <w:tcW w:w="4560" w:type="dxa"/>
            <w:vAlign w:val="bottom"/>
            <w:tcBorders>
              <w:left w:val="single" w:sz="8" w:color="auto"/>
            </w:tcBorders>
          </w:tcPr>
          <w:p>
            <w:pPr>
              <w:spacing w:after="0"/>
              <w:rPr>
                <w:sz w:val="20"/>
                <w:szCs w:val="20"/>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pre-funded warrants.</w:t>
            </w:r>
          </w:p>
        </w:tc>
      </w:tr>
      <w:tr>
        <w:trPr>
          <w:trHeight w:val="441"/>
        </w:trPr>
        <w:tc>
          <w:tcPr>
            <w:tcW w:w="4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Over-Allotment Option of Common Stock Offered by Us</w:t>
            </w: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additional $11.25 million of shares of our common stock from us. The</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number of shares subject to the underwriters’ option will equal 15% of</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total of the number of shares of common stock we are offering plus</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 number of shares underlying the pre-funded warrants offered by</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this prospectus supplement. The underwriters can exercise this option</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at any time within 30 days from the date of this prospectus</w:t>
            </w:r>
          </w:p>
        </w:tc>
      </w:tr>
      <w:tr>
        <w:trPr>
          <w:trHeight w:val="234"/>
        </w:trPr>
        <w:tc>
          <w:tcPr>
            <w:tcW w:w="4560" w:type="dxa"/>
            <w:vAlign w:val="bottom"/>
            <w:tcBorders>
              <w:left w:val="single" w:sz="8" w:color="auto"/>
            </w:tcBorders>
          </w:tcPr>
          <w:p>
            <w:pPr>
              <w:spacing w:after="0"/>
              <w:rPr>
                <w:sz w:val="20"/>
                <w:szCs w:val="20"/>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supplement.</w:t>
            </w:r>
          </w:p>
        </w:tc>
      </w:tr>
      <w:tr>
        <w:trPr>
          <w:trHeight w:val="441"/>
        </w:trPr>
        <w:tc>
          <w:tcPr>
            <w:tcW w:w="4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66,971,958 shares of common stock (or 70,811,549 shares if the</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underwriters exercise in full the option to purchase additional shares),</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assuming a public offering price of $2.93 per share, the last reported</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sale price of our common stock on The Nasdaq Global Market Select</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on November 15, 2022, and assuming only shares of common stock</w:t>
            </w:r>
          </w:p>
        </w:tc>
      </w:tr>
      <w:tr>
        <w:trPr>
          <w:trHeight w:val="234"/>
        </w:trPr>
        <w:tc>
          <w:tcPr>
            <w:tcW w:w="4560" w:type="dxa"/>
            <w:vAlign w:val="bottom"/>
            <w:tcBorders>
              <w:left w:val="single" w:sz="8" w:color="auto"/>
            </w:tcBorders>
          </w:tcPr>
          <w:p>
            <w:pPr>
              <w:spacing w:after="0"/>
              <w:rPr>
                <w:sz w:val="20"/>
                <w:szCs w:val="20"/>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were issued in this offering.</w:t>
            </w:r>
          </w:p>
        </w:tc>
      </w:tr>
      <w:tr>
        <w:trPr>
          <w:trHeight w:val="441"/>
        </w:trPr>
        <w:tc>
          <w:tcPr>
            <w:tcW w:w="4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together with our</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existing cash, cash equivalents and marketable securities, to fund our</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ongoing and planned preclinical and clinical development of our most</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advanced product candidates, TN-201 (MYBPC3 gene therapy),</w:t>
            </w:r>
          </w:p>
        </w:tc>
      </w:tr>
      <w:tr>
        <w:trPr>
          <w:trHeight w:val="216"/>
        </w:trPr>
        <w:tc>
          <w:tcPr>
            <w:tcW w:w="4560" w:type="dxa"/>
            <w:vAlign w:val="bottom"/>
            <w:tcBorders>
              <w:left w:val="single" w:sz="8" w:color="auto"/>
            </w:tcBorders>
          </w:tcPr>
          <w:p>
            <w:pPr>
              <w:spacing w:after="0"/>
              <w:rPr>
                <w:sz w:val="18"/>
                <w:szCs w:val="18"/>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TN-301 (HDAC6i small molecule) and TN-401 (PKP2 gene therapy),</w:t>
            </w:r>
          </w:p>
        </w:tc>
      </w:tr>
      <w:tr>
        <w:trPr>
          <w:trHeight w:val="234"/>
        </w:trPr>
        <w:tc>
          <w:tcPr>
            <w:tcW w:w="4560" w:type="dxa"/>
            <w:vAlign w:val="bottom"/>
            <w:tcBorders>
              <w:left w:val="single" w:sz="8" w:color="auto"/>
            </w:tcBorders>
          </w:tcPr>
          <w:p>
            <w:pPr>
              <w:spacing w:after="0"/>
              <w:rPr>
                <w:sz w:val="20"/>
                <w:szCs w:val="20"/>
                <w:color w:val="auto"/>
              </w:rPr>
            </w:pPr>
          </w:p>
        </w:tc>
        <w:tc>
          <w:tcPr>
            <w:tcW w:w="646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the</w:t>
            </w:r>
          </w:p>
        </w:tc>
      </w:tr>
      <w:tr>
        <w:trPr>
          <w:trHeight w:val="159"/>
        </w:trPr>
        <w:tc>
          <w:tcPr>
            <w:tcW w:w="4560" w:type="dxa"/>
            <w:vAlign w:val="bottom"/>
            <w:tcBorders>
              <w:left w:val="single" w:sz="8" w:color="auto"/>
              <w:bottom w:val="single" w:sz="8" w:color="auto"/>
            </w:tcBorders>
          </w:tcPr>
          <w:p>
            <w:pPr>
              <w:spacing w:after="0"/>
              <w:rPr>
                <w:sz w:val="13"/>
                <w:szCs w:val="13"/>
                <w:color w:val="auto"/>
              </w:rPr>
            </w:pPr>
          </w:p>
        </w:tc>
        <w:tc>
          <w:tcPr>
            <w:tcW w:w="6460" w:type="dxa"/>
            <w:vAlign w:val="bottom"/>
            <w:tcBorders>
              <w:bottom w:val="single" w:sz="8" w:color="auto"/>
              <w:right w:val="single" w:sz="8" w:color="auto"/>
            </w:tcBorders>
          </w:tcPr>
          <w:p>
            <w:pPr>
              <w:spacing w:after="0"/>
              <w:rPr>
                <w:sz w:val="13"/>
                <w:szCs w:val="13"/>
                <w:color w:val="auto"/>
              </w:rPr>
            </w:pPr>
          </w:p>
        </w:tc>
      </w:tr>
      <w:tr>
        <w:trPr>
          <w:trHeight w:val="361"/>
        </w:trPr>
        <w:tc>
          <w:tcPr>
            <w:tcW w:w="4560" w:type="dxa"/>
            <w:vAlign w:val="bottom"/>
          </w:tcPr>
          <w:p>
            <w:pPr>
              <w:spacing w:after="0"/>
              <w:rPr>
                <w:sz w:val="24"/>
                <w:szCs w:val="24"/>
                <w:color w:val="auto"/>
              </w:rPr>
            </w:pPr>
          </w:p>
        </w:tc>
        <w:tc>
          <w:tcPr>
            <w:tcW w:w="64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S-10</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continued development of our earlier-stage research programs, the</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progression of our platform initiatives, including our novel AAV</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capsid engineering efforts, our manufacturing operations, and for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working capital and other general corporate purposes. See “Use of</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Proceeds” on page S-16.</w:t>
      </w:r>
    </w:p>
    <w:p>
      <w:pPr>
        <w:sectPr>
          <w:pgSz w:w="11900" w:h="16838" w:orient="portrait"/>
          <w:cols w:equalWidth="0" w:num="1">
            <w:col w:w="10940"/>
          </w:cols>
          <w:pgMar w:left="320" w:top="455" w:right="639" w:bottom="1440" w:gutter="0" w:footer="0" w:header="0"/>
        </w:sectPr>
      </w:pP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significant risks. You should read the “Risk Factors” section on page S-13 of this prospectus supplement and in the documents incorporated by reference in this prospectus supplement and accompanying prospectus for a discussion of factors to consider carefully before deciding to purchase shares of our common stock or pre-funded warrants.</w:t>
      </w:r>
    </w:p>
    <w:p>
      <w:pPr>
        <w:spacing w:after="0" w:line="200"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Nasdaq Global Select Market Symbol</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“TNYA.” There is no established public trading market for the pre-funded warrants, and we do not expect a market to develop. We do not intend to list the pre-funded warrants on The Nasdaq Global Select Market or any other national securities exchange or nationally recognized trading system. Without an active trading market, the liquidity of the pre-funded warrants will be limited. See “Description of Pre-Funded Warrants.”</w:t>
      </w:r>
    </w:p>
    <w:p>
      <w:pPr>
        <w:spacing w:after="0" w:line="192"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outstanding after this offering is based on 41,374,689 shares of our common stock outstanding as of September 30, 2022, and excludes:</w:t>
      </w:r>
    </w:p>
    <w:p>
      <w:pPr>
        <w:spacing w:after="0" w:line="67" w:lineRule="exact"/>
        <w:rPr>
          <w:sz w:val="20"/>
          <w:szCs w:val="20"/>
          <w:color w:val="auto"/>
        </w:rPr>
      </w:pPr>
    </w:p>
    <w:p>
      <w:pPr>
        <w:ind w:left="1240" w:right="34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5,204,615 shares of our common stock issuable upon the exercise of options outstanding as of September 30, 2022, at a weighted-average exercise price of $10.32 per share;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61,537 shares of our common stock issuable upon the vesting of restricted stock units outstanding as of September 30, 2022;</w:t>
      </w:r>
    </w:p>
    <w:p>
      <w:pPr>
        <w:spacing w:after="0" w:line="130" w:lineRule="exact"/>
        <w:rPr>
          <w:rFonts w:ascii="Times New Roman" w:cs="Times New Roman" w:eastAsia="Times New Roman" w:hAnsi="Times New Roman"/>
          <w:sz w:val="18"/>
          <w:szCs w:val="18"/>
          <w:color w:val="auto"/>
        </w:rPr>
      </w:pPr>
    </w:p>
    <w:p>
      <w:pPr>
        <w:ind w:left="1240" w:right="220" w:hanging="523"/>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59,700 shares of our common stock issuable upon the exercises of options granted subsequent to September 30, 2022, at a weighted average exercise price of $2.56 per share;</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412,997 shares of our common stock issuable upon the vesting of restricted stock units granted subsequent to September 30, 2022;</w:t>
      </w:r>
    </w:p>
    <w:p>
      <w:pPr>
        <w:spacing w:after="0" w:line="130" w:lineRule="exact"/>
        <w:rPr>
          <w:rFonts w:ascii="Times New Roman" w:cs="Times New Roman" w:eastAsia="Times New Roman" w:hAnsi="Times New Roman"/>
          <w:sz w:val="18"/>
          <w:szCs w:val="18"/>
          <w:color w:val="auto"/>
        </w:rPr>
      </w:pPr>
    </w:p>
    <w:p>
      <w:pPr>
        <w:jc w:val="both"/>
        <w:ind w:left="1240" w:right="200" w:hanging="523"/>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2,720,107 shares of our common stock reserved for issuance pursuant to future awards under our 2021 Equity Incentive Plan (2021 Plan), as of September 30, 2022, plus any future increases in the number of shares of common stock reserved for issuance under our 2021 Plan pursuant to provisions thereof that automatically increase the share reserve under the plan each year;</w:t>
      </w:r>
    </w:p>
    <w:p>
      <w:pPr>
        <w:spacing w:after="0" w:line="202" w:lineRule="exact"/>
        <w:rPr>
          <w:rFonts w:ascii="Times New Roman" w:cs="Times New Roman" w:eastAsia="Times New Roman" w:hAnsi="Times New Roman"/>
          <w:sz w:val="18"/>
          <w:szCs w:val="18"/>
          <w:color w:val="auto"/>
        </w:rPr>
      </w:pPr>
    </w:p>
    <w:p>
      <w:pPr>
        <w:ind w:left="1240" w:right="440" w:hanging="523"/>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1,161,305 shares of our common stock reserved for future issuance under our 2021 Employee Stock Purchase Plan (ESPP), as of September 30, 2022, plus any future increases in the number of shares of common stock reserved for issuance under the ESPP pursuant to provisions thereof that automatically increase the share reserve under the plan each year; and</w:t>
      </w:r>
    </w:p>
    <w:p>
      <w:pPr>
        <w:spacing w:after="0" w:line="81"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of pre-funded warrants sold in this offering.</w:t>
      </w:r>
    </w:p>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332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Up to $75.0 million of shares of our common stock may be sold from time to time under our “at-the-market” program that we entered into on August 10, 2022, with SVB Securities LLC. As of the date of this prospectus supplement, no sales have been made under our “at-the-market” program. We have agreed not to make any sales under the Sales Agreement until the expiration or waiver of the 90-day lock-up period applicable to us and described in the section titled “Underwriting.”</w:t>
      </w:r>
    </w:p>
    <w:p>
      <w:pPr>
        <w:spacing w:after="0" w:line="180" w:lineRule="exact"/>
        <w:rPr>
          <w:sz w:val="20"/>
          <w:szCs w:val="20"/>
          <w:color w:val="auto"/>
        </w:rPr>
      </w:pPr>
    </w:p>
    <w:p>
      <w:pPr>
        <w:ind w:left="300" w:right="520" w:firstLine="426"/>
        <w:spacing w:after="0" w:line="266"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supplement assumes no exercise of outstanding options or vesting of outstanding restricted stock units after September 30, 2022, no exercise by the underwriters of the option to purchase up to $11.25 million of additional shares of our common stock, and no purchase and exercise of pre-funded warrants by any purchaser in this offering.</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 decision to invest in our securities, in addition to carefully considering the other information contained in this prospectus supplement, in the accompanying prospectus and in the documents incorporated by reference herein or therein, you should carefully consider the risks described below, as well as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The risks described in these documents are not the only ones we face. There may be other unknown or unpredictable economic, business, competitive, regulatory or other factors that could harm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prospects could be harmed. This could cause the trading price of our common stock to decline, resulting in a loss of all or part of your investment. See “Where You Can Find More Information” and “Incorporation of Certain Information by Reference.”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56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vesting of outstanding restricted stock units and the exercise of our outstanding options and warrants will dilute stockholders and could decrease our stock price.</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vesting of outstanding restricted stock units and the exercise of our outstanding options and warrants may adversely affect our stock price due to sales of a large number of shares or the perception that such sales could occur. These factors also could make it more difficult to raise funds through future offerings of our securities, and could adversely impact the terms under which we could obtain additional equity capital. Exercise of outstanding options and warrants or any future issuance of additional shares of common stock or other securities, including, but not limited to preferred stock, options, warrants, restricted stock units or other derivative securities convertible into our common stock, may result in significant dilution to our stockholders and may decrease our stock price.</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including pursuant to our existing “at-the-market” program. As of September 30, 2022, we had 41,374,689 shares of our common stock outstanding. If our stockholders sell, or the market perceives that our stockholders intend to sell, a substantial amount of our common stock in the public market, the market price of our common stock could decline significantly.</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or the vesting of restricted stock units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that may not yield a favorable return or enhance the value of our common stock.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Accordingly, we will have broad discretion in using these proceeds. Until the net proceeds are used, they may be placed in investments that do not produce significant income or that may lose value.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and, accordingly, stockholders must rely on share appreciation for any return on their investment.</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84"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preclinical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56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or may fall below the expectations of investors or securities analysts, each of which may cause our stock price to fluctuate or decline.</w:t>
      </w:r>
    </w:p>
    <w:p>
      <w:pPr>
        <w:spacing w:after="0" w:line="15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fluctuations. Our net loss and other operating results will be affected by numerous factors, including:</w:t>
      </w:r>
    </w:p>
    <w:p>
      <w:pPr>
        <w:spacing w:after="0" w:line="6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product candidates or future development programs;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preclinical studies and clinical trials or funding support by us or potential future collaborators;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potential future arrangements or the termination or modification of any of our existing or potential future collaboration, licensing or similar arrangements;</w:t>
      </w:r>
    </w:p>
    <w:p>
      <w:pPr>
        <w:spacing w:after="0" w:line="81"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misappropriation or violation lawsuit or opposition, interference or cancellation proceeding in which we may become involved;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our operating results fall below the expectations of investors or securities analysts, the price of our common stock could decline substantially. Furthermore, any fluctuations in our operating results may, in turn, cause the price of our stock to fluctuate substantially. We believe that comparisons of our financial results are not necessarily meaningful and should not be relied upon as an indication of our future performance.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Select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ind w:left="56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pre-funded warrants will have no rights as common stockholders until such holders exercise their pre-funded warrants and acquire our common stock.</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our common stock underlying such pre-funded warrants.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the pre-funded warrants that they hold.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holder of the pre-funded warrants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and subject to such holder’s rights under the pre-funded warrants to increase or decrease such percentage to any other percentage not in excess of 19.99% upon at least 61 days’ prior notice from the holder to us. As a result, you may not be able to exercise your pre-funded warrants for shares of our common stock at a time when it would be financially beneficial for you to do so. In such a circumstance, you could seek to sell your pre-funded warrants to realize value, but you may be unable to do so in the absence of an established trading market.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net proceeds to us from the issuance and sale of shares of common stock and pre-funded warrants in this offering and will be</w:t>
      </w:r>
    </w:p>
    <w:p>
      <w:pPr>
        <w:spacing w:after="0" w:line="27"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approximately $ million, or approximately $ million if the underwriters exercise their over-allotment option to purchase additional shares in full, after deducting underwriting discounts and commissions and estimated offering expenses payable by us.</w:t>
      </w:r>
    </w:p>
    <w:p>
      <w:pPr>
        <w:spacing w:after="0" w:line="18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together with our existing cash, cash equivalents and marketable securities, to fund our ongoing and planned preclinical and clinical development of our most advanced product candidates, TN-201 (MYBPC3 gene therapy), TN-301 (HDAC6i small molecule) and TN-401 (PKP2 gene therapy), the continued development of our earlier-stage research programs, the progression of our platform initiatives, including our novel AAV capsid engineering efforts, our manufacturing operations, and for working capital and other general corporate purposes.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net proceeds from this offering, together with our existing cash, cash equivalents and marketable securities, will not be sufficient for us to fund our clinical programs, and we will need to raise additional capital to achieve our business objectives.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You should review the form of pre-funded warrant, which will be filed as an exhibit to a Current Report on Form 8-K that we expect to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will expire on the date the warrant is exercised in full.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pre-funded warrants are exercisable at any time on or after their original issuance.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fractional shares, we will pay the holder an amount in cash equal to the fractional amount multiplied by the fair market value of the common stock on the exercise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that, upon giving effect to such exercise, would cause: (i) the aggregate number of shares of our common stock beneficially owned by such holder (together with its affiliates) to exceed 9.99% of the number of shares of our common stock outstanding immediately after giving effect to the exercise; or (ii) the combined voting power of our securities beneficially owned by such holder (together with its affiliates) to exceed 9.99% of the combined voting power of all of our securities outstanding immediately after giving effect to the exercise, as such percentage ownership is determined in accordance with the terms of the pre-funded warrants. However, any holder of a pre-funded warrant may increase or decrease such percentage to any other percentage not in excess of 19.99% upon at least 61 days’ prior notice from the holder to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$0.001 per share of common stock. The exercise price of the pre-funded warrants is subject to appropriate adjustment in the event of certain stock dividends and distributions, stock splits, stock combinations, reclassifications or similar events affecting our common stock and also upon any distributions of assets, including cash, stock or other property to our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There is no established trading market for the pre-funded warrants, and we do not expect a market to develop. We do not plan on applying to list the pre-funded warrants on The Nasdaq Global Select Market, any other national securities exchange or any other nationally recognized trading system.</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In the event a holder does not exercise its pre-funded warrants in connection with a fundamental transaction, such holder’s pre-funded warrants will be deemed exercised in full pursuant to the “cashless exercise” mechanic described above upon the consummation of such transaction.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as a Stockholder</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FOR</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HOLDERS OF COMMON STOCK AND PRE-FUNDED WARRANTS</w:t>
      </w:r>
    </w:p>
    <w:p>
      <w:pPr>
        <w:spacing w:after="0" w:line="20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ownership and disposition of our common stock and pre-funded warrants acquired in this offering,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nor does it address any aspects of the alternative minimum tax, the special tax accounting rules under Section 451(b) of the Code, or the Medicare tax on net investment income. In addition, this discussion does not address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five percent of our capital stock and/or pre-funded warrants (except to the extent specifically set forth below);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or pre-funded warrants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or pre-funded warrants, the tax treatment of a partner in such partnership or other entity generally will depend on the status of the partner and upon the activities of the partnership or other entity. A partner in a partnership or other such entity that will hold our common stock or pre-funded warrants should consult his, her or its own tax advisor regarding the tax consequences of the ownership and disposition of our common stock or pre-funded warrants through a partnership or other such entity, as applicable.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or pre-funded warrants, arising under the U.S. federal gift or estate tax rules or under the laws of any state, local, non-U.S. or other taxing jurisdiction or under any applicable tax treaty.</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 and Non-U.S. Holder Defined</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you are a “U.S. holder” if you are a beneficial owner (other than a partnership or other entity or arrangement classified as a partnership for U.S. federal income tax purposes) of our common stock or pre-funded warrants that, for U.S. federal income tax purposes, is:</w:t>
      </w:r>
    </w:p>
    <w:p>
      <w:pPr>
        <w:spacing w:after="0" w:line="81"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60" w:hanging="532"/>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U.S. persons (within the meaning of the Code) who have the authority to control all substantial decisions of the trust or (2) that has made a valid election under applicable Treasury Regulations to be treated as a U.S. person.</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or pre-funded warrants that is not a U.S. holder or a partnership (or other entity classified as a partnership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Treatment of Pre-Funded Warrants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the law in this area is not completely settled, the pre-funded warrants are generally expected to be treated as outstanding stock for U.S. federal income tax purposes. Accordingly, upon exercise, no income, gain or loss should be recognized upon the exercise of a prefunded warrant except to the extent of cash received in exchange for a fractional share, which will be treated as a sale subject to the rules described below under “Tax Consequences Applicable to U.S. Holders—Gain on Disposition of Common Stock or Pre-Funded Warrants,” and “Tax Consequences Applicable to Non-U.S. Holders—Gain on Disposition of Common Stock or Pre-Funded Warrants,” and the holding period of a pre-funded warrant should carry over to the share of common stock received. The tax basis of the pre-funded warrant should carry over to the share of common stock received upon exercise increased by the exercise price. If you are contemplating the acquisition of pre-funded warrants, you should discuss with your personal tax advisor the consequences of the purchase, ownership and disposition of the pre-funded warrants, as well as the exercise of, certain adjustments to, and any payments in respect of the pre-funded warrants (including potential alternative characterizations).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constitute a return of capital and will first reduce your basis in our common stock, but not below zero, and then will be treated as gain from the sale of stock as described below under “Tax Consequences Applicable to U.S. Holders—Gain on Disposition of Common Stock or Pre-Funded Warrants.” If you are a non-corporate U.S. holder, and certain requirements are met, a preferential U.S. federal income tax rate will apply to any dividends paid to you if you meet certain holding period requirements.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you are a corporate shareholder, distributions constituting dividends for U.S. federal income tax purposes will generally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tax advisors regarding the proper treatment of any payments in respect of the pre-funded warrants.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Pre-Funded Warrants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common stock or pre-funded warrants, you generally will recognize capital gain or loss in an amount equal to the difference between the amount realized and your adjusted tax basis in the common stock or pre-funded warrant. Capital gain or loss will constitute long-term capital gain or loss if your holding period for the common stock or pre-funded warrant exceeds one year. The deductibility of capital losses is subject to certain limitations. U.S. holders who recognize losses with respect to a disposition of our common stock or pre-funded warrants should consult their own tax advisors regarding the tax treatment of such losses.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Lapse of Pre-Funded Warrants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If a U.S. holder allows a pre-funded warrant to expire unexercised, such U.S. holder will recognize a capital loss in an amount equal to such holder’s tax basis in pre-funded warrant. The deductibility of capital losses is subject to certain limitations.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common stock or pre-funded warrants and to the proceeds of a sale or other disposition of common stock or pre-funded warrants paid to you unless you are an exempt recipient, such as certain corporations. Backup withholding at a current rate of 24% will apply to those payments if you fail to provide your taxpayer identification number (generally in the form of a properly completed and executed IRS Form W-9), or certification of exempt status, or if you otherwise fail to comply with applicable requirements to establish an exemption.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However, if we do make distributions on our common stock, those payments generally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treated as described below in “Tax Consequences Applicable to Non-U.S. Holders—Gain on Disposition of Common Stock or Pre-Funded Warrants.”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Foreign Account Tax Compliance Act, or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or pre-funded warrants eligible for a reduced rate of U.S. federal withholding tax pursuant to an income tax treaty may obtain a refund of any excess amounts withheld by timely filing an appropriate claim for refund with the IRS. If the non-U.S. holder holds our common stock or pre-funded warrants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or pre-funded warrants, including any applicable tax treaties that may provide for different rules.</w:t>
      </w:r>
    </w:p>
    <w:p>
      <w:pPr>
        <w:spacing w:after="0" w:line="19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You should consult your own tax advisors regarding the proper treatment of any payments in respect of the pre-funded warrants.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Common Stock or Pre-Funded Warrants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you generally will not be required to pay U.S. federal income tax on any gain realized upon the sale or other disposition of our common stock or pre-funded warrants unless:</w:t>
      </w:r>
    </w:p>
    <w:p>
      <w:pPr>
        <w:spacing w:after="0" w:line="67" w:lineRule="exact"/>
        <w:rPr>
          <w:sz w:val="20"/>
          <w:szCs w:val="20"/>
          <w:color w:val="auto"/>
        </w:rPr>
      </w:pPr>
    </w:p>
    <w:p>
      <w:pPr>
        <w:ind w:left="1080" w:right="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460" w:hanging="532"/>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a U.S. real property interest only if you actually (directly or indirectly) or constructively hold more than five percent of such regularly traded common stock at any time during the shorter of the five-year period preceding your disposition of, or your holding period for, our common stock. Special rules may apply to non-U.S. holders of pre-funded warrants, who should consult their tax advisors.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Pre-Funded Warrants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pre-funded warrants, or an adjustment to the exercise price of the pre-funded warrants, may be treated as a constructive distribution to you of the pre-funded warrants if, and to the extent that, such adjustment has the effect of increasing your proportionate interest in our “earnings and profits” or assets, depending on the circumstances of such adjustment (for example, if such adjustment is to compensate for a distribution of cash or other property to our shareholders).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we or the applicable paying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or pre-funded warrants made to you will generally be subject to information reporting and backup withholding at a current rate of 24% unless you establish an exemption, for example, by properly certifying your non-U.S. status on a properly completed IRS Form W-8BEN or W-8BEN-E, or W-8ECI or another appropriate version of IRS Form W-8 or you otherwise meet the documentary evidence requirements for establishing that you are not a U.S. person or otherwise establish an exemption. Notwithstanding the foregoing, backup withholding and information reporting may apply if the applicable withholding agent has actual knowledge, or reason to know, that you are a U.S. person.</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Provisions of the Code commonly referred to as FATCA, Treasury Regulations issued thereunder and official IRS guidance generally impose a U.S. federal withholding tax of 30% on dividends on, and, subject to the discussion of certain proposed Treasury Regulations below, the gross proceeds from a sale or other disposition of our common stock or pre-funded warrants,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from FATCA withholding. FATCA also generally imposes a U.S. federal withholding tax of 30% on dividends on, and, subject to the discussion of certain proposed Treasury Regulations below, the gross proceeds from, a sale or other disposition of our common stock or pre-funded warrants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withholding obligations under FATCA generally apply to dividends on our common stock or pre-funded warrants and subject to the proposed Treasury Regulations described in the next sentence, will apply to the payment of gross proceeds of a sale or other disposition of our common stock or pre-funded warrants.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or pre-funded warrants. The withholding tax on dividends will apply regardless of whether the payment otherwise would be exempt from U.S. nonresident and backup withholding tax, including under the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 or pre-funded warrants.</w:t>
      </w:r>
    </w:p>
    <w:p>
      <w:pPr>
        <w:spacing w:after="0" w:line="190"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or pre-funded warrants, including the consequences of any proposed change in applicable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the underwriters named below, for whom Morgan Stanley &amp; Co. LLC and Piper Sandler &amp; Co. are acting as representatives, have severally agreed to purchase, and we have agreed to sell to them, severally, the number of shares of common stock and pre-funded warrants indicated below:</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3880" w:type="dxa"/>
            <w:vAlign w:val="bottom"/>
            <w:vMerge w:val="restart"/>
          </w:tcPr>
          <w:p>
            <w:pPr>
              <w:jc w:val="center"/>
              <w:ind w:left="2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tc>
        <w:tc>
          <w:tcPr>
            <w:tcW w:w="3880" w:type="dxa"/>
            <w:vAlign w:val="bottom"/>
            <w:vMerge w:val="continue"/>
          </w:tcPr>
          <w:p>
            <w:pPr>
              <w:spacing w:after="0"/>
              <w:rPr>
                <w:sz w:val="12"/>
                <w:szCs w:val="12"/>
                <w:color w:val="auto"/>
              </w:rPr>
            </w:pPr>
          </w:p>
        </w:tc>
        <w:tc>
          <w:tcPr>
            <w:tcW w:w="94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88"/>
        </w:trPr>
        <w:tc>
          <w:tcPr>
            <w:tcW w:w="3380" w:type="dxa"/>
            <w:vAlign w:val="bottom"/>
            <w:vMerge w:val="continue"/>
          </w:tcPr>
          <w:p>
            <w:pPr>
              <w:spacing w:after="0"/>
              <w:rPr>
                <w:sz w:val="16"/>
                <w:szCs w:val="16"/>
                <w:color w:val="auto"/>
              </w:rPr>
            </w:pPr>
          </w:p>
        </w:tc>
        <w:tc>
          <w:tcPr>
            <w:tcW w:w="3880" w:type="dxa"/>
            <w:vAlign w:val="bottom"/>
          </w:tcPr>
          <w:p>
            <w:pPr>
              <w:jc w:val="center"/>
              <w:ind w:left="27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4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wp:posOffset>
            </wp:positionV>
            <wp:extent cx="524637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46370" cy="14605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H.C. Wainwright &amp; Co., LLC</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5715</wp:posOffset>
            </wp:positionV>
            <wp:extent cx="11398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-119380</wp:posOffset>
            </wp:positionV>
            <wp:extent cx="524637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46370" cy="145415"/>
                    </a:xfrm>
                    <a:prstGeom prst="rect">
                      <a:avLst/>
                    </a:prstGeom>
                    <a:noFill/>
                  </pic:spPr>
                </pic:pic>
              </a:graphicData>
            </a:graphic>
          </wp:anchor>
        </w:drawing>
      </w:r>
    </w:p>
    <w:p>
      <w:pPr>
        <w:spacing w:after="0" w:line="23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common stock and pre-funded warrants subject to their acceptance of the shares from us and subject to prior sale. The underwriting agreement provides that the obligations of the several underwriters to pay for and accept delivery of the shares of common stock and pre-funded warrants offered by this prospectus supplement are subject to the approval of certain legal matters by their counsel and to certain other conditions. The underwriters are obligated to take and pay for all of the shares of common stock and pre-funded warrants offered by this prospectus supplement if any such shares or pre-funded warrants are taken. However, the underwriters are not required to take or pay for the shares of common stock, including the number of shares underlying the pre-funded warrants, covered by the underwriters’ over-allotment option except to the extent such option is exercised as described below.</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initially propose to offer part of the shares of common stock and pre-funded warrants directly to the public at the offering price</w:t>
      </w:r>
    </w:p>
    <w:p>
      <w:pPr>
        <w:spacing w:after="0" w:line="27" w:lineRule="exact"/>
        <w:rPr>
          <w:sz w:val="20"/>
          <w:szCs w:val="20"/>
          <w:color w:val="auto"/>
        </w:rPr>
      </w:pPr>
    </w:p>
    <w:p>
      <w:pPr>
        <w:jc w:val="both"/>
        <w:ind w:left="120" w:right="120"/>
        <w:spacing w:after="0" w:line="253" w:lineRule="auto"/>
        <w:rPr>
          <w:sz w:val="20"/>
          <w:szCs w:val="20"/>
          <w:color w:val="auto"/>
        </w:rPr>
      </w:pPr>
      <w:r>
        <w:rPr>
          <w:rFonts w:ascii="Times New Roman" w:cs="Times New Roman" w:eastAsia="Times New Roman" w:hAnsi="Times New Roman"/>
          <w:sz w:val="18"/>
          <w:szCs w:val="18"/>
          <w:color w:val="auto"/>
        </w:rPr>
        <w:t>listed on the cover page of this prospectus supplement and part to certain dealers at a price that represents a concession not in excess of $ per share or pre-funded warrant share under the public offering price. After the initial offering of the shares of common stock and pre-funded warrants, the offering price and other selling terms may from time to time be varied by the representatives. The offering of the shares and pre-funded warrants by the underwriters is subject to the receipt and acceptance and subject to the underwriters’ right to reject any order in whole or in part.</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supplement, to purchase up to additional shares at the public offering price listed on the cover page of this prospectus supplement, less underwriting discounts and commissions. The number of shares subject to the underwriters’ option equals 15% of the total number of shares of common stock, plus the number of shares underlying the pre-funded warrants, we are offering. The underwriters may exercise this option solely for the purpose of covering over-allotments, if any, made in connection with the offering of the shares of common stock, or pre-funded warrant shares, offered by this prospectus supplement. To the extent the option is exercised, each underwriter will become obligated, subject to certain conditions, to purchase about the same percentage of the additional shares as the number listed next to the underwriter’s name in the preceding table bears to the total number of shares and pre-funded warrants listed next to the names of all underwriters in the preceding table.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per share and total public offering price, underwriting discounts and commissions, and proceeds before expenses to</w:t>
      </w:r>
    </w:p>
    <w:p>
      <w:pPr>
        <w:spacing w:after="0" w:line="27"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6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Per</w:t>
            </w:r>
          </w:p>
        </w:tc>
        <w:tc>
          <w:tcPr>
            <w:tcW w:w="380" w:type="dxa"/>
            <w:vAlign w:val="bottom"/>
          </w:tcPr>
          <w:p>
            <w:pPr>
              <w:spacing w:after="0"/>
              <w:rPr>
                <w:sz w:val="10"/>
                <w:szCs w:val="10"/>
                <w:color w:val="auto"/>
              </w:rPr>
            </w:pPr>
          </w:p>
        </w:tc>
        <w:tc>
          <w:tcPr>
            <w:tcW w:w="11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70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0"/>
                <w:szCs w:val="10"/>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Full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7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68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68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900" w:type="dxa"/>
            <w:vAlign w:val="bottom"/>
            <w:gridSpan w:val="6"/>
          </w:tcPr>
          <w:p>
            <w:pPr>
              <w:jc w:val="right"/>
              <w:ind w:right="281"/>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06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“TNYA.”</w:t>
      </w:r>
    </w:p>
    <w:p>
      <w:pPr>
        <w:spacing w:after="0" w:line="225"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In connection with this offering, we have agreed that we will not, and will not publicly disclose and intention, to (i) offer, pledge, sell, contract to sell, sell any option or contract to purchase, purchase any option or contract to sell, grant any option, right or warrant to purchase, lend or otherwise transfer or dispose of, directly or indirectly, or file with the Securities and Exchange Commission a registration statement under the Securities Act relating to the offering of any shares of our common stock or securities convertible into or exercisable or exchangeable for any shares of our common stock, or (ii) enter into any swap or other arrangement that transfers all or a portion of the economic consequences of ownership of any shares of common stock or any such other securities, in each case regardless of whether any of these transactions are to be settled by the delivery of shares of common stock or such other securities, in cash or otherwise, and in each case without the prior written consent of Morgan Stanley &amp; Co. LLC and Piper Sandler &amp; Co. on behalf of the underwriters for a period of 90 days after the date of this prospectus supplement, other than the shares of our common stock and pre-funded warrants to be sold in this offering; the issuance by us of shares of common stock upon the exercise of an option or warrant, vesting or settlement of restricted stock or restricted stock units or the conversion of a security outstanding on the date hereof; facilitating the establishment of a trading plan pursuant to Rule 10b5-1 under the Exchange Act (a 10b5-1 Trading Plan) provided that there is no transfer of common stock during the restricted period and any public announcement or filing under the Exchange Act indicates that no transfer of common stock is permitted during the restricted period; the issuance of shares or options to purchase shares of common stock or securities convertible into or exercisable for common stock to our employees, officers, directors, advisors or consultants pursuant to an existing equity compensation plan; the filing of a registration statement on Form S-8 with respect to an existing employee benefit plan; and the sale or issuance of or entry into an agreement to sell or issue shares of common stock in connection with our acquisition of one or more businesses, products or technologies (whether by means of merger, stock purchase, asset purchase or otherwise) or in connection with joint ventures, commercial relationships or other strategic transactions, provided, that, the aggregate number of shares of common stock so sold or issued does not exceed 10% of the total number of shares of common stock (giving effect to the shares underlying the pre-funded warrants) and provided further that any recipient of such shares enter into a lockup agreement with the underwriters.</w:t>
      </w:r>
    </w:p>
    <w:p>
      <w:pPr>
        <w:spacing w:after="0" w:line="200" w:lineRule="exact"/>
        <w:rPr>
          <w:sz w:val="20"/>
          <w:szCs w:val="20"/>
          <w:color w:val="auto"/>
        </w:rPr>
      </w:pPr>
    </w:p>
    <w:p>
      <w:pPr>
        <w:spacing w:after="0" w:line="20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all of our directors, officers and certain of the stockholders affiliated with our directors have agreed that, without the prior written consent of Morgan Stanley &amp; Co. LLC and Piper Sandler &amp; Co. on behalf of the underwriters, they will not, and will not publicly disclose an intention to, during the period from the date of this prospectus supplement continuing through the date 90 days after the date of this prospectus supplement (the restricted period):</w:t>
      </w:r>
    </w:p>
    <w:p>
      <w:pPr>
        <w:spacing w:after="0" w:line="85" w:lineRule="exact"/>
        <w:rPr>
          <w:sz w:val="20"/>
          <w:szCs w:val="20"/>
          <w:color w:val="auto"/>
        </w:rPr>
      </w:pPr>
    </w:p>
    <w:p>
      <w:pPr>
        <w:ind w:left="1080" w:right="8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20"/>
        <w:spacing w:after="0" w:line="282" w:lineRule="auto"/>
        <w:rPr>
          <w:sz w:val="20"/>
          <w:szCs w:val="20"/>
          <w:color w:val="auto"/>
        </w:rPr>
      </w:pPr>
      <w:r>
        <w:rPr>
          <w:rFonts w:ascii="Times New Roman" w:cs="Times New Roman" w:eastAsia="Times New Roman" w:hAnsi="Times New Roman"/>
          <w:sz w:val="18"/>
          <w:szCs w:val="18"/>
          <w:color w:val="auto"/>
        </w:rPr>
        <w:t>directly or indirectly, any shares of common stock or any securities convertible into or exercisable or exchangeable for shares of common stock;</w:t>
      </w:r>
    </w:p>
    <w:p>
      <w:pPr>
        <w:spacing w:after="0" w:line="67" w:lineRule="exact"/>
        <w:rPr>
          <w:sz w:val="20"/>
          <w:szCs w:val="20"/>
          <w:color w:val="auto"/>
        </w:rPr>
      </w:pPr>
    </w:p>
    <w:p>
      <w:pPr>
        <w:jc w:val="both"/>
        <w:ind w:left="1080" w:right="14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whether any such transaction described above is to be settled by delivery of common stock or such other securities, in cash or otherwise;</w:t>
      </w:r>
    </w:p>
    <w:p>
      <w:pPr>
        <w:spacing w:after="0" w:line="81"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common stock or any security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are subject to specified exceptions, including, without limitation:</w:t>
      </w:r>
    </w:p>
    <w:p>
      <w:pPr>
        <w:spacing w:after="0" w:line="131" w:lineRule="exact"/>
        <w:rPr>
          <w:sz w:val="20"/>
          <w:szCs w:val="20"/>
          <w:color w:val="auto"/>
        </w:rPr>
      </w:pPr>
    </w:p>
    <w:p>
      <w:pPr>
        <w:ind w:left="1080" w:right="260" w:hanging="532"/>
        <w:spacing w:after="0" w:line="289" w:lineRule="auto"/>
        <w:tabs>
          <w:tab w:leader="none" w:pos="10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related to shares of our common stock or other securities acquired in this offering or in open market transactions after the completion of this offering, provided no public announcement or filing under Section 16 of the Exchange Act be required or voluntarily made in connection with subsequent sales of the common stock or other securities acquired in such open market transactions;</w:t>
      </w:r>
    </w:p>
    <w:p>
      <w:pPr>
        <w:spacing w:after="0" w:line="63" w:lineRule="exact"/>
        <w:rPr>
          <w:rFonts w:ascii="Times New Roman" w:cs="Times New Roman" w:eastAsia="Times New Roman" w:hAnsi="Times New Roman"/>
          <w:sz w:val="17"/>
          <w:szCs w:val="17"/>
          <w:color w:val="auto"/>
        </w:rPr>
      </w:pPr>
    </w:p>
    <w:p>
      <w:pPr>
        <w:ind w:left="1080" w:right="2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our common stock or any security convertible into or exercisable or exchangeable for common stock as a bona fide gift or charitable contribution, by will or intestate succession, or to an immediate family member or to certain trusts, provided that no filing under Section 16 of the Exchange Act shall be required or voluntarily made;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1"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88"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85"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voluntarily made during the restricted period, and any filing under Section 16 of the Exchange Act reporting a reduction in the beneficial ownership of common Stock that is required to be made during the restricted period will include a statement that such transaction reflects these circumstances;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532"/>
        <w:spacing w:after="0" w:line="25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94"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92" w:lineRule="exact"/>
        <w:rPr>
          <w:rFonts w:ascii="Times New Roman" w:cs="Times New Roman" w:eastAsia="Times New Roman" w:hAnsi="Times New Roman"/>
          <w:sz w:val="18"/>
          <w:szCs w:val="18"/>
          <w:color w:val="auto"/>
        </w:rPr>
      </w:pPr>
    </w:p>
    <w:p>
      <w:pPr>
        <w:ind w:left="1080" w:right="6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Trading Plan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88"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common stock pursuant to a 10b5-1 Trading Plan (provided that such plan was established prior to the execution of the lock-up agreement), provided that any filing under Section 16(a) of the Exchange Act that is made in connection with any such sales during the restricted period shall state that such sales have been executed under a 10b5-1 Trading Plan and shall also state the date such 10b5-1 Trading Plan was adopted.</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Morgan Stanley &amp; Co. LLC and Piper Sandler &amp; Co. in their sole discretion, may release the common stock and other securities subject to the lock-up agreements described above in whole or in part at any time.</w:t>
      </w:r>
    </w:p>
    <w:p>
      <w:pPr>
        <w:spacing w:after="0" w:line="16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and pre-funded warrant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shares of common stock or pre-funded warrant shares must be made in accordance with an exemption from, or in a transaction not subject to, the prospectus requirements of applicable securities 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 is not required to comply with the disclosure requirements of NI 33-105 regarding underwriter conflicts of interest in connection with this offering.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8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the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w:t>
      </w:r>
    </w:p>
    <w:p>
      <w:pPr>
        <w:spacing w:after="0" w:line="16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the underwriter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 (the UK Prospectus Regulation).</w:t>
      </w:r>
    </w:p>
    <w:p>
      <w:pPr>
        <w:spacing w:after="0" w:line="18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invitation or inducement to engage in investment activity (within the meaning of Section 21 of the FSMA) in connection with the issue or sale of any securities may only be communicated or caused to be communicated in circumstances in which Section 21(1) of the FSMA does not apply to the Company. Each purchaser of securities must comply with all applicable provisions of the FSMA and the Financial Services Act 2012 with respect to anything done by it in relation to any securities in, from or otherwise involving the United Kingdom.</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is only being distributed to, and is only directed at, persons in the United Kingdom that are qualified investors as defined in the UK Prospectus Regulation that are also (i) investment professionals falling within Article 19(5) of the Financial Services and Markets Act 2000 (Financial Promotion) Order 2005 (as amended, the Order) or (ii) high net worth entities, and other persons to whom it may lawfully be communicated, falling within Article 49(2)(a) to (d) of the Order or (iii) persons to whom an invitation or inducement to engage in investment activity (within the meaning of section 21 of the FSMA) in connection with the issue or sale of any securities may otherwise lawfully be communicated or caused to be communicated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prospectus supplement or use it as basis for taking any action. In the United Kingdom, any investment or investment activity that this prospectus supplement relates to may be made or taken exclusively by relevant persons.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shares of common stock and pre-funded warrant shares may not be publicly offered in Switzerland and will not be listed on the SIX Swiss Exchange (SIX) or on any other stock exchange or regulated trading facility in Switzerland. This prospectus supplement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shares of common stock and pre-funded warrant shares or the offering may be publicly distributed or otherwise made publicly available in Switzerland.</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the Company, the shares of common stock or the pre-funded warrant shares have been or will be filed with or approved by any Swiss regulatory authority. In particular, this prospectus supplement will not be filed with, and the offer of shares of common stock and pre-funded warrant shares will not be supervised by, the Swiss Financial Market Supervisory Authority, and the offer of these securities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Center, or DIFC</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Markets Rules 2012 of the Dubai Financial Services Authority, or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w:t>
      </w:r>
    </w:p>
    <w:p>
      <w:pPr>
        <w:spacing w:after="0" w:line="189"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31"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under Chapter 6D.2 of the Corporations Act 2001 (Cth) (the Corporations Act);</w:t>
      </w:r>
    </w:p>
    <w:p>
      <w:pPr>
        <w:spacing w:after="0" w:line="130" w:lineRule="exact"/>
        <w:rPr>
          <w:rFonts w:ascii="Times New Roman" w:cs="Times New Roman" w:eastAsia="Times New Roman" w:hAnsi="Times New Roman"/>
          <w:sz w:val="18"/>
          <w:szCs w:val="18"/>
          <w:color w:val="auto"/>
        </w:rPr>
      </w:pPr>
    </w:p>
    <w:p>
      <w:pPr>
        <w:jc w:val="both"/>
        <w:ind w:left="1080" w:hanging="532"/>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 and</w:t>
      </w:r>
    </w:p>
    <w:p>
      <w:pPr>
        <w:spacing w:after="0" w:line="81"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and pre-funded warrant shares may not be directly or indirectly offered for subscription or purchased or sold, and no invitations to subscribe for or buy the shares of common stock or pre-funded warrant shares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of common stock and pre-funded warrant shares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shares of common stock and pre-funded warrant shares have not been offered or sold and will not be offered or sold in Hong Kong, by means of any document, other than (a) to “professional investors” as defined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shares of common stock and pre-funded warrant shares have not been and will not be registered pursuant to Article 4, Paragraph 1 of the Financial Instruments and Exchange Act. Accordingly, none of the shares of common stock or pre-funded warrant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Singapore Securities and Futures Act Production Classification</w:t>
      </w:r>
    </w:p>
    <w:p>
      <w:pPr>
        <w:spacing w:after="0" w:line="121"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Securities and Futures Act (Chapter 289 of Singapore) (the SFA), we have determined, and hereby notify all relevant persons (as defined in Section 309A of the SFA) that the shares of common stock and pre-funded warrants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common stock and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is not intended to be a public offer. This prospectus supplement and the accompanying prospectus have not been approved by or filed with the Central Bank of the United Arab Emirates, the Securities and Commodities Authority or the Dubai Financial Services Authority.</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China</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will not be circulated or distributed in the People’s Republic of China (the PRC) and the common shares and pre-funded warrant shares will not be offered or sold, and will not be offered or sold, to any person for re-offering or resale directly or indirectly to any residents of the PRC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Korea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common shares and pre-funded warrant shares have not been and will not be registered under the Financial Investments Services and Capital Markets Act of Korea and the decrees and regulations thereunder, or the FSCMA, and the common shares and pre-funded warrant shares have been and will be offered in Korea as a private placement under the FSCMA. None of the common shares or pre-funded warrant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FETL. Furthermore, the purchaser of the securities shall comply with all applicable regulatory requirements (including but not limited to requirements under the FETL) in connection with the purchase of the common shares or pre-funded warrant shares. By the purchase of the common shares or pre-funded warrant shares, the relevant holder thereof will be deemed to represent and warrant that if it is in Korea or is a resident of Korea, it purchased the common shares or pre-funded warrant shares pursuant to the applicable laws and regulations of Korea.</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securities in South Africa. Accordingly, this prospectus supplement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 (1) applies: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96 (1)(a) the offer, transfer, sale, renunciation or delivery is to:</w:t>
      </w:r>
    </w:p>
    <w:p>
      <w:pPr>
        <w:spacing w:after="0" w:line="131" w:lineRule="exact"/>
        <w:rPr>
          <w:sz w:val="20"/>
          <w:szCs w:val="20"/>
          <w:color w:val="auto"/>
        </w:rPr>
      </w:pPr>
    </w:p>
    <w:p>
      <w:pPr>
        <w:ind w:left="1300" w:hanging="3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130" w:lineRule="exact"/>
        <w:rPr>
          <w:rFonts w:ascii="Times New Roman" w:cs="Times New Roman" w:eastAsia="Times New Roman" w:hAnsi="Times New Roman"/>
          <w:sz w:val="18"/>
          <w:szCs w:val="18"/>
          <w:color w:val="auto"/>
        </w:rPr>
      </w:pPr>
    </w:p>
    <w:p>
      <w:pPr>
        <w:ind w:left="1300" w:hanging="43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30"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30" w:lineRule="exact"/>
        <w:rPr>
          <w:rFonts w:ascii="Times New Roman" w:cs="Times New Roman" w:eastAsia="Times New Roman" w:hAnsi="Times New Roman"/>
          <w:sz w:val="18"/>
          <w:szCs w:val="18"/>
          <w:color w:val="auto"/>
        </w:rPr>
      </w:pPr>
    </w:p>
    <w:p>
      <w:pPr>
        <w:ind w:left="1300" w:hanging="47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30" w:lineRule="exact"/>
        <w:rPr>
          <w:rFonts w:ascii="Times New Roman" w:cs="Times New Roman" w:eastAsia="Times New Roman" w:hAnsi="Times New Roman"/>
          <w:sz w:val="18"/>
          <w:szCs w:val="18"/>
          <w:color w:val="auto"/>
        </w:rPr>
      </w:pPr>
    </w:p>
    <w:p>
      <w:pPr>
        <w:ind w:left="1300" w:hanging="42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30" w:lineRule="exact"/>
        <w:rPr>
          <w:rFonts w:ascii="Times New Roman" w:cs="Times New Roman" w:eastAsia="Times New Roman" w:hAnsi="Times New Roman"/>
          <w:sz w:val="18"/>
          <w:szCs w:val="18"/>
          <w:color w:val="auto"/>
        </w:rPr>
      </w:pPr>
    </w:p>
    <w:p>
      <w:pPr>
        <w:ind w:left="1300" w:right="380" w:hanging="472"/>
        <w:spacing w:after="0" w:line="266"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1" w:lineRule="exact"/>
        <w:rPr>
          <w:rFonts w:ascii="Times New Roman" w:cs="Times New Roman" w:eastAsia="Times New Roman" w:hAnsi="Times New Roman"/>
          <w:sz w:val="18"/>
          <w:szCs w:val="18"/>
          <w:color w:val="auto"/>
        </w:rPr>
      </w:pPr>
    </w:p>
    <w:p>
      <w:pPr>
        <w:ind w:left="1300" w:hanging="522"/>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persons in (i) to (vi); or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Section 96 (1)(b) the total contemplated acquisition cost of the securities, for any single addressee acting as principal is equal to or greater than ZAR 1,000,000 or such higher amount as may be promulgated by notice in the Government Gazette of South Africa pursuant to Section 96(2)(a) of the South African Companies Act.</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“advice” as defined in the South African Financial Advisory and Intermediary Services Act, 2002.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common shares or pre-funded warrant shares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5728- 1968. We have not and will not distribute this prospectus supplement or make, distribute or direct an offer to subscribe for our common shares or pre-funded warrant shares to any person within the State of Israel, other than to Qualified Investors and up to 35 Addressed Investors.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shares and pre-funded warrant shares,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shares and pre-funded warrant shares; (iv) that the common shares and pre-funded warrant shares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Wilson Sonsini Goodrich &amp; Rosati, Professional Corporation, Palo Alto, California. Davis Polk &amp; Wardwell LLP, Menlo Park, California, is acting as counsel for the underwriters.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The financial statements of Tenaya Therapeutics, Inc. as of December 31, 2021 and 2020, and for each of the two years in the period ended December 31, 2021, incorporated by reference in this prospectus supplement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We also maintain a website at www.tenayatherapeutics.com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supplement.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spacing w:after="0" w:line="82"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4">
        <w:r>
          <w:rPr>
            <w:rFonts w:ascii="Times New Roman" w:cs="Times New Roman" w:eastAsia="Times New Roman" w:hAnsi="Times New Roman"/>
            <w:sz w:val="18"/>
            <w:szCs w:val="18"/>
            <w:u w:val="single" w:color="auto"/>
            <w:color w:val="0000EE"/>
          </w:rPr>
          <w:t>March 31, 2022</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June 30,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6">
        <w:r>
          <w:rPr>
            <w:rFonts w:ascii="Times New Roman" w:cs="Times New Roman" w:eastAsia="Times New Roman" w:hAnsi="Times New Roman"/>
            <w:sz w:val="18"/>
            <w:szCs w:val="18"/>
            <w:u w:val="single" w:color="auto"/>
            <w:color w:val="0000EE"/>
          </w:rPr>
          <w:t>September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67">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68">
        <w:r>
          <w:rPr>
            <w:rFonts w:ascii="Times New Roman" w:cs="Times New Roman" w:eastAsia="Times New Roman" w:hAnsi="Times New Roman"/>
            <w:sz w:val="18"/>
            <w:szCs w:val="18"/>
            <w:u w:val="single" w:color="auto"/>
            <w:color w:val="0000EE"/>
          </w:rPr>
          <w:t>June 10, 2022</w:t>
        </w:r>
      </w:hyperlink>
      <w:r>
        <w:rPr>
          <w:rFonts w:ascii="Times New Roman" w:cs="Times New Roman" w:eastAsia="Times New Roman" w:hAnsi="Times New Roman"/>
          <w:sz w:val="18"/>
          <w:szCs w:val="18"/>
          <w:color w:val="auto"/>
        </w:rPr>
        <w:t xml:space="preserve">, and </w:t>
      </w:r>
      <w:hyperlink r:id="rId69">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7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to whom this prospectus supplement is delivered, upon written or oral request, a copy of any or all of the documents incorporated by reference, including exhibits to these documents. You can request a copy of these filings by writing or telephoning us at the following address or telephone number:</w:t>
      </w:r>
    </w:p>
    <w:p>
      <w:pPr>
        <w:spacing w:after="0" w:line="6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(650) 825-6990</w:t>
      </w:r>
    </w:p>
    <w:p>
      <w:pPr>
        <w:spacing w:after="0" w:line="207" w:lineRule="exact"/>
        <w:rPr>
          <w:rFonts w:ascii="Times New Roman" w:cs="Times New Roman" w:eastAsia="Times New Roman" w:hAnsi="Times New Roman"/>
          <w:sz w:val="18"/>
          <w:szCs w:val="18"/>
          <w:color w:val="auto"/>
        </w:rPr>
      </w:pPr>
    </w:p>
    <w:p>
      <w:pPr>
        <w:jc w:val="center"/>
        <w:ind w:left="480"/>
        <w:spacing w:after="0" w:line="282" w:lineRule="auto"/>
        <w:rPr>
          <w:sz w:val="20"/>
          <w:szCs w:val="20"/>
          <w:color w:val="auto"/>
        </w:rPr>
      </w:pPr>
      <w:r>
        <w:rPr>
          <w:rFonts w:ascii="Times New Roman" w:cs="Times New Roman" w:eastAsia="Times New Roman" w:hAnsi="Times New Roman"/>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200" w:lineRule="exact"/>
        <w:rPr>
          <w:rFonts w:ascii="Times New Roman" w:cs="Times New Roman" w:eastAsia="Times New Roman" w:hAnsi="Times New Roman"/>
          <w:sz w:val="18"/>
          <w:szCs w:val="18"/>
          <w:color w:val="auto"/>
        </w:rPr>
      </w:pPr>
    </w:p>
    <w:p>
      <w:pPr>
        <w:spacing w:after="0" w:line="25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227965</wp:posOffset>
            </wp:positionV>
            <wp:extent cx="2580005" cy="968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258000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6"/>
          <w:szCs w:val="36"/>
          <w:i w:val="1"/>
          <w:iCs w:val="1"/>
          <w:color w:val="auto"/>
        </w:rPr>
        <w:t>Tenaya Therapeutics, Inc.</w:t>
      </w: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i w:val="1"/>
          <w:iCs w:val="1"/>
          <w:color w:val="auto"/>
        </w:rPr>
        <w:t>$300,000,000</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i w:val="1"/>
          <w:iCs w:val="1"/>
          <w:color w:val="auto"/>
        </w:rPr>
        <w:t>COMMON STOCK</w:t>
      </w:r>
    </w:p>
    <w:p>
      <w:pPr>
        <w:spacing w:after="0" w:line="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i w:val="1"/>
          <w:iCs w:val="1"/>
          <w:color w:val="auto"/>
        </w:rPr>
        <w:t>PREFERRED STOCK</w:t>
      </w:r>
    </w:p>
    <w:p>
      <w:pPr>
        <w:jc w:val="center"/>
        <w:ind w:right="-139"/>
        <w:spacing w:after="0" w:line="230" w:lineRule="auto"/>
        <w:rPr>
          <w:sz w:val="20"/>
          <w:szCs w:val="20"/>
          <w:color w:val="auto"/>
        </w:rPr>
      </w:pPr>
      <w:r>
        <w:rPr>
          <w:rFonts w:ascii="Times New Roman" w:cs="Times New Roman" w:eastAsia="Times New Roman" w:hAnsi="Times New Roman"/>
          <w:sz w:val="22"/>
          <w:szCs w:val="22"/>
          <w:i w:val="1"/>
          <w:iCs w:val="1"/>
          <w:color w:val="auto"/>
        </w:rPr>
        <w:t>DEBT SECURITIES</w:t>
      </w:r>
    </w:p>
    <w:p>
      <w:pPr>
        <w:jc w:val="center"/>
        <w:ind w:right="-139"/>
        <w:spacing w:after="0" w:line="231" w:lineRule="auto"/>
        <w:rPr>
          <w:sz w:val="20"/>
          <w:szCs w:val="20"/>
          <w:color w:val="auto"/>
        </w:rPr>
      </w:pPr>
      <w:r>
        <w:rPr>
          <w:rFonts w:ascii="Times New Roman" w:cs="Times New Roman" w:eastAsia="Times New Roman" w:hAnsi="Times New Roman"/>
          <w:sz w:val="22"/>
          <w:szCs w:val="22"/>
          <w:i w:val="1"/>
          <w:iCs w:val="1"/>
          <w:color w:val="auto"/>
        </w:rPr>
        <w:t>DEPOSITARY SHARES</w:t>
      </w:r>
    </w:p>
    <w:p>
      <w:pPr>
        <w:jc w:val="center"/>
        <w:ind w:right="-139"/>
        <w:spacing w:after="0" w:line="230" w:lineRule="auto"/>
        <w:rPr>
          <w:sz w:val="20"/>
          <w:szCs w:val="20"/>
          <w:color w:val="auto"/>
        </w:rPr>
      </w:pPr>
      <w:r>
        <w:rPr>
          <w:rFonts w:ascii="Times New Roman" w:cs="Times New Roman" w:eastAsia="Times New Roman" w:hAnsi="Times New Roman"/>
          <w:sz w:val="22"/>
          <w:szCs w:val="22"/>
          <w:i w:val="1"/>
          <w:iCs w:val="1"/>
          <w:color w:val="auto"/>
        </w:rPr>
        <w:t>WARRANTS</w:t>
      </w:r>
    </w:p>
    <w:p>
      <w:pPr>
        <w:jc w:val="center"/>
        <w:ind w:right="-139"/>
        <w:spacing w:after="0" w:line="231" w:lineRule="auto"/>
        <w:rPr>
          <w:sz w:val="20"/>
          <w:szCs w:val="20"/>
          <w:color w:val="auto"/>
        </w:rPr>
      </w:pPr>
      <w:r>
        <w:rPr>
          <w:rFonts w:ascii="Times New Roman" w:cs="Times New Roman" w:eastAsia="Times New Roman" w:hAnsi="Times New Roman"/>
          <w:sz w:val="22"/>
          <w:szCs w:val="22"/>
          <w:i w:val="1"/>
          <w:iCs w:val="1"/>
          <w:color w:val="auto"/>
        </w:rPr>
        <w:t>SUBSCRIPTION RIGHTS</w:t>
      </w:r>
    </w:p>
    <w:p>
      <w:pPr>
        <w:jc w:val="center"/>
        <w:ind w:right="-139"/>
        <w:spacing w:after="0" w:line="230" w:lineRule="auto"/>
        <w:rPr>
          <w:sz w:val="20"/>
          <w:szCs w:val="20"/>
          <w:color w:val="auto"/>
        </w:rPr>
      </w:pPr>
      <w:r>
        <w:rPr>
          <w:rFonts w:ascii="Times New Roman" w:cs="Times New Roman" w:eastAsia="Times New Roman" w:hAnsi="Times New Roman"/>
          <w:sz w:val="22"/>
          <w:szCs w:val="22"/>
          <w:i w:val="1"/>
          <w:iCs w:val="1"/>
          <w:color w:val="auto"/>
        </w:rPr>
        <w:t>PURCHASE CONTRACTS</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i w:val="1"/>
          <w:i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spacing w:after="0" w:line="182"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listed on the Nasdaq Global Select Market under the symbol “TNYA.” Each prospectus supplement will indicate whether the securities offered thereby will be listed on any securities exchange.</w:t>
      </w:r>
    </w:p>
    <w:p>
      <w:pPr>
        <w:spacing w:after="0" w:line="155" w:lineRule="exact"/>
        <w:rPr>
          <w:sz w:val="20"/>
          <w:szCs w:val="20"/>
          <w:color w:val="auto"/>
        </w:rPr>
      </w:pPr>
    </w:p>
    <w:p>
      <w:pPr>
        <w:ind w:left="1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spacing w:after="0" w:line="159" w:lineRule="exact"/>
        <w:rPr>
          <w:sz w:val="20"/>
          <w:szCs w:val="20"/>
          <w:color w:val="auto"/>
        </w:rPr>
      </w:pPr>
    </w:p>
    <w:p>
      <w:pPr>
        <w:ind w:left="120" w:right="220"/>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Investing in these securities involves risks. Please carefully read the information under the headings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beginning on page 5 of this prospectus, any similar section contained in the applicable prospectus supplement, and “Item 1A—Risk Factors” of our most recent report on Form 10-K or 10-Q that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215900</wp:posOffset>
            </wp:positionV>
            <wp:extent cx="147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The date of this prospectus is August 17, 2022.</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340" w:type="dxa"/>
            <w:vAlign w:val="bottom"/>
            <w:gridSpan w:val="6"/>
            <w:vMerge w:val="restart"/>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39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Description of Subscription Rights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80" w:type="dxa"/>
            <w:vAlign w:val="bottom"/>
            <w:gridSpan w:val="4"/>
            <w:vMerge w:val="continue"/>
          </w:tcPr>
          <w:p>
            <w:pPr>
              <w:spacing w:after="0"/>
              <w:rPr>
                <w:sz w:val="14"/>
                <w:szCs w:val="14"/>
                <w:color w:val="auto"/>
              </w:rPr>
            </w:pPr>
          </w:p>
        </w:tc>
        <w:tc>
          <w:tcPr>
            <w:tcW w:w="334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400" w:type="dxa"/>
            <w:vAlign w:val="bottom"/>
          </w:tcPr>
          <w:p>
            <w:pPr>
              <w:spacing w:after="0"/>
              <w:rPr>
                <w:sz w:val="14"/>
                <w:szCs w:val="14"/>
                <w:color w:val="auto"/>
              </w:rPr>
            </w:pPr>
          </w:p>
        </w:tc>
        <w:tc>
          <w:tcPr>
            <w:tcW w:w="3960" w:type="dxa"/>
            <w:vAlign w:val="bottom"/>
            <w:gridSpan w:val="8"/>
            <w:vMerge w:val="continue"/>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3340" w:type="dxa"/>
            <w:vAlign w:val="bottom"/>
            <w:gridSpan w:val="6"/>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5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Purchase Contracts</w:t>
            </w:r>
          </w:p>
        </w:tc>
        <w:tc>
          <w:tcPr>
            <w:tcW w:w="1460" w:type="dxa"/>
            <w:vAlign w:val="bottom"/>
            <w:gridSpan w:val="2"/>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0" w:type="dxa"/>
            <w:vAlign w:val="bottom"/>
            <w:gridSpan w:val="7"/>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500" w:type="dxa"/>
            <w:vAlign w:val="bottom"/>
            <w:gridSpan w:val="3"/>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Forward-Looking Statements</w:t>
            </w:r>
          </w:p>
        </w:tc>
        <w:tc>
          <w:tcPr>
            <w:tcW w:w="280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800" w:type="dxa"/>
            <w:vAlign w:val="bottom"/>
            <w:gridSpan w:val="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00" w:type="dxa"/>
            <w:vAlign w:val="bottom"/>
            <w:gridSpan w:val="5"/>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2860" w:type="dxa"/>
            <w:vAlign w:val="bottom"/>
            <w:gridSpan w:val="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7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39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7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Depositary Shares</w:t>
            </w:r>
          </w:p>
        </w:tc>
        <w:tc>
          <w:tcPr>
            <w:tcW w:w="252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19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1980" w:type="dxa"/>
            <w:vAlign w:val="bottom"/>
            <w:gridSpan w:val="4"/>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00" w:type="dxa"/>
            <w:vAlign w:val="bottom"/>
            <w:gridSpan w:val="2"/>
          </w:tcPr>
          <w:p>
            <w:pPr>
              <w:jc w:val="right"/>
              <w:ind w:right="40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(SEC), using a “shelf” registration process. Under this shelf registration process, we may from time to time sell any combination of the securities described in this prospectus in one or more offerings for an aggregate offering price of up to $300,000,000.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You should read both this prospectus and any applicable prospectus supplement and free writing prospectus together with the additional information described under the heading “Where You Can Find More Information” and “Incorporation by Reference.” If there is any inconsistency between the information in this prospectus and the applicable prospectus supplement or free writing prospectus, you should rely on the prospectus supplement or free writing prospectus, as applicable.</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“Tenaya Therapeutics, Inc.,” “we,” “our” and “us” refer, collectively, to Tenaya Therapeutics, Inc., a Delaware corporation.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176"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180" w:lineRule="exact"/>
        <w:rPr>
          <w:sz w:val="20"/>
          <w:szCs w:val="20"/>
          <w:color w:val="auto"/>
        </w:rPr>
      </w:pPr>
    </w:p>
    <w:p>
      <w:pPr>
        <w:ind w:left="300" w:right="160" w:firstLine="426"/>
        <w:spacing w:after="0" w:line="268" w:lineRule="auto"/>
        <w:rPr>
          <w:sz w:val="20"/>
          <w:szCs w:val="20"/>
          <w:color w:val="auto"/>
        </w:rPr>
      </w:pPr>
      <w:r>
        <w:rPr>
          <w:rFonts w:ascii="Times New Roman" w:cs="Times New Roman" w:eastAsia="Times New Roman" w:hAnsi="Times New Roman"/>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Times New Roman" w:cs="Times New Roman" w:eastAsia="Times New Roman" w:hAnsi="Times New Roman"/>
          <w:sz w:val="17"/>
          <w:szCs w:val="17"/>
          <w:i w:val="1"/>
          <w:iCs w:val="1"/>
          <w:color w:val="auto"/>
        </w:rPr>
        <w:t>MYBPC3</w:t>
      </w:r>
      <w:r>
        <w:rPr>
          <w:rFonts w:ascii="Times New Roman" w:cs="Times New Roman" w:eastAsia="Times New Roman" w:hAnsi="Times New Roman"/>
          <w:sz w:val="17"/>
          <w:szCs w:val="17"/>
          <w:color w:val="auto"/>
        </w:rPr>
        <w:t xml:space="preserve"> gene driven by our proprietary heart-specific promoter to restore normal levels of MYBPC3 protein. We remain on track with our Investigational New Drug (IND) submission plans for TN-201 in the second half of 2022 and plan to focus on initial clinical development in adult </w:t>
      </w:r>
      <w:r>
        <w:rPr>
          <w:rFonts w:ascii="Times New Roman" w:cs="Times New Roman" w:eastAsia="Times New Roman" w:hAnsi="Times New Roman"/>
          <w:sz w:val="17"/>
          <w:szCs w:val="17"/>
          <w:i w:val="1"/>
          <w:iCs w:val="1"/>
          <w:color w:val="auto"/>
        </w:rPr>
        <w:t>MYBPC3</w:t>
      </w:r>
    </w:p>
    <w:p>
      <w:pPr>
        <w:spacing w:after="0" w:line="5"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 xml:space="preserve">gene mutation carriers with symptomatic non-obstructive HCM. TN-201 has been granted orphan drug designation by both the U.S. Food and Drug Administration (FDA) and the European Commission for the potential treatment of HCM due to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w:t>
      </w:r>
    </w:p>
    <w:p>
      <w:pPr>
        <w:spacing w:after="0" w:line="181"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 xml:space="preserve">In 2021, we initiated a global natural history study to improve our understanding of disease progression and unmet need in individuals carrying mutations in the </w:t>
      </w:r>
      <w:r>
        <w:rPr>
          <w:rFonts w:ascii="Times New Roman" w:cs="Times New Roman" w:eastAsia="Times New Roman" w:hAnsi="Times New Roman"/>
          <w:sz w:val="18"/>
          <w:szCs w:val="18"/>
          <w:i w:val="1"/>
          <w:iCs w:val="1"/>
          <w:color w:val="auto"/>
        </w:rPr>
        <w:t>MYBPC3</w:t>
      </w:r>
      <w:r>
        <w:rPr>
          <w:rFonts w:ascii="Times New Roman" w:cs="Times New Roman" w:eastAsia="Times New Roman" w:hAnsi="Times New Roman"/>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183"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183" w:lineRule="exact"/>
        <w:rPr>
          <w:sz w:val="20"/>
          <w:szCs w:val="20"/>
          <w:color w:val="auto"/>
        </w:rPr>
      </w:pPr>
    </w:p>
    <w:p>
      <w:pPr>
        <w:jc w:val="both"/>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TN-401, another product candidate from our Gene Therapy Platform, uses an AAV-based gene therapy to address genetic arrhythmogenic right ventricular cardiomyopathy (ARVC) caused by plakophilin 2 (</w:t>
      </w:r>
      <w:r>
        <w:rPr>
          <w:rFonts w:ascii="Times New Roman" w:cs="Times New Roman" w:eastAsia="Times New Roman" w:hAnsi="Times New Roman"/>
          <w:sz w:val="18"/>
          <w:szCs w:val="18"/>
          <w:i w:val="1"/>
          <w:iCs w:val="1"/>
          <w:color w:val="auto"/>
        </w:rPr>
        <w:t>PKP2</w:t>
      </w:r>
      <w:r>
        <w:rPr>
          <w:rFonts w:ascii="Times New Roman" w:cs="Times New Roman" w:eastAsia="Times New Roman" w:hAnsi="Times New Roman"/>
          <w:sz w:val="18"/>
          <w:szCs w:val="18"/>
          <w:color w:val="auto"/>
        </w:rPr>
        <w:t>) gene mutations. ARVC is characterized by enlargement of the right ventricle in affected individuals, replacement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17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earlier-stage discovery programs include an AAV-based gene therapy designed to express the Dwarf Open Reading Frame (</w:t>
      </w:r>
      <w:r>
        <w:rPr>
          <w:rFonts w:ascii="Times New Roman" w:cs="Times New Roman" w:eastAsia="Times New Roman" w:hAnsi="Times New Roman"/>
          <w:sz w:val="18"/>
          <w:szCs w:val="18"/>
          <w:i w:val="1"/>
          <w:iCs w:val="1"/>
          <w:color w:val="auto"/>
        </w:rPr>
        <w:t>DWORF</w:t>
      </w:r>
      <w:r>
        <w:rPr>
          <w:rFonts w:ascii="Times New Roman" w:cs="Times New Roman" w:eastAsia="Times New Roman" w:hAnsi="Times New Roman"/>
          <w:sz w:val="18"/>
          <w:szCs w:val="18"/>
          <w:color w:val="auto"/>
        </w:rPr>
        <w:t>)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85"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2016. Our principal executive offices are located at 171 Oyster Point Boulevard, 5th Floor, South San Francisco, CA 94080. Our telephone number is (650) 825-6990. 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18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our Securities and Exchange Commission (SEC) filings, including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The SEC maintains a website that contains reports, proxy and information statements and other information regarding our filings at www.sec.gov.</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common stock, preferred stock, depositary shares, debt securities, warrants, subscription rights, purchase contracts and units in one or more offerings and in any combination. The aggregate offering price of the securities we sell pursuant to this prospectus will not exceed $300,000,000.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763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300" w:right="40" w:firstLine="426"/>
        <w:spacing w:after="0" w:line="281" w:lineRule="auto"/>
        <w:rPr>
          <w:sz w:val="20"/>
          <w:szCs w:val="20"/>
          <w:color w:val="auto"/>
        </w:rPr>
      </w:pPr>
      <w:r>
        <w:rPr>
          <w:rFonts w:ascii="Times New Roman" w:cs="Times New Roman" w:eastAsia="Times New Roman" w:hAnsi="Times New Roman"/>
          <w:sz w:val="17"/>
          <w:szCs w:val="17"/>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Depositary Shares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may issue fractional shares of preferred stock that will be represented by depositary shares and depositary receipts.</w:t>
      </w:r>
    </w:p>
    <w:p>
      <w:pPr>
        <w:spacing w:after="0" w:line="225"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3"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stock, preferred stock, debt securities or depositary shares. We may offer warrants independently or together with other securities.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Subscription Rights</w:t>
      </w:r>
    </w:p>
    <w:p>
      <w:pPr>
        <w:spacing w:after="0" w:line="121"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4014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8970" cy="14014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Purchase Contracts</w:t>
      </w:r>
    </w:p>
    <w:p>
      <w:pPr>
        <w:spacing w:after="0" w:line="121"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We may offer purchase contracts, including contracts obligating holders or us to purchase from the other a specific or variable number of securities at a future date or dates.</w:t>
      </w:r>
    </w:p>
    <w:p>
      <w:pPr>
        <w:spacing w:after="0" w:line="2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Reports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(Securities Act), and Section 21E of the Securities Exchange Act of 1934, as amended (Exchange Act). The words “may,” “will,” “should,” “would,” “expect,” “plan,” “anticipate,” “could,” “intend,” “target,” “project,” “contemplate,” “believe,” “estimate,” “predict,” “potential” or “continue” or the negative of these terms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prospectus supplement our intended use for the net proceeds received from the sale of any securities. We will retain broad discretion over the use of the net proceeds to us from the sale of our securities under this prospectus.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320" w:top="455" w:right="5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is incorporated by reference to </w:t>
      </w:r>
      <w:hyperlink r:id="rId89">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year ended December 31, 2021, filed with the SEC on March 23, 2022.</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200"/>
          </w:cols>
          <w:pgMar w:left="320" w:top="455" w:right="1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4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60" w:right="1320" w:hanging="12"/>
        <w:spacing w:after="0" w:line="578" w:lineRule="auto"/>
        <w:tabs>
          <w:tab w:leader="none" w:pos="109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532"/>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Certain Covenants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7" w:lineRule="exact"/>
        <w:rPr>
          <w:sz w:val="20"/>
          <w:szCs w:val="20"/>
          <w:color w:val="auto"/>
        </w:rPr>
      </w:pPr>
    </w:p>
    <w:p>
      <w:pPr>
        <w:ind w:left="1080" w:right="160" w:hanging="532"/>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532"/>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532"/>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60"/>
          </w:cols>
          <w:pgMar w:left="320" w:top="455" w:right="5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jc w:val="both"/>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the Depositary</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depositary shares or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the number of depositary shares or the number of shares of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debt securities, depositary shares, warrants or units consisting of some or all of these securities upon the exercise of the subscription rights;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debt securities, depositary shares, warrants or units consisting of some or all of these securities which may be purchased per each subscription right;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PURCHASE CONTRACTS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offer any purchase contracts, certain terms of that series of purchase contracts will be described in the applicable prospectus supplement, including, without limitation, the following:</w:t>
      </w:r>
    </w:p>
    <w:p>
      <w:pPr>
        <w:spacing w:after="0" w:line="67" w:lineRule="exact"/>
        <w:rPr>
          <w:sz w:val="20"/>
          <w:szCs w:val="20"/>
          <w:color w:val="auto"/>
        </w:rPr>
      </w:pPr>
    </w:p>
    <w:p>
      <w:pPr>
        <w:ind w:left="1080" w:right="1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the securities or other property subject to the purchase contracts (which may be determined by reference to a specific formula described in the purchase contracts);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for us to make periodic payments to holders or vice versa, and whether the payments are unsecured or pre-funded;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purchase contracts;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prepaid or not;</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are to be settled by delivery, or by reference or linkage to the value, performance or level of the securities subject to purchase under the purchase contract;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cancellation, termination or other provisions relating to the settlement of the purchase contracts;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U.S. federal income tax considerations applicable to the purchase contracts;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purchase contracts will be issued in fully registered or global form;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purchase contracts and any securities subject to such purchase contracts.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Any common stock will be listed on The Nasdaq Global Select Market, but any other securities may or may not be listed on a national securities exchange. We can make no assurance as to the liquidity of or the existence of trading markets for any of the securities.</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 26</w:t>
      </w:r>
    </w:p>
    <w:p>
      <w:pPr>
        <w:sectPr>
          <w:pgSz w:w="11900" w:h="16838" w:orient="portrait"/>
          <w:cols w:equalWidth="0" w:num="1">
            <w:col w:w="11000"/>
          </w:cols>
          <w:pgMar w:left="320" w:top="455" w:right="5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validity of the issuance of our common stock offered in this prospectus supplement will be passed upon for us by Wilson Sonsini Goodrich &amp; Rosati, Professional Corporation, Palo Alto, California.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Tenaya Therapeutics, Inc. as of December 31, 2021 and 2020, and for each of the two years in the period ended December 31, 2021, incorporated by reference in this Prospectus by reference to the Annual Report on Form 10-K for the year ended December 31, 2021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www.tenayatherapeutics.com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100"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64">
        <w:r>
          <w:rPr>
            <w:rFonts w:ascii="Times New Roman" w:cs="Times New Roman" w:eastAsia="Times New Roman" w:hAnsi="Times New Roman"/>
            <w:sz w:val="18"/>
            <w:szCs w:val="18"/>
            <w:u w:val="single" w:color="auto"/>
            <w:color w:val="0000EE"/>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5">
        <w:r>
          <w:rPr>
            <w:rFonts w:ascii="Times New Roman" w:cs="Times New Roman" w:eastAsia="Times New Roman" w:hAnsi="Times New Roman"/>
            <w:sz w:val="18"/>
            <w:szCs w:val="18"/>
            <w:u w:val="single" w:color="auto"/>
            <w:color w:val="0000EE"/>
          </w:rPr>
          <w:t>June 30,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67">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(other than information furnished rather than filed) that are incorporated by reference into our Annual Report on Form 10-K, filed with the SEC on April 28, 2022;</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68">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9">
        <w:r>
          <w:rPr>
            <w:rFonts w:ascii="Times New Roman" w:cs="Times New Roman" w:eastAsia="Times New Roman" w:hAnsi="Times New Roman"/>
            <w:sz w:val="18"/>
            <w:szCs w:val="18"/>
            <w:u w:val="single" w:color="auto"/>
            <w:color w:val="0000EE"/>
          </w:rPr>
          <w:t>August 10,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w:t>
      </w:r>
      <w:hyperlink r:id="rId7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July 23,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Tenaya Therapeutics, Inc.</w:t>
      </w:r>
    </w:p>
    <w:p>
      <w:pPr>
        <w:spacing w:after="0" w:line="27"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 Oyster Point Boulevard, 5th Floor</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825-6990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525145</wp:posOffset>
            </wp:positionV>
            <wp:extent cx="2057400" cy="7626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205740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i w:val="1"/>
          <w:iCs w:val="1"/>
          <w:color w:val="auto"/>
        </w:rPr>
        <w:t>$75,000,000</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SHARES OF COMMON STOCK</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i w:val="1"/>
          <w:iCs w:val="1"/>
          <w:color w:val="auto"/>
        </w:rPr>
        <w:t>PRE-FUNDED WARRANTS TO PURCHASE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PROSPECTUS SUPPLEMENT</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32"/>
          <w:szCs w:val="32"/>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i w:val="1"/>
          <w:iCs w:val="1"/>
          <w:color w:val="auto"/>
        </w:rPr>
        <w:t>Piper Sandler</w:t>
      </w:r>
    </w:p>
    <w:p>
      <w:pPr>
        <w:spacing w:after="0" w:line="105" w:lineRule="exact"/>
        <w:rPr>
          <w:sz w:val="20"/>
          <w:szCs w:val="20"/>
          <w:color w:val="auto"/>
        </w:rPr>
      </w:pPr>
    </w:p>
    <w:p>
      <w:pPr>
        <w:sectPr>
          <w:pgSz w:w="11900" w:h="16838" w:orient="portrait"/>
          <w:cols w:equalWidth="0" w:num="2">
            <w:col w:w="8600" w:space="720"/>
            <w:col w:w="182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32"/>
          <w:szCs w:val="32"/>
          <w:i w:val="1"/>
          <w:iCs w:val="1"/>
          <w:color w:val="auto"/>
        </w:rPr>
        <w:t>H.C. Wainwright &amp;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32"/>
          <w:szCs w:val="32"/>
          <w:i w:val="1"/>
          <w:iCs w:val="1"/>
          <w:color w:val="auto"/>
        </w:rPr>
        <w:t>Chardan</w:t>
      </w:r>
    </w:p>
    <w:p>
      <w:pPr>
        <w:spacing w:after="0" w:line="200" w:lineRule="exact"/>
        <w:rPr>
          <w:sz w:val="20"/>
          <w:szCs w:val="20"/>
          <w:color w:val="auto"/>
        </w:rPr>
      </w:pPr>
    </w:p>
    <w:p>
      <w:pPr>
        <w:sectPr>
          <w:pgSz w:w="11900" w:h="16838" w:orient="portrait"/>
          <w:cols w:equalWidth="0" w:num="2">
            <w:col w:w="9280" w:space="720"/>
            <w:col w:w="1140"/>
          </w:cols>
          <w:pgMar w:left="320" w:top="455" w:right="439" w:bottom="1440" w:gutter="0" w:footer="0" w:header="0"/>
          <w:type w:val="continuous"/>
        </w:sectPr>
      </w:pPr>
    </w:p>
    <w:p>
      <w:pPr>
        <w:spacing w:after="0" w:line="255"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8"/>
          <w:szCs w:val="18"/>
          <w:i w:val="1"/>
          <w:iCs w:val="1"/>
          <w:color w:val="auto"/>
        </w:rPr>
        <w:t>November</w:t>
        <w:tab/>
        <w:t>, 2022</w:t>
      </w: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jpe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jpeg"/><Relationship Id="rId63" Type="http://schemas.openxmlformats.org/officeDocument/2006/relationships/hyperlink" Target="http://www.sec.gov/ix?doc=/Archives/edgar/data/1858848/000095017022004426/tnya-20211231.htm" TargetMode="External"/><Relationship Id="rId64" Type="http://schemas.openxmlformats.org/officeDocument/2006/relationships/hyperlink" Target="http://www.sec.gov/ix?doc=/Archives/edgar/data/1858848/000095017022009363/tnya-20220331.htm" TargetMode="External"/><Relationship Id="rId65" Type="http://schemas.openxmlformats.org/officeDocument/2006/relationships/hyperlink" Target="http://www.sec.gov/ix?doc=/Archives/edgar/data/1858848/000095017022016478/tnya-20220630.htm" TargetMode="External"/><Relationship Id="rId66" Type="http://schemas.openxmlformats.org/officeDocument/2006/relationships/hyperlink" Target="http://www.sec.gov/ix?doc=/Archives/edgar/data/0001858848/000095017022024521/tnya-20220930.htm" TargetMode="External"/><Relationship Id="rId67" Type="http://schemas.openxmlformats.org/officeDocument/2006/relationships/hyperlink" Target="http://www.sec.gov/Archives/edgar/data/1858848/000119312522127693/d263092ddef14a.htm" TargetMode="External"/><Relationship Id="rId68" Type="http://schemas.openxmlformats.org/officeDocument/2006/relationships/hyperlink" Target="http://www.sec.gov/ix?doc=/Archives/edgar/data/1858848/000095017022011496/tnya-20220609.htm" TargetMode="External"/><Relationship Id="rId69" Type="http://schemas.openxmlformats.org/officeDocument/2006/relationships/hyperlink" Target="http://www.sec.gov/ix?doc=/Archives/edgar/data/1858848/000119312522217452/d301698d8k.htm" TargetMode="External"/><Relationship Id="rId70" Type="http://schemas.openxmlformats.org/officeDocument/2006/relationships/hyperlink" Target="http://www.sec.gov/Archives/edgar/data/1858848/000119312521223152/d170858d8a12b.htm" TargetMode="External"/><Relationship Id="rId89" Type="http://schemas.openxmlformats.org/officeDocument/2006/relationships/hyperlink" Target="http://www.sec.gov/Archives/edgar/data/1858848/000095017022004426/tnya-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2022-11-16T15:57:17Z</dcterms:created>
  <dcterms:modified xsi:type="dcterms:W3CDTF">2022-11-16T15:57:17Z</dcterms:modified>
</cp:coreProperties>
</file>