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78268d8k.htm"/>
      <w:bookmarkStart w:id="1" w:name="ksd878268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center"/>
        <w:rPr>
          <w:rFonts w:ascii="Times New Roman" w:hAnsi="Times New Roman"/>
          <w:b/>
          <w:sz w:val="24"/>
        </w:rPr>
      </w:pPr>
      <w:r>
        <w:rPr>
          <w:rFonts w:ascii="Times New Roman" w:hAnsi="Times New Roman"/>
          <w:b/>
          <w:sz w:val="24"/>
        </w:rPr>
        <w:t>March 3, 2025</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Tenaya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001-40656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81-3789973</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171 Oyster Point Boulevard, Suite 500</w:t>
      </w:r>
    </w:p>
    <w:p>
      <w:pPr>
        <w:pStyle w:val="TextBody"/>
        <w:bidi w:val="0"/>
        <w:spacing w:before="0" w:after="0"/>
        <w:jc w:val="center"/>
        <w:rPr>
          <w:rFonts w:ascii="Times New Roman" w:hAnsi="Times New Roman"/>
          <w:b/>
          <w:sz w:val="20"/>
        </w:rPr>
      </w:pPr>
      <w:r>
        <w:rPr>
          <w:rFonts w:ascii="Times New Roman" w:hAnsi="Times New Roman"/>
          <w:b/>
          <w:sz w:val="20"/>
        </w:rPr>
        <w:t>South San Francisco, CA 94080</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(650) 825-6990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950" w:type="dxa"/>
        <w:jc w:val="left"/>
        <w:tblInd w:w="0" w:type="dxa"/>
        <w:tblLayout w:type="fixed"/>
        <w:tblCellMar>
          <w:top w:w="0" w:type="dxa"/>
          <w:left w:w="0" w:type="dxa"/>
          <w:bottom w:w="0" w:type="dxa"/>
          <w:right w:w="0" w:type="dxa"/>
        </w:tblCellMar>
      </w:tblPr>
      <w:tblGrid>
        <w:gridCol w:w="4265"/>
        <w:gridCol w:w="60"/>
        <w:gridCol w:w="740"/>
        <w:gridCol w:w="60"/>
        <w:gridCol w:w="2825"/>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TNYA</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March 3, 2025, Tenaya Therapeutics, Inc. (the “Company”) entered into an underwriting agreement (the “Underwriting Agreement”) with Leerink Partners LLC and Piper Sandler &amp; Co., as representatives (the “Representatives”) of the underwriters listed therein (the “Underwriters”), relating to the issuance and sale in a firm commitment underwritten public offering (the “Offering”) of 75,000,000 units (the “Units”), at a public offering price of $0.70 per Unit, consisting of one share of the Company’s common stock, par value $0.0001 per share (the “Common Stock”, and such shares, the “Shares”), one warrant to purchase one share of Common Stock at an exercise price of $0.80 per share which will expire five years from the date of issuance (a “Series A Warrant”) and one warrant to purchase one half of a share of Common Stock at an exercise price of $0.70 per share that will expire on June 30, 2026 (a “Series B Warrant” and together with the Series A Warrants, the “Warrants”). All of the Units in the Offering are being sold by the Company. The Shares and the Warrants comprising the Units will be immediately separable upon issuance and will be issued separately in the Offering. </w:t>
      </w:r>
    </w:p>
    <w:p>
      <w:pPr>
        <w:pStyle w:val="TextBody"/>
        <w:bidi w:val="0"/>
        <w:spacing w:before="240" w:after="0"/>
        <w:jc w:val="left"/>
        <w:rPr>
          <w:rFonts w:ascii="Times New Roman" w:hAnsi="Times New Roman"/>
          <w:sz w:val="20"/>
        </w:rPr>
      </w:pPr>
      <w:r>
        <w:rPr>
          <w:rFonts w:ascii="Times New Roman" w:hAnsi="Times New Roman"/>
          <w:sz w:val="20"/>
        </w:rPr>
        <w:t xml:space="preserve">Gross proceeds from the Offering before deducting underwriting discounts and commissions and other offering expenses are expected to be approximately $52.5 million. The Offering is expected to close on March 5, 2025,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Offering was made pursuant to the Company’s registration statement on Form S-3 (File No. 333-266741) (the “Registration Statement”), which was filed with the Securities and Exchange Commission (the “SEC”) on August 10, 2022 and declared effective by the SEC on August 17, 2022.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contains customary representations, warranties and agreements by the Company, customary conditions to closing, indemnification obligations of the Company and the Underwriters, including for liabilities under the Securities Act of 1933, as amended (the “Securities Act”),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such parties. </w:t>
      </w:r>
    </w:p>
    <w:p>
      <w:pPr>
        <w:pStyle w:val="TextBody"/>
        <w:bidi w:val="0"/>
        <w:spacing w:before="240" w:after="0"/>
        <w:jc w:val="left"/>
        <w:rPr>
          <w:rFonts w:ascii="Times New Roman" w:hAnsi="Times New Roman"/>
          <w:sz w:val="20"/>
        </w:rPr>
      </w:pPr>
      <w:r>
        <w:rPr>
          <w:rFonts w:ascii="Times New Roman" w:hAnsi="Times New Roman"/>
          <w:sz w:val="20"/>
        </w:rPr>
        <w:t xml:space="preserve">The exercise price and the number of shares of Common Stock issuable upon exercise of the Warrants are subject to appropriate adjustments in the event of certain stock dividends and distributions, stock splits, stock combinations, reclassifications or similar events affecting the Common Stock. The Warrants will be exercisable on or after the date of issuance until (i) in the case of the Series A Warrants, five years from the date of issuance and (ii) in the case of the Series B Warrants, June 30, 2026. The Warrants will be exercisable, in the holder’s discretion, by (i) payment in full in immediately available funds for the number of shares of Common Stock purchased upon such exercise or (ii) in the event that there is no effective registration statement registering the shares of Common Stock underlying the Warrants at the time of such exercise, a cashless exercise, in which case the holder would receive upon such exercise the net number of shares of Common Stock determined according to the formula set forth in the applicable Warrant. Under the Warrants, the Company may not effect the exercise of any Warrant, and a holder will not be entitled to exercise any portion of any Warrant that, upon giving effect to such exercise, would cause (a) the aggregate number of shares of Common Stock beneficially owned by such holder (together with its affiliates) to exceed 4.99% or, at the election of the holder prior to the issuance of the Warrant, 9.99% of the total number of shares of Common Stock outstanding immediately after giving effect to the exercise or (b) the combined voting power of the Company’s securities beneficially owned by such holder (together with its affiliates) to exceed 4.99% or, at the election of the holder prior to the issuance of the Warrant, 9.99% of the combined voting power of all of the Company’s securities immediately outstanding after giving effect to the exercise, as such percentage ownership is determined in accordance with the terms of the Warrant, which percentage may be changed at the holder’s election to a higher or lower percentage not in excess of 19.99% (or, at the election of the holder prior to the issuance of such warrant, 9.99%) upon at least 61 days’ notice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certain fundamental transactions, a holder of Warrants will be entitled to receive, upon exercise of the Warrants, the kind and amount of securities, cash or other property that such holder would have received had they exercised the Warrants immediately prior to the fundamental transaction without regard to any limitations on exercise contained in the Warrants.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foregoing descriptions of the terms of the Underwriting Agreement and the Warrants do not purport to be complete and are each qualified in their entirety by reference to the Underwriting Agreement, the Form of Series A Warrant, and the Form of Series B Warrant, respectively, which are filed as Exhibit 1.1, Exhibit 4.1, and Exhibit 4.2 hereto and are incorporated herein by reference.</w:t>
      </w:r>
    </w:p>
    <w:p>
      <w:pPr>
        <w:pStyle w:val="TextBody"/>
        <w:bidi w:val="0"/>
        <w:spacing w:before="240" w:after="0"/>
        <w:jc w:val="left"/>
        <w:rPr>
          <w:rFonts w:ascii="Times New Roman" w:hAnsi="Times New Roman"/>
          <w:sz w:val="20"/>
        </w:rPr>
      </w:pPr>
      <w:r>
        <w:rPr>
          <w:rFonts w:ascii="Times New Roman" w:hAnsi="Times New Roman"/>
          <w:sz w:val="20"/>
        </w:rPr>
        <w:t xml:space="preserve">A copy of the opinion of Wilson Sonsini Goodrich &amp; Rosati, P.C. relating to the validity of the Shares, the Series A Warrants, the Series B Warrants, and the shares underlying the Warrants is filed as Exhibit 5.1 hereto and is incorporated by reference into the Registration Statement.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copy of the press release announcing the pricing of the Offering is attached to this Current Report on Form 8-K as Exhibit 99.1.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reported under Item 7.01 in this Current Report on Form 8-K, and Exhibit 99.1 attached hereto are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or the Exchange Act, regardless of any general incorporation language in such filing. </w:t>
      </w:r>
    </w:p>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965"/>
        <w:gridCol w:w="1700"/>
      </w:tblGrid>
      <w:tr>
        <w:trPr/>
        <w:tc>
          <w:tcPr>
            <w:tcW w:w="965" w:type="dxa"/>
            <w:tcBorders/>
            <w:vAlign w:val="center"/>
          </w:tcPr>
          <w:p>
            <w:pPr>
              <w:pStyle w:val="TableContents"/>
              <w:bidi w:val="0"/>
              <w:spacing w:before="0" w:after="283"/>
              <w:jc w:val="left"/>
              <w:rPr>
                <w:b/>
              </w:rPr>
            </w:pPr>
            <w:r>
              <w:rPr>
                <w:b/>
              </w:rPr>
              <w:t>Item 8.01</w:t>
            </w:r>
          </w:p>
        </w:tc>
        <w:tc>
          <w:tcPr>
            <w:tcW w:w="17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Effective March 3, 2025, the Company suspended and terminated the prospectus (the “ATM Prospectus”) related to the Common Stock issuable pursuant to the terms of a sales agreement, dated August 10, 2022, by and between the Company and Leerink Partners LLC (the “Sales Agreement”). As a result, the Company will not make any sales of the Company’s securities pursuant to the Sales Agreement unless and until a new prospectus, prospectus supplement or a new registration statement is filed. Other than the termination of the ATM Prospectus, the Sales Agreement remains in full force and effect.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of the statements made in this report are forward looking, such as those, among others, relating to the Company’s expectations regarding the size, terms, timing and completion of the Offering and the expected gross proceeds. Actual results or developments may differ materially from those projected or implied in these forward-looking statements. Factors that may cause such a difference include risks and uncertainties related to completion of the Offering on the anticipated terms or at all, market conditions and the satisfaction of customary closing conditions related to the Offering. More information about the risks and uncertainties faced by the Company is contained under the caption “Risk Factors” in the Company’s Quarterly Report on Form 10-Q filed with the SEC on November 6, 2024. The Company disclaims any intention or obligation to update or revise any forward-looking statements, whether as a result of new information, future events or otherwise.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(d) Exhibits.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5"/>
        <w:gridCol w:w="120"/>
        <w:gridCol w:w="9360"/>
      </w:tblGrid>
      <w:tr>
        <w:trPr/>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60"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jc w:val="center"/>
              <w:rPr/>
            </w:pPr>
            <w:r>
              <w:rPr/>
              <w:t>Exhibit</w:t>
            </w:r>
          </w:p>
          <w:p>
            <w:pPr>
              <w:pStyle w:val="TableContents"/>
              <w:bidi w:val="0"/>
              <w:spacing w:before="0" w:after="20"/>
              <w:jc w:val="center"/>
              <w:rPr>
                <w:rFonts w:ascii="Times New Roman" w:hAnsi="Times New Roman"/>
                <w:sz w:val="20"/>
              </w:rPr>
            </w:pPr>
            <w:r>
              <w:rPr>
                <w:rFonts w:ascii="Times New Roman" w:hAnsi="Times New Roman"/>
                <w:sz w:val="20"/>
              </w:rPr>
              <w:t>No.</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9480"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center"/>
              <w:rPr/>
            </w:pPr>
            <w:r>
              <w:rPr/>
              <w:t>1.1</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d878268dex11.htm">
              <w:r>
                <w:rPr>
                  <w:rStyle w:val="InternetLink"/>
                </w:rPr>
                <w:t xml:space="preserve">Underwriting Agreement between the Company, Leerink Partners LLC and Piper Sandler &amp; Co., dated as of March 3, 2025. </w:t>
              </w:r>
            </w:hyperlink>
          </w:p>
        </w:tc>
      </w:tr>
      <w:tr>
        <w:trPr/>
        <w:tc>
          <w:tcPr>
            <w:tcW w:w="725" w:type="dxa"/>
            <w:tcBorders/>
            <w:vAlign w:val="center"/>
          </w:tcPr>
          <w:p>
            <w:pPr>
              <w:pStyle w:val="TableContents"/>
              <w:bidi w:val="0"/>
              <w:spacing w:before="0" w:after="283"/>
              <w:jc w:val="left"/>
              <w:rPr>
                <w:sz w:val="4"/>
                <w:szCs w:val="4"/>
              </w:rPr>
            </w:pPr>
            <w:r>
              <w:rPr>
                <w:sz w:val="4"/>
                <w:szCs w:val="4"/>
              </w:rPr>
            </w:r>
          </w:p>
        </w:tc>
        <w:tc>
          <w:tcPr>
            <w:tcW w:w="9480"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center"/>
              <w:rPr/>
            </w:pPr>
            <w:r>
              <w:rPr/>
              <w:t>4.1</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d878268dex41.htm">
              <w:r>
                <w:rPr>
                  <w:rStyle w:val="InternetLink"/>
                </w:rPr>
                <w:t xml:space="preserve">Form of Series A Warrant </w:t>
              </w:r>
            </w:hyperlink>
          </w:p>
        </w:tc>
      </w:tr>
      <w:tr>
        <w:trPr/>
        <w:tc>
          <w:tcPr>
            <w:tcW w:w="725" w:type="dxa"/>
            <w:tcBorders/>
            <w:vAlign w:val="center"/>
          </w:tcPr>
          <w:p>
            <w:pPr>
              <w:pStyle w:val="TableContents"/>
              <w:bidi w:val="0"/>
              <w:spacing w:before="0" w:after="283"/>
              <w:jc w:val="left"/>
              <w:rPr>
                <w:sz w:val="4"/>
                <w:szCs w:val="4"/>
              </w:rPr>
            </w:pPr>
            <w:r>
              <w:rPr>
                <w:sz w:val="4"/>
                <w:szCs w:val="4"/>
              </w:rPr>
            </w:r>
          </w:p>
        </w:tc>
        <w:tc>
          <w:tcPr>
            <w:tcW w:w="9480"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center"/>
              <w:rPr/>
            </w:pPr>
            <w:r>
              <w:rPr/>
              <w:t>4.2</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d878268dex42.htm">
              <w:r>
                <w:rPr>
                  <w:rStyle w:val="InternetLink"/>
                </w:rPr>
                <w:t xml:space="preserve">Form of Series B Warrant </w:t>
              </w:r>
            </w:hyperlink>
          </w:p>
        </w:tc>
      </w:tr>
      <w:tr>
        <w:trPr/>
        <w:tc>
          <w:tcPr>
            <w:tcW w:w="725" w:type="dxa"/>
            <w:tcBorders/>
            <w:vAlign w:val="center"/>
          </w:tcPr>
          <w:p>
            <w:pPr>
              <w:pStyle w:val="TableContents"/>
              <w:bidi w:val="0"/>
              <w:spacing w:before="0" w:after="283"/>
              <w:jc w:val="left"/>
              <w:rPr>
                <w:sz w:val="4"/>
                <w:szCs w:val="4"/>
              </w:rPr>
            </w:pPr>
            <w:r>
              <w:rPr>
                <w:sz w:val="4"/>
                <w:szCs w:val="4"/>
              </w:rPr>
            </w:r>
          </w:p>
        </w:tc>
        <w:tc>
          <w:tcPr>
            <w:tcW w:w="9480"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center"/>
              <w:rPr/>
            </w:pPr>
            <w:r>
              <w:rPr/>
              <w:t>5.1</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d878268dex51.htm">
              <w:r>
                <w:rPr>
                  <w:rStyle w:val="InternetLink"/>
                </w:rPr>
                <w:t xml:space="preserve">Opinion of Wilson Sonsini Goodrich &amp; Rosati, Professional Corporation. </w:t>
              </w:r>
            </w:hyperlink>
          </w:p>
        </w:tc>
      </w:tr>
      <w:tr>
        <w:trPr/>
        <w:tc>
          <w:tcPr>
            <w:tcW w:w="725" w:type="dxa"/>
            <w:tcBorders/>
            <w:vAlign w:val="center"/>
          </w:tcPr>
          <w:p>
            <w:pPr>
              <w:pStyle w:val="TableContents"/>
              <w:bidi w:val="0"/>
              <w:spacing w:before="0" w:after="283"/>
              <w:jc w:val="left"/>
              <w:rPr>
                <w:sz w:val="4"/>
                <w:szCs w:val="4"/>
              </w:rPr>
            </w:pPr>
            <w:r>
              <w:rPr>
                <w:sz w:val="4"/>
                <w:szCs w:val="4"/>
              </w:rPr>
            </w:r>
          </w:p>
        </w:tc>
        <w:tc>
          <w:tcPr>
            <w:tcW w:w="9480"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center"/>
              <w:rPr/>
            </w:pPr>
            <w:r>
              <w:rPr/>
              <w:t>23.1</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d878268dex51.htm">
              <w:r>
                <w:rPr>
                  <w:rStyle w:val="InternetLink"/>
                </w:rPr>
                <w:t xml:space="preserve">Consent of Wilson Sonsini Goodrich &amp; Rosati, Professional Corporation (included with the opinion filed as Exhibit 5.1). </w:t>
              </w:r>
            </w:hyperlink>
          </w:p>
        </w:tc>
      </w:tr>
      <w:tr>
        <w:trPr/>
        <w:tc>
          <w:tcPr>
            <w:tcW w:w="725" w:type="dxa"/>
            <w:tcBorders/>
            <w:vAlign w:val="center"/>
          </w:tcPr>
          <w:p>
            <w:pPr>
              <w:pStyle w:val="TableContents"/>
              <w:bidi w:val="0"/>
              <w:spacing w:before="0" w:after="283"/>
              <w:jc w:val="left"/>
              <w:rPr>
                <w:sz w:val="4"/>
                <w:szCs w:val="4"/>
              </w:rPr>
            </w:pPr>
            <w:r>
              <w:rPr>
                <w:sz w:val="4"/>
                <w:szCs w:val="4"/>
              </w:rPr>
            </w:r>
          </w:p>
        </w:tc>
        <w:tc>
          <w:tcPr>
            <w:tcW w:w="9480"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center"/>
              <w:rPr/>
            </w:pPr>
            <w:r>
              <w:rPr/>
              <w:t>99.1</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d878268dex991.htm">
              <w:r>
                <w:rPr>
                  <w:rStyle w:val="InternetLink"/>
                </w:rPr>
                <w:t xml:space="preserve">Press Release dated March 3, 2025. </w:t>
              </w:r>
            </w:hyperlink>
          </w:p>
        </w:tc>
      </w:tr>
      <w:tr>
        <w:trPr/>
        <w:tc>
          <w:tcPr>
            <w:tcW w:w="725" w:type="dxa"/>
            <w:tcBorders/>
            <w:vAlign w:val="center"/>
          </w:tcPr>
          <w:p>
            <w:pPr>
              <w:pStyle w:val="TableContents"/>
              <w:bidi w:val="0"/>
              <w:spacing w:before="0" w:after="283"/>
              <w:jc w:val="left"/>
              <w:rPr>
                <w:sz w:val="4"/>
                <w:szCs w:val="4"/>
              </w:rPr>
            </w:pPr>
            <w:r>
              <w:rPr>
                <w:sz w:val="4"/>
                <w:szCs w:val="4"/>
              </w:rPr>
            </w:r>
          </w:p>
        </w:tc>
        <w:tc>
          <w:tcPr>
            <w:tcW w:w="9480"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center"/>
              <w:rPr/>
            </w:pPr>
            <w:r>
              <w:rPr/>
              <w:t>104</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SIGNATURES</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5852" w:type="dxa"/>
        <w:jc w:val="left"/>
        <w:tblInd w:w="0" w:type="dxa"/>
        <w:tblLayout w:type="fixed"/>
        <w:tblCellMar>
          <w:top w:w="0" w:type="dxa"/>
          <w:left w:w="0" w:type="dxa"/>
          <w:bottom w:w="0" w:type="dxa"/>
          <w:right w:w="0" w:type="dxa"/>
        </w:tblCellMar>
      </w:tblPr>
      <w:tblGrid>
        <w:gridCol w:w="2000"/>
        <w:gridCol w:w="60"/>
        <w:gridCol w:w="23"/>
        <w:gridCol w:w="60"/>
        <w:gridCol w:w="398"/>
        <w:gridCol w:w="65"/>
        <w:gridCol w:w="3246"/>
      </w:tblGrid>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3246"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09" w:type="dxa"/>
            <w:gridSpan w:val="3"/>
            <w:tcBorders/>
            <w:vAlign w:val="center"/>
          </w:tcPr>
          <w:p>
            <w:pPr>
              <w:pStyle w:val="TableContents"/>
              <w:bidi w:val="0"/>
              <w:spacing w:before="0" w:after="283"/>
              <w:jc w:val="left"/>
              <w:rPr>
                <w:b/>
              </w:rPr>
            </w:pPr>
            <w:r>
              <w:rPr>
                <w:b/>
              </w:rPr>
              <w:t>TENAYA THERAPEUTICS, INC.</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58" w:type="dxa"/>
            <w:gridSpan w:val="2"/>
            <w:tcBorders/>
            <w:vAlign w:val="center"/>
          </w:tcPr>
          <w:p>
            <w:pPr>
              <w:pStyle w:val="TableContents"/>
              <w:bidi w:val="0"/>
              <w:spacing w:before="0" w:after="283"/>
              <w:jc w:val="left"/>
              <w:rPr>
                <w:sz w:val="4"/>
                <w:szCs w:val="4"/>
              </w:rPr>
            </w:pPr>
            <w:r>
              <w:rPr>
                <w:sz w:val="4"/>
                <w:szCs w:val="4"/>
              </w:rPr>
            </w:r>
          </w:p>
        </w:tc>
        <w:tc>
          <w:tcPr>
            <w:tcW w:w="3311"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left"/>
              <w:rPr/>
            </w:pPr>
            <w:r>
              <w:rPr/>
              <w:t>By:</w:t>
            </w:r>
          </w:p>
        </w:tc>
        <w:tc>
          <w:tcPr>
            <w:tcW w:w="65" w:type="dxa"/>
            <w:tcBorders/>
            <w:vAlign w:val="center"/>
          </w:tcPr>
          <w:p>
            <w:pPr>
              <w:pStyle w:val="TableContents"/>
              <w:bidi w:val="0"/>
              <w:spacing w:before="0" w:after="283"/>
              <w:jc w:val="left"/>
              <w:rPr/>
            </w:pPr>
            <w:r>
              <w:rPr/>
              <w:t> </w:t>
            </w:r>
          </w:p>
        </w:tc>
        <w:tc>
          <w:tcPr>
            <w:tcW w:w="3246"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Jennifer Drimmer Rokovich</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3246" w:type="dxa"/>
            <w:tcBorders/>
            <w:vAlign w:val="center"/>
          </w:tcPr>
          <w:p>
            <w:pPr>
              <w:pStyle w:val="TableContents"/>
              <w:bidi w:val="0"/>
              <w:spacing w:before="0" w:after="283"/>
              <w:jc w:val="left"/>
              <w:rPr/>
            </w:pPr>
            <w:r>
              <w:rPr/>
              <w:t>Jennifer Drimmer Rokovich</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3246" w:type="dxa"/>
            <w:tcBorders/>
            <w:vAlign w:val="center"/>
          </w:tcPr>
          <w:p>
            <w:pPr>
              <w:pStyle w:val="TableContents"/>
              <w:bidi w:val="0"/>
              <w:spacing w:before="0" w:after="283"/>
              <w:jc w:val="left"/>
              <w:rPr/>
            </w:pPr>
            <w:r>
              <w:rPr/>
              <w:t>General Counsel and Secretary</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58" w:type="dxa"/>
            <w:gridSpan w:val="2"/>
            <w:tcBorders/>
            <w:vAlign w:val="center"/>
          </w:tcPr>
          <w:p>
            <w:pPr>
              <w:pStyle w:val="TableContents"/>
              <w:bidi w:val="0"/>
              <w:spacing w:before="0" w:after="283"/>
              <w:jc w:val="left"/>
              <w:rPr>
                <w:sz w:val="4"/>
                <w:szCs w:val="4"/>
              </w:rPr>
            </w:pPr>
            <w:r>
              <w:rPr>
                <w:sz w:val="4"/>
                <w:szCs w:val="4"/>
              </w:rPr>
            </w:r>
          </w:p>
        </w:tc>
        <w:tc>
          <w:tcPr>
            <w:tcW w:w="3311"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pPr>
            <w:r>
              <w:rPr/>
              <w:t>Date: March 4,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324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2" w:name="d878268dex11.htm"/>
      <w:bookmarkStart w:id="3" w:name="ksd878268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TENAYA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75,000,000 UNITS CONSISTING OF ONE SHARE OF COMMON STOCK, ONE </w:t>
      </w:r>
    </w:p>
    <w:p>
      <w:pPr>
        <w:pStyle w:val="TextBody"/>
        <w:bidi w:val="0"/>
        <w:spacing w:before="0" w:after="0"/>
        <w:jc w:val="center"/>
        <w:rPr>
          <w:rFonts w:ascii="Times New Roman" w:hAnsi="Times New Roman"/>
          <w:b/>
          <w:sz w:val="20"/>
        </w:rPr>
      </w:pPr>
      <w:r>
        <w:rPr>
          <w:rFonts w:ascii="Times New Roman" w:hAnsi="Times New Roman"/>
          <w:b/>
          <w:sz w:val="20"/>
        </w:rPr>
        <w:t xml:space="preserve">SERIES A WARRANT TO PURCHASE ONE SHARE OF COMMON STOCK </w:t>
      </w:r>
    </w:p>
    <w:p>
      <w:pPr>
        <w:pStyle w:val="TextBody"/>
        <w:bidi w:val="0"/>
        <w:spacing w:before="0" w:after="0"/>
        <w:jc w:val="center"/>
        <w:rPr>
          <w:rFonts w:ascii="Times New Roman" w:hAnsi="Times New Roman"/>
          <w:b/>
          <w:sz w:val="20"/>
        </w:rPr>
      </w:pPr>
      <w:r>
        <w:rPr>
          <w:rFonts w:ascii="Times New Roman" w:hAnsi="Times New Roman"/>
          <w:b/>
          <w:sz w:val="20"/>
        </w:rPr>
        <w:t xml:space="preserve">AND ONE SERIES B WARRANT TO PURCHASE ONE-HALF OF A SHARE OF </w:t>
      </w:r>
    </w:p>
    <w:p>
      <w:pPr>
        <w:pStyle w:val="TextBody"/>
        <w:bidi w:val="0"/>
        <w:spacing w:before="0" w:after="0"/>
        <w:jc w:val="center"/>
        <w:rPr>
          <w:rFonts w:ascii="Times New Roman" w:hAnsi="Times New Roman"/>
          <w:b/>
          <w:sz w:val="20"/>
        </w:rPr>
      </w:pPr>
      <w:r>
        <w:rPr>
          <w:rFonts w:ascii="Times New Roman" w:hAnsi="Times New Roman"/>
          <w:b/>
          <w:sz w:val="20"/>
        </w:rPr>
        <w:t xml:space="preserve">COMMON STOCK </w:t>
      </w:r>
    </w:p>
    <w:p>
      <w:pPr>
        <w:pStyle w:val="TextBody"/>
        <w:bidi w:val="0"/>
        <w:spacing w:before="24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March 3, 2025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March 3, 2025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Piper Sandler &amp; Co.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Representatives of the several Underwriters named in Schedule I hereto </w:t>
      </w:r>
    </w:p>
    <w:p>
      <w:pPr>
        <w:pStyle w:val="TextBody"/>
        <w:bidi w:val="0"/>
        <w:spacing w:before="240" w:after="0"/>
        <w:jc w:val="left"/>
        <w:rPr>
          <w:rFonts w:ascii="Times New Roman" w:hAnsi="Times New Roman"/>
          <w:sz w:val="20"/>
        </w:rPr>
      </w:pPr>
      <w:r>
        <w:rPr>
          <w:rFonts w:ascii="Times New Roman" w:hAnsi="Times New Roman"/>
          <w:sz w:val="20"/>
        </w:rPr>
        <w:t xml:space="preserve">c/o 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1301 Avenue of the Americas, 5th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10019 </w:t>
      </w:r>
    </w:p>
    <w:p>
      <w:pPr>
        <w:pStyle w:val="TextBody"/>
        <w:bidi w:val="0"/>
        <w:spacing w:before="240" w:after="0"/>
        <w:jc w:val="left"/>
        <w:rPr>
          <w:rFonts w:ascii="Times New Roman" w:hAnsi="Times New Roman"/>
          <w:sz w:val="20"/>
        </w:rPr>
      </w:pPr>
      <w:r>
        <w:rPr>
          <w:rFonts w:ascii="Times New Roman" w:hAnsi="Times New Roman"/>
          <w:sz w:val="20"/>
        </w:rPr>
        <w:t xml:space="preserve">c/o Piper Sandler &amp; Co. </w:t>
      </w:r>
    </w:p>
    <w:p>
      <w:pPr>
        <w:pStyle w:val="TextBody"/>
        <w:bidi w:val="0"/>
        <w:spacing w:before="0" w:after="0"/>
        <w:jc w:val="left"/>
        <w:rPr>
          <w:rFonts w:ascii="Times New Roman" w:hAnsi="Times New Roman"/>
          <w:sz w:val="20"/>
        </w:rPr>
      </w:pPr>
      <w:r>
        <w:rPr>
          <w:rFonts w:ascii="Times New Roman" w:hAnsi="Times New Roman"/>
          <w:sz w:val="20"/>
        </w:rPr>
        <w:t xml:space="preserve">800 Nicollet Mall, Suite 800 </w:t>
      </w:r>
    </w:p>
    <w:p>
      <w:pPr>
        <w:pStyle w:val="TextBody"/>
        <w:bidi w:val="0"/>
        <w:spacing w:before="0" w:after="0"/>
        <w:jc w:val="left"/>
        <w:rPr>
          <w:rFonts w:ascii="Times New Roman" w:hAnsi="Times New Roman"/>
          <w:sz w:val="20"/>
        </w:rPr>
      </w:pPr>
      <w:r>
        <w:rPr>
          <w:rFonts w:ascii="Times New Roman" w:hAnsi="Times New Roman"/>
          <w:sz w:val="20"/>
        </w:rPr>
        <w:t xml:space="preserve">Minneapolis, Minnesota 55402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Tenaya Therapeutics, Inc., a Delaware corporation (the </w:t>
      </w:r>
      <w:r>
        <w:rPr>
          <w:rFonts w:ascii="Times New Roman" w:hAnsi="Times New Roman"/>
          <w:b/>
          <w:sz w:val="20"/>
        </w:rPr>
        <w:t>Company</w:t>
      </w:r>
      <w:r>
        <w:rPr>
          <w:rFonts w:ascii="Times New Roman" w:hAnsi="Times New Roman"/>
          <w:sz w:val="20"/>
        </w:rPr>
        <w:t>), proposes to issue and sell to the several Underwriters named in Schedule I hereto (the </w:t>
      </w:r>
      <w:r>
        <w:rPr>
          <w:rFonts w:ascii="Times New Roman" w:hAnsi="Times New Roman"/>
          <w:b/>
          <w:sz w:val="20"/>
        </w:rPr>
        <w:t>Underwriters</w:t>
      </w:r>
      <w:r>
        <w:rPr>
          <w:rFonts w:ascii="Times New Roman" w:hAnsi="Times New Roman"/>
          <w:sz w:val="20"/>
        </w:rPr>
        <w:t>), for whom Leerink Partners LLC (</w:t>
      </w:r>
      <w:r>
        <w:rPr>
          <w:rFonts w:ascii="Times New Roman" w:hAnsi="Times New Roman"/>
          <w:b/>
          <w:sz w:val="20"/>
        </w:rPr>
        <w:t>Leerink Partners</w:t>
      </w:r>
      <w:r>
        <w:rPr>
          <w:rFonts w:ascii="Times New Roman" w:hAnsi="Times New Roman"/>
          <w:sz w:val="20"/>
        </w:rPr>
        <w:t>) and Piper Sandler &amp; Co. (</w:t>
      </w:r>
      <w:r>
        <w:rPr>
          <w:rFonts w:ascii="Times New Roman" w:hAnsi="Times New Roman"/>
          <w:b/>
          <w:sz w:val="20"/>
        </w:rPr>
        <w:t>Piper Sandler</w:t>
      </w:r>
      <w:r>
        <w:rPr>
          <w:rFonts w:ascii="Times New Roman" w:hAnsi="Times New Roman"/>
          <w:sz w:val="20"/>
        </w:rPr>
        <w:t>) are acting as representatives (the </w:t>
      </w:r>
      <w:r>
        <w:rPr>
          <w:rFonts w:ascii="Times New Roman" w:hAnsi="Times New Roman"/>
          <w:b/>
          <w:sz w:val="20"/>
        </w:rPr>
        <w:t>Representatives</w:t>
      </w:r>
      <w:r>
        <w:rPr>
          <w:rFonts w:ascii="Times New Roman" w:hAnsi="Times New Roman"/>
          <w:sz w:val="20"/>
        </w:rPr>
        <w:t>) an aggregate of 75,000,000 units of the Company (the </w:t>
      </w:r>
      <w:r>
        <w:rPr>
          <w:rFonts w:ascii="Times New Roman" w:hAnsi="Times New Roman"/>
          <w:b/>
          <w:sz w:val="20"/>
        </w:rPr>
        <w:t>Units</w:t>
      </w:r>
      <w:r>
        <w:rPr>
          <w:rFonts w:ascii="Times New Roman" w:hAnsi="Times New Roman"/>
          <w:sz w:val="20"/>
        </w:rPr>
        <w:t>), each consisting of one share of the Companys common stock, $0.0001 par value per share (such share, a </w:t>
      </w:r>
      <w:r>
        <w:rPr>
          <w:rFonts w:ascii="Times New Roman" w:hAnsi="Times New Roman"/>
          <w:b/>
          <w:sz w:val="20"/>
        </w:rPr>
        <w:t>Share</w:t>
      </w:r>
      <w:r>
        <w:rPr>
          <w:rFonts w:ascii="Times New Roman" w:hAnsi="Times New Roman"/>
          <w:sz w:val="20"/>
        </w:rPr>
        <w:t>), one (1) warrant to purchase one share of the Companys common stock, $0.0001 par value per share at an exercise price of $0.80 per share which are exercisable for a period of five (5) years from the original issue date (each, a </w:t>
      </w:r>
      <w:r>
        <w:rPr>
          <w:rFonts w:ascii="Times New Roman" w:hAnsi="Times New Roman"/>
          <w:b/>
          <w:sz w:val="20"/>
        </w:rPr>
        <w:t>Series A Warrant</w:t>
      </w:r>
      <w:r>
        <w:rPr>
          <w:rFonts w:ascii="Times New Roman" w:hAnsi="Times New Roman"/>
          <w:sz w:val="20"/>
        </w:rPr>
        <w:t>), and one (1) warrant to purchase one-half of a share of the Companys common stock, $0.0001 par value per share at an exercise price of $0.70 per share, which will expire on June 30, 2026 (each, a </w:t>
      </w:r>
      <w:r>
        <w:rPr>
          <w:rFonts w:ascii="Times New Roman" w:hAnsi="Times New Roman"/>
          <w:b/>
          <w:sz w:val="20"/>
        </w:rPr>
        <w:t>Series B Warrant</w:t>
      </w:r>
      <w:r>
        <w:rPr>
          <w:rFonts w:ascii="Times New Roman" w:hAnsi="Times New Roman"/>
          <w:sz w:val="20"/>
        </w:rPr>
        <w:t> and, together with the Series A Warrants the </w:t>
      </w:r>
      <w:r>
        <w:rPr>
          <w:rFonts w:ascii="Times New Roman" w:hAnsi="Times New Roman"/>
          <w:b/>
          <w:sz w:val="20"/>
        </w:rPr>
        <w:t>Warrants</w:t>
      </w:r>
      <w:r>
        <w:rPr>
          <w:rFonts w:ascii="Times New Roman" w:hAnsi="Times New Roman"/>
          <w:sz w:val="20"/>
        </w:rPr>
        <w:t>). No Units will be certificated, and the Shares and the Warrants comprising the Units will be separated immediately upon issuance. The shares of common stock to be issued upon exercise of the Warrants are hereinafter referred to as the </w:t>
      </w:r>
      <w:r>
        <w:rPr>
          <w:rFonts w:ascii="Times New Roman" w:hAnsi="Times New Roman"/>
          <w:b/>
          <w:sz w:val="20"/>
        </w:rPr>
        <w:t>Warrant Shares</w:t>
      </w:r>
      <w:r>
        <w:rPr>
          <w:rFonts w:ascii="Times New Roman" w:hAnsi="Times New Roman"/>
          <w:sz w:val="20"/>
        </w:rPr>
        <w:t>. The Warrants are exercisable at any time on or after their original issuance and are subject to adjustment as provided in the forms attached hereto as Exhibit B-1 and B-2, respectively. The shares of common stock, $0.0001 par value per share of the Company to be outstanding after giving effect to the sales contemplated hereby are hereinafter referred to as the </w:t>
      </w:r>
      <w:r>
        <w:rPr>
          <w:rFonts w:ascii="Times New Roman" w:hAnsi="Times New Roman"/>
          <w:b/>
          <w:sz w:val="20"/>
        </w:rPr>
        <w:t>Common Stock</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Company has filed with the Securities and Exchange Commission (the </w:t>
      </w:r>
      <w:r>
        <w:rPr>
          <w:rFonts w:ascii="Times New Roman" w:hAnsi="Times New Roman"/>
          <w:b/>
          <w:sz w:val="20"/>
        </w:rPr>
        <w:t>Commission</w:t>
      </w:r>
      <w:r>
        <w:rPr>
          <w:rFonts w:ascii="Times New Roman" w:hAnsi="Times New Roman"/>
          <w:sz w:val="20"/>
        </w:rPr>
        <w:t>) a registration statement on Form S-3 (File No. 333-266741), including a preliminary prospectus, relating to the Shares, the Warrants and the Warrant Shares.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Times New Roman" w:hAnsi="Times New Roman"/>
          <w:b/>
          <w:sz w:val="20"/>
        </w:rPr>
        <w:t>Securities Act</w:t>
      </w:r>
      <w:r>
        <w:rPr>
          <w:rFonts w:ascii="Times New Roman" w:hAnsi="Times New Roman"/>
          <w:sz w:val="20"/>
        </w:rPr>
        <w:t>), is hereinafter referred to as the </w:t>
      </w:r>
      <w:r>
        <w:rPr>
          <w:rFonts w:ascii="Times New Roman" w:hAnsi="Times New Roman"/>
          <w:b/>
          <w:sz w:val="20"/>
        </w:rPr>
        <w:t>Registration Statement</w:t>
      </w:r>
      <w:r>
        <w:rPr>
          <w:rFonts w:ascii="Times New Roman" w:hAnsi="Times New Roman"/>
          <w:sz w:val="20"/>
        </w:rPr>
        <w:t>; the prospectus in the form first used to confirm sales of Units (or in the form first made available to the Underwriters by the Company to meet requests of purchasers pursuant to Rule 173 under the Securities Act) is hereinafter referred to as the </w:t>
      </w:r>
      <w:r>
        <w:rPr>
          <w:rFonts w:ascii="Times New Roman" w:hAnsi="Times New Roman"/>
          <w:b/>
          <w:sz w:val="20"/>
        </w:rPr>
        <w:t>Prospectus</w:t>
      </w:r>
      <w:r>
        <w:rPr>
          <w:rFonts w:ascii="Times New Roman" w:hAnsi="Times New Roman"/>
          <w:sz w:val="20"/>
        </w:rPr>
        <w:t>. If the Company has filed an abbreviated registration statement to register additional shares of Common Stock pursuant to Rule 462(b) under the Securities Act (a </w:t>
      </w:r>
      <w:r>
        <w:rPr>
          <w:rFonts w:ascii="Times New Roman" w:hAnsi="Times New Roman"/>
          <w:b/>
          <w:sz w:val="20"/>
        </w:rPr>
        <w:t>Rule</w:t>
      </w:r>
      <w:r>
        <w:rPr>
          <w:rFonts w:ascii="Times New Roman" w:hAnsi="Times New Roman"/>
          <w:sz w:val="20"/>
        </w:rPr>
        <w:t> </w:t>
      </w:r>
      <w:r>
        <w:rPr>
          <w:rFonts w:ascii="Times New Roman" w:hAnsi="Times New Roman"/>
          <w:b/>
          <w:sz w:val="20"/>
        </w:rPr>
        <w:t>462</w:t>
      </w:r>
      <w:r>
        <w:rPr>
          <w:rFonts w:ascii="Times New Roman" w:hAnsi="Times New Roman"/>
          <w:sz w:val="20"/>
        </w:rPr>
        <w:t xml:space="preserve"> </w:t>
      </w:r>
      <w:r>
        <w:rPr>
          <w:rFonts w:ascii="Times New Roman" w:hAnsi="Times New Roman"/>
          <w:b/>
          <w:sz w:val="20"/>
        </w:rPr>
        <w:t>Registration Statement</w:t>
      </w:r>
      <w:r>
        <w:rPr>
          <w:rFonts w:ascii="Times New Roman" w:hAnsi="Times New Roman"/>
          <w:sz w:val="20"/>
        </w:rPr>
        <w:t>), then any reference herein to the term </w:t>
      </w:r>
      <w:r>
        <w:rPr>
          <w:rFonts w:ascii="Times New Roman" w:hAnsi="Times New Roman"/>
          <w:b/>
          <w:sz w:val="20"/>
        </w:rPr>
        <w:t>Registration Statement</w:t>
      </w:r>
      <w:r>
        <w:rPr>
          <w:rFonts w:ascii="Times New Roman" w:hAnsi="Times New Roman"/>
          <w:sz w:val="20"/>
        </w:rPr>
        <w:t xml:space="preserve"> shall be deemed to include such Rule 462 Registration Statement. </w:t>
      </w:r>
    </w:p>
    <w:p>
      <w:pPr>
        <w:pStyle w:val="TextBody"/>
        <w:bidi w:val="0"/>
        <w:spacing w:before="240" w:after="0"/>
        <w:jc w:val="left"/>
        <w:rPr>
          <w:rFonts w:ascii="Times New Roman" w:hAnsi="Times New Roman"/>
          <w:sz w:val="20"/>
        </w:rPr>
      </w:pPr>
      <w:r>
        <w:rPr>
          <w:rFonts w:ascii="Times New Roman" w:hAnsi="Times New Roman"/>
          <w:sz w:val="20"/>
        </w:rPr>
        <w:t>For purposes of this Agreement, </w:t>
      </w:r>
      <w:r>
        <w:rPr>
          <w:rFonts w:ascii="Times New Roman" w:hAnsi="Times New Roman"/>
          <w:b/>
          <w:sz w:val="20"/>
        </w:rPr>
        <w:t>free writing prospectus</w:t>
      </w:r>
      <w:r>
        <w:rPr>
          <w:rFonts w:ascii="Times New Roman" w:hAnsi="Times New Roman"/>
          <w:sz w:val="20"/>
        </w:rPr>
        <w:t> has the meaning set forth in Rule 405 under the Securities Act, </w:t>
      </w:r>
      <w:r>
        <w:rPr>
          <w:rFonts w:ascii="Times New Roman" w:hAnsi="Times New Roman"/>
          <w:b/>
          <w:sz w:val="20"/>
        </w:rPr>
        <w:t>preliminary prospectus</w:t>
      </w:r>
      <w:r>
        <w:rPr>
          <w:rFonts w:ascii="Times New Roman" w:hAnsi="Times New Roman"/>
          <w:sz w:val="20"/>
        </w:rPr>
        <w:t> shall mean each prospectus used prior to the effectiveness of the Registration Statement, and each prospectus that omitted information pursuant to Rule 430A under the Securities Act that was used after such effectiveness and prior to the execution and delivery of this Agreement, </w:t>
      </w:r>
      <w:r>
        <w:rPr>
          <w:rFonts w:ascii="Times New Roman" w:hAnsi="Times New Roman"/>
          <w:b/>
          <w:sz w:val="20"/>
        </w:rPr>
        <w:t>Time of Sale Prospectus</w:t>
      </w:r>
      <w:r>
        <w:rPr>
          <w:rFonts w:ascii="Times New Roman" w:hAnsi="Times New Roman"/>
          <w:sz w:val="20"/>
        </w:rPr>
        <w:t> means the preliminary prospectus contained in the Registration Statement at the time of its effectiveness together with the documents and free writing prospectuses, if any, and pricing information set forth in Schedule II hereto, and </w:t>
      </w:r>
      <w:r>
        <w:rPr>
          <w:rFonts w:ascii="Times New Roman" w:hAnsi="Times New Roman"/>
          <w:b/>
          <w:sz w:val="20"/>
        </w:rPr>
        <w:t>broadly available road show</w:t>
      </w:r>
      <w:r>
        <w:rPr>
          <w:rFonts w:ascii="Times New Roman" w:hAnsi="Times New Roman"/>
          <w:sz w:val="20"/>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 The terms supplement, amendment and amend as used herein with respect to the Registration Statement, the Time of Sale Prospectus or the Prospectus shall include all documents subsequently filed by the Company with the Commission pursuant to the Securities Exchange Act of 1934, as amended (the </w:t>
      </w:r>
      <w:r>
        <w:rPr>
          <w:rFonts w:ascii="Times New Roman" w:hAnsi="Times New Roman"/>
          <w:b/>
          <w:sz w:val="20"/>
        </w:rPr>
        <w:t>Exchange Act</w:t>
      </w:r>
      <w:r>
        <w:rPr>
          <w:rFonts w:ascii="Times New Roman" w:hAnsi="Times New Roman"/>
          <w:sz w:val="20"/>
        </w:rPr>
        <w:t xml:space="preserve">), that are deemed to be incorporated by reference therein. For purposes of this Agreement, except where otherwise expressly provided, the term affiliate has the meaning set forth in Rule 405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 xml:space="preserve">Representations and Warranties. </w:t>
      </w:r>
      <w:r>
        <w:rPr>
          <w:rFonts w:ascii="Times New Roman" w:hAnsi="Times New Roman"/>
          <w:sz w:val="20"/>
        </w:rPr>
        <w:t xml:space="preserve">The Company represents and warrants to and agrees with each of the Underwriters that: </w:t>
      </w:r>
    </w:p>
    <w:p>
      <w:pPr>
        <w:pStyle w:val="TextBody"/>
        <w:bidi w:val="0"/>
        <w:spacing w:before="120" w:after="0"/>
        <w:jc w:val="left"/>
        <w:rPr>
          <w:rFonts w:ascii="Times New Roman" w:hAnsi="Times New Roman"/>
          <w:sz w:val="20"/>
        </w:rPr>
      </w:pPr>
      <w:r>
        <w:rPr>
          <w:rFonts w:ascii="Times New Roman" w:hAnsi="Times New Roman"/>
          <w:sz w:val="20"/>
        </w:rPr>
        <w:t xml:space="preserve">(a) The Registration Statement has become effective; no stop order suspending the effectiveness of the Registration Statement is in effect, and no proceedings for such purpose or pursuant to Section 8A under the Securities Act are pending before or, to the Companys knowledge, threatened by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(b) (i)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contain and, as amended or supplemented, if applicable, as of the date of such amendment or supplement, will not contain any untrue statement of a material fact or omit to state a material fact required to be stated therein or necessary to make the statements therein not misleading, (iii) the Registration Statement and the Prospectus comply and, as amended or supplemented, if applicable, as of the date of such amendment or supplement, will comply in all material respects with the Securities Act and the applicable rules and regulations of the Commission thereunder, (iv) the Time of Sale Prospectus does not, and at the time of each sale of the Units in connection with the offering when the Prospectus is not yet available to prospective purchasers and at the Closing Date (as defined in Section 4), the Time of Sale Prospectus, as then amended or supplemented by the Company, if applicable, as of the date of such amendment or supplement,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as of its date, does not contain and, as amended or supplemented, if applicable, as of the date of such amendment or supplement and as of the Closing Date,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Underwriter Information (as defined in Section 8(b) herein). </w:t>
      </w:r>
    </w:p>
    <w:p>
      <w:pPr>
        <w:pStyle w:val="TextBody"/>
        <w:bidi w:val="0"/>
        <w:spacing w:before="120" w:after="0"/>
        <w:jc w:val="left"/>
        <w:rPr>
          <w:rFonts w:ascii="Times New Roman" w:hAnsi="Times New Roman"/>
          <w:sz w:val="20"/>
        </w:rPr>
      </w:pPr>
      <w:r>
        <w:rPr>
          <w:rFonts w:ascii="Times New Roman" w:hAnsi="Times New Roman"/>
          <w:sz w:val="20"/>
        </w:rPr>
        <w:t xml:space="preserve">(c) 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each furnished to the Representatives before first use, the Company has not prepared, used or referred to, and will not, without the Representatives prior consent, prepare, use or refer to, any free writing prospectus.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Company has been duly incorporated, is validly existing as a corporation in good standing under the laws of the State of Delaware, has the corporate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reasonably be expected to have a material adverse effect on the Company. </w:t>
      </w:r>
    </w:p>
    <w:p>
      <w:pPr>
        <w:pStyle w:val="TextBody"/>
        <w:bidi w:val="0"/>
        <w:spacing w:before="120" w:after="0"/>
        <w:jc w:val="left"/>
        <w:rPr>
          <w:rFonts w:ascii="Times New Roman" w:hAnsi="Times New Roman"/>
          <w:sz w:val="20"/>
        </w:rPr>
      </w:pPr>
      <w:r>
        <w:rPr>
          <w:rFonts w:ascii="Times New Roman" w:hAnsi="Times New Roman"/>
          <w:sz w:val="20"/>
        </w:rPr>
        <w:t xml:space="preserve">(e) The Company has no subsidiaries as defined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(f) 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(g) The authorized capital stock of the Company conforms as to legal matters to the description thereof contained in each of the Registration Statement, the Time of Sale Prospectus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(h) The shares of Common Stock outstanding prior to the issuance of the Units have been duly authorized and are validly issued, 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(i) The Shares have been duly authorized and, when issued, delivered and paid for in accordance with the terms of this Agreement, will be validly issued, fully paid and non-assessable, and the issuance of the Shares will not be subject to any preemptive or similar rights not otherwise validly waived or satisfied. </w:t>
      </w:r>
    </w:p>
    <w:p>
      <w:pPr>
        <w:pStyle w:val="TextBody"/>
        <w:bidi w:val="0"/>
        <w:spacing w:before="120" w:after="0"/>
        <w:jc w:val="left"/>
        <w:rPr>
          <w:rFonts w:ascii="Times New Roman" w:hAnsi="Times New Roman"/>
          <w:sz w:val="20"/>
        </w:rPr>
      </w:pPr>
      <w:r>
        <w:rPr>
          <w:rFonts w:ascii="Times New Roman" w:hAnsi="Times New Roman"/>
          <w:sz w:val="20"/>
        </w:rPr>
        <w:t xml:space="preserve">(j) The Warrants have been duly authorized, and when executed and delivered by the Company, will be valid and binding agreements of the Company, enforceable against the Company in accordance with their terms, except as the enforcement thereof may be limited by bankruptcy, insolvency, reorganization, moratorium or other similar laws relating to or affecting the rights and remedies of creditors or by general equitable principles. The Warrant Shares have been duly authorized and reserved for issuance and sale and, when issued and paid for, will be validly issued, fully paid and non-assessable, and the issuance of the Warrant Shares is not subject to any preemptive or similar rights not otherwise validly waived or satisfied. The Company has irrevocably reserved, and the Company shall continue to reserve and keep available at all times, free of preemptive rights, a sufficient amount of common stock for the purpose of enabling the Company to issue the Warrant Shares. </w:t>
      </w:r>
    </w:p>
    <w:p>
      <w:pPr>
        <w:pStyle w:val="TextBody"/>
        <w:bidi w:val="0"/>
        <w:spacing w:before="120" w:after="0"/>
        <w:jc w:val="left"/>
        <w:rPr>
          <w:rFonts w:ascii="Times New Roman" w:hAnsi="Times New Roman"/>
          <w:sz w:val="20"/>
        </w:rPr>
      </w:pPr>
      <w:r>
        <w:rPr>
          <w:rFonts w:ascii="Times New Roman" w:hAnsi="Times New Roman"/>
          <w:sz w:val="20"/>
        </w:rPr>
        <w:t xml:space="preserve">(k) The execution and delivery by the Company of, and the performance by the Company of its obligations under, this Agreement will not contravene (i) any provision of applicable law, (ii) the certificate of incorporation or bylaws of the Company, (iii) any agreement or other instrument binding upon the Company that is material to the Company, or (iv) any judgment, order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decree of any governmental body, agency or court having jurisdiction over the Company, except, in the cases of clauses (i), (iii) and (iv), as would not, individually or in the aggregate, reasonably be expected to have a material adverse effect on the Company, and no consent, approval, authorization or order of, or qualification with, any governmental body, agency or court is required for the performance by the Company of its obligations under this Agreement, except such as may be required by the securities or Blue Sky laws of the various states in connection with the offer and sale of the Units or the rules and regulations of the Financial Industry Regulatory Authority (</w:t>
      </w:r>
      <w:r>
        <w:rPr>
          <w:rFonts w:ascii="Times New Roman" w:hAnsi="Times New Roman"/>
          <w:b/>
          <w:sz w:val="20"/>
        </w:rPr>
        <w:t>FINRA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(l) There has not occurred any material adverse change, or any development involving a prospective material adverse change, in the condition, financial or otherwise, or in the earnings, business or operations of the Company, from that set forth in the Time of Sale Prospectus. </w:t>
      </w:r>
    </w:p>
    <w:p>
      <w:pPr>
        <w:pStyle w:val="TextBody"/>
        <w:bidi w:val="0"/>
        <w:spacing w:before="120" w:after="0"/>
        <w:jc w:val="left"/>
        <w:rPr>
          <w:rFonts w:ascii="Times New Roman" w:hAnsi="Times New Roman"/>
          <w:sz w:val="20"/>
        </w:rPr>
      </w:pPr>
      <w:r>
        <w:rPr>
          <w:rFonts w:ascii="Times New Roman" w:hAnsi="Times New Roman"/>
          <w:sz w:val="20"/>
        </w:rPr>
        <w:t xml:space="preserve">(m) There are no legal or governmental proceedings pending or, to the knowledge of the Company, threatened to which the Company is a party or to which any of the properties of the Company is subject (i) other than proceedings accurately described in all material respects in each of the Registration Statement, the Time of Sale Prospectus and the Prospectus and proceedings that would not singly or in the aggregate, reasonably be expected to have a material adverse effect on the Company or on the performance by the Company of its obligations under this Agreement or to consummate the transactions contemplated by the Time of Sale Prospectus or (ii) that are required to be described in the Registration Statement, the Time of Sale Prospectus or the Prospectus and are not so described in all material respects; and there are no statutes, regulations, contracts or other documents that are required to be described in the Registration Statement, the Time of Sale Prospectus or the Prospectus or to be filed as exhibits to the Registration Statement that are not described in all material respects or filed as required. </w:t>
      </w:r>
    </w:p>
    <w:p>
      <w:pPr>
        <w:pStyle w:val="TextBody"/>
        <w:bidi w:val="0"/>
        <w:spacing w:before="120" w:after="0"/>
        <w:jc w:val="left"/>
        <w:rPr>
          <w:rFonts w:ascii="Times New Roman" w:hAnsi="Times New Roman"/>
          <w:sz w:val="20"/>
        </w:rPr>
      </w:pPr>
      <w:r>
        <w:rPr>
          <w:rFonts w:ascii="Times New Roman" w:hAnsi="Times New Roman"/>
          <w:sz w:val="20"/>
        </w:rPr>
        <w:t xml:space="preserve">(n) 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 </w:t>
      </w:r>
    </w:p>
    <w:p>
      <w:pPr>
        <w:pStyle w:val="TextBody"/>
        <w:bidi w:val="0"/>
        <w:spacing w:before="120" w:after="0"/>
        <w:jc w:val="left"/>
        <w:rPr>
          <w:rFonts w:ascii="Times New Roman" w:hAnsi="Times New Roman"/>
          <w:sz w:val="20"/>
        </w:rPr>
      </w:pPr>
      <w:r>
        <w:rPr>
          <w:rFonts w:ascii="Times New Roman" w:hAnsi="Times New Roman"/>
          <w:sz w:val="20"/>
        </w:rPr>
        <w:t xml:space="preserve">(o) The Company is not, and after giving effect to the offering and sale of the Units and the application of the proceeds thereof as described in each of the Registration Statement, the Time of Sale Prospectus and the Prospectus will not be, required to register as an investment company as such term is defined in the Investment Company Act of 1940, as amended.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 The Company (i) is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sz w:val="20"/>
        </w:rPr>
        <w:t>Environmental Laws</w:t>
      </w:r>
      <w:r>
        <w:rPr>
          <w:rFonts w:ascii="Times New Roman" w:hAnsi="Times New Roman"/>
          <w:sz w:val="20"/>
        </w:rPr>
        <w:t xml:space="preserve">), (ii) has received all permits, licenses or other approvals required of them under applicable Environmental Laws to conduct its respective businesses and (iii) is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w:t>
      </w:r>
    </w:p>
    <w:p>
      <w:pPr>
        <w:pStyle w:val="TextBody"/>
        <w:bidi w:val="0"/>
        <w:spacing w:before="120" w:after="0"/>
        <w:jc w:val="left"/>
        <w:rPr>
          <w:rFonts w:ascii="Times New Roman" w:hAnsi="Times New Roman"/>
          <w:sz w:val="20"/>
        </w:rPr>
      </w:pPr>
      <w:r>
        <w:rPr>
          <w:rFonts w:ascii="Times New Roman" w:hAnsi="Times New Roman"/>
          <w:sz w:val="20"/>
        </w:rPr>
        <w:t xml:space="preserve">(q)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w:t>
      </w:r>
    </w:p>
    <w:p>
      <w:pPr>
        <w:pStyle w:val="TextBody"/>
        <w:bidi w:val="0"/>
        <w:spacing w:before="120" w:after="0"/>
        <w:jc w:val="left"/>
        <w:rPr>
          <w:rFonts w:ascii="Times New Roman" w:hAnsi="Times New Roman"/>
          <w:sz w:val="20"/>
        </w:rPr>
      </w:pPr>
      <w:r>
        <w:rPr>
          <w:rFonts w:ascii="Times New Roman" w:hAnsi="Times New Roman"/>
          <w:sz w:val="20"/>
        </w:rPr>
        <w:t xml:space="preserve">(r)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securities registered pursuant to the Registration Statement, except those contracts, agreements and understandings described in the Time of Sale Prospectus and the Prospectus, all of which have been validly waived in connection with the issuance and sale of the Units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(s) (i) None of the Company or any of its subsidiaries or any of its controlled affiliates, or any director, officer, or key employee thereof who is named in the Time of Sale Prospectus, or, to the Companys knowledge, any non-controlled affiliates, or any other employee, agent or representative of the Company or any of its subsidiaries or any of its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to any person in violation of any applicable anti-corruption laws; (ii) the Company and each of its subsidiaries, if any, and each of its controlled affiliates, and to the Companys knowledge, each of its non-controlled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 The operations of the Company and each of its subsidiaries, if any,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if any, conduct business, the rules and regulations thereunder and any related or similar rules, regulations or guidelines, issued, administered or enforced by any governmental agency (collectively, the </w:t>
      </w:r>
      <w:r>
        <w:rPr>
          <w:rFonts w:ascii="Times New Roman" w:hAnsi="Times New Roman"/>
          <w:b/>
          <w:sz w:val="20"/>
        </w:rPr>
        <w:t>Anti-Money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Anti-Money Laundering Laws is pending or, to the best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(u) (i) None of the Company, any of its subsidiaries, or any director, officer, or key employee thereof who is named in the Time of Sale Prospectus, or, to the Companys knowledge, any other employee, agent, affiliate or representative of the Company or any of its subsidiaries, is an individual or entity (</w:t>
      </w:r>
      <w:r>
        <w:rPr>
          <w:rFonts w:ascii="Times New Roman" w:hAnsi="Times New Roman"/>
          <w:b/>
          <w:sz w:val="20"/>
        </w:rPr>
        <w:t>Person</w:t>
      </w:r>
      <w:r>
        <w:rPr>
          <w:rFonts w:ascii="Times New Roman" w:hAnsi="Times New Roman"/>
          <w:sz w:val="20"/>
        </w:rPr>
        <w:t xml:space="preserve">) that is, or is owned or controlled by one or more Persons that are: </w:t>
      </w:r>
    </w:p>
    <w:p>
      <w:pPr>
        <w:pStyle w:val="TextBody"/>
        <w:bidi w:val="0"/>
        <w:spacing w:before="120" w:after="0"/>
        <w:jc w:val="left"/>
        <w:rPr>
          <w:rFonts w:ascii="Times New Roman" w:hAnsi="Times New Roman"/>
          <w:sz w:val="20"/>
        </w:rPr>
      </w:pPr>
      <w:r>
        <w:rPr>
          <w:rFonts w:ascii="Times New Roman" w:hAnsi="Times New Roman"/>
          <w:sz w:val="20"/>
        </w:rPr>
        <w:t>(A) 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Times New Roman" w:hAnsi="Times New Roman"/>
          <w:b/>
          <w:sz w:val="20"/>
        </w:rPr>
        <w:t>Sanctions</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(B) located, organized or resident in a country or territory that is the subject of Sanctions (including, without limitation, the so-called Donetsk Peoples Republic and so-called Luhansk Peoples Republic or any other regions of Ukraine as may be identified by the Secretary of the Treasury, in consultation with the Secretary of State, pursuant to Executive Order 14065, the Crimea Region of Ukraine, Cuba, Iran, North Korea and Syria).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will not, directly or indirectly, use the proceeds of the offering, or lend, contribute or otherwise make available such proceeds to any subsidiary, joint venture partner or other Person: </w:t>
      </w:r>
    </w:p>
    <w:p>
      <w:pPr>
        <w:pStyle w:val="TextBody"/>
        <w:bidi w:val="0"/>
        <w:spacing w:before="120" w:after="0"/>
        <w:jc w:val="left"/>
        <w:rPr>
          <w:rFonts w:ascii="Times New Roman" w:hAnsi="Times New Roman"/>
          <w:sz w:val="20"/>
        </w:rPr>
      </w:pPr>
      <w:r>
        <w:rPr>
          <w:rFonts w:ascii="Times New Roman" w:hAnsi="Times New Roman"/>
          <w:sz w:val="20"/>
        </w:rPr>
        <w:t xml:space="preserve">(A) to fund or facilitate any activities or business of or with any Person or in any country or territory that, at the time of such funding or facilitation, is the subject of Sanctions;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any other manner that will result in a violation of Sanctions by any Person (including any Person participating in the offering, whether as underwriter, advisor, investor or otherwise). </w:t>
      </w:r>
    </w:p>
    <w:p>
      <w:pPr>
        <w:pStyle w:val="TextBody"/>
        <w:bidi w:val="0"/>
        <w:spacing w:before="120" w:after="0"/>
        <w:jc w:val="left"/>
        <w:rPr>
          <w:rFonts w:ascii="Times New Roman" w:hAnsi="Times New Roman"/>
          <w:sz w:val="20"/>
        </w:rPr>
      </w:pPr>
      <w:r>
        <w:rPr>
          <w:rFonts w:ascii="Times New Roman" w:hAnsi="Times New Roman"/>
          <w:sz w:val="20"/>
        </w:rPr>
        <w:t xml:space="preserve">(iii) For the past five years, the Company and each of its subsidiaries, if any, have not knowingly engaged in, are not now knowingly engaged in, and will not engage in, any dealings or transactions with any Person, or in any country or territory, that at the time of the dealing or transaction is or was the subject of Sanctions. </w:t>
      </w:r>
    </w:p>
    <w:p>
      <w:pPr>
        <w:pStyle w:val="TextBody"/>
        <w:bidi w:val="0"/>
        <w:spacing w:before="120" w:after="0"/>
        <w:jc w:val="left"/>
        <w:rPr>
          <w:rFonts w:ascii="Times New Roman" w:hAnsi="Times New Roman"/>
          <w:sz w:val="20"/>
        </w:rPr>
      </w:pPr>
      <w:r>
        <w:rPr>
          <w:rFonts w:ascii="Times New Roman" w:hAnsi="Times New Roman"/>
          <w:sz w:val="20"/>
        </w:rPr>
        <w:t xml:space="preserve">(v) Subsequent to the respective dates as of which information is given in each of the Registration Statement, the Time of Sale Prospectus and the Prospectus, (i) the Company has not incurred any material liability or obligation, direct or contingent, nor entered into any material transaction; (ii) the Company has not purchased any of its outstanding capital stock, other than from employees or other service providers in connection with such persons termination of service from the Company pursuant to the existing terms of the agreements or equity compensation plans described in the Time of Sale Prospectus or in exercise of the Companys right of first refusal upon a proposed transfer, nor declared, paid or otherwise made any dividend or distribution of any kind on its capital stock other than ordinary and customary dividends; and (iii) there has not been any material change in the capital stock (other than the exercise or conversion of equity awards, warrants or convertible notes or loans or grants of equity awards or forfeiture of equity awards outstanding as of such respective dates as of which information is given in each of the Registration Statement, the Time of Sale Prospectus and the Prospectus, in each case granted pursuant to the equity compensation plans described in the Time of Sale Prospectus), short-term debt or long-term debt of the Company, except in each case as described in each of the Registration Statement, the Time of Sale Prospectus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(w) The Company does not own any real property. Except as disclosed in the Registration Statement, the Time of Sale Prospectus and the Prospectus, the Company has good and marketable title to all personal property (excluding intellectual property) owned by it which is material to the business of the Company, in each case free and clear of all liens, encumbrances and defects except such as do not materially affect the value of such property and do not interfere in any material respect with the use made and proposed to be made of such property by the Company; and any real property and buildings held under lease by the Company is held by it under valid, subsisting and, to the knowledge of the Company, enforceable leases with such exceptions as are not material and do not materially interfere with the use made and proposed to be made of such property and buildings by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(x) Except in each case, as set forth in the Registration Statement, the Prospectus or the Time of Sale Prospectus, or as would not, singly or in the aggregate, reasonably be expected to have a material adverse effect on the Company: (i) the Company owns or has a valid and enforceable right or license to use, all patents, inventions, copyrights, know how (including trade secrets and other unpatented and/or unpatentable proprietary or confidential information, systems or procedures), software, domain names, trademarks, service marks, trade names, logos and any and all other worldwide intellectual property and proprietary rights (including all registrations and applications for, and all goodwill associated with, any of the foregoing) (collectively, </w:t>
      </w:r>
      <w:r>
        <w:rPr>
          <w:rFonts w:ascii="Times New Roman" w:hAnsi="Times New Roman"/>
          <w:b/>
          <w:sz w:val="20"/>
        </w:rPr>
        <w:t>Intellectual Property Rights</w:t>
      </w:r>
      <w:r>
        <w:rPr>
          <w:rFonts w:ascii="Times New Roman" w:hAnsi="Times New Roman"/>
          <w:sz w:val="20"/>
        </w:rPr>
        <w:t xml:space="preserve">) used in, or reasonably necessary or expected to be material to the conduct of, its business as currently conducted and as proposed to be conducted, in each case as such business is described in the Registration Statement, the Prospectus, and the Time of Sale Prospectus; (ii) to the Companys knowledge, the Intellectual Property Rights owned by and exclusively licensed to the Company, are valid, subsisting and enforceable; (iii) no Intellectual Property Rights owned by the Company and, to the Companys knowledge, no Intellectual Property Rights licensed to the Company, have been held invalid or unenforceable by a final decision of a court or other governmental agency of competent jurisdiction which is unappealable or unappealed within the time allowed for appeal; (iv) all Intellectual Property Rights owned by the Company are owned free and clear of all liens and encumbrances, except such non-exclusive rights and licenses as are granted to third parties (including CROs and other vendors) in the ordinary course of business; (v) to the Companys knowledge, there are no defects in any of the patents or patent applications within the Intellectual Property Rights owned by and exclusively licensed to the Company; (vi) there is no pending, or to the Companys knowledge, threatened (in writing) action, suit, proceeding or claim by others, and the Company has not received any written notice, (A) challenging the Companys rights in or to any Intellectual Property Rights, (B) challenging the validity, scope or enforceability of any Intellectual Property Rights owned by or exclusively licensed to the Company, or (C) alleging any infringement, misappropriation or other violation by the Company of any Intellectual Property Rights of others, and in each case, the Company is unaware of any facts which the Company reasonably believes would form a reasonable basis for any such action, suit, proceeding or claim; (vii) to the Companys knowledge, there is no infringement, misappropriation or other violation, and there has been no infringement, misappropriation or other violation, by third parties of any of the Companys Intellectual Property Rights, whether owned by, or licensed to, the Company; (viii) to the Companys knowledge, the Company and the conduct of its business does not infringe, misappropriate or otherwise violate, and has not infringed, misappropriated or otherwise violated, any Intellectual Property Rights of others; (ix) the Company has taken reasonable steps necessary to secure its interests in the Intellectual Property Rights by requiring the execution of appropriate confidentiality and invention assignment agreements from the Companys current and former employees or contractors engaged in or formerly engaged in the development of Intellectual Property Rights for or on behalf of the Company, and to the Companys knowledge no such agreement has been breached or violated; and (x) the Company uses, and has used, commercially reasonable efforts in accordance with customary industry practice to appropriately maintain the confidentiality of all confidential information of the Company and all information intended by the Company to be maintained as a trade secret and no such information has been disclosed other than pursuant to written confidentiality agreements.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(y) (i) Except as would not, singly or in the aggregate, reasonably be expected to have a material adverse effect on the Company, and except as disclosed in the Registration Statement, the Time of Sale Prospectus and the Prospectus, the Company has complied and is presently in compliance with all of its internal and external privacy policies, its privacy- and data protection-related contractual obligations, applicable laws, binding industry standards, statutes, binding rules, regulations, judgments and orders of any court or arbitrator or other governmental or regulatory authority, and any other legal obligations, in each case, relating to the collection, use, transfer, import, export, storage, protection, security, disposal, disclosure and other processing by or on behalf of the Company of personal, personally identifiable, household (in the case of household data, to the extent Personal Information under the California Consumer Privacy Act), sensitive or regulated information or data (</w:t>
      </w:r>
      <w:r>
        <w:rPr>
          <w:rFonts w:ascii="Times New Roman" w:hAnsi="Times New Roman"/>
          <w:b/>
          <w:sz w:val="20"/>
        </w:rPr>
        <w:t>Data Security Obligations</w:t>
      </w:r>
      <w:r>
        <w:rPr>
          <w:rFonts w:ascii="Times New Roman" w:hAnsi="Times New Roman"/>
          <w:sz w:val="20"/>
        </w:rPr>
        <w:t>, and such information and data, </w:t>
      </w:r>
      <w:r>
        <w:rPr>
          <w:rFonts w:ascii="Times New Roman" w:hAnsi="Times New Roman"/>
          <w:b/>
          <w:sz w:val="20"/>
        </w:rPr>
        <w:t>Data</w:t>
      </w:r>
      <w:r>
        <w:rPr>
          <w:rFonts w:ascii="Times New Roman" w:hAnsi="Times New Roman"/>
          <w:sz w:val="20"/>
        </w:rPr>
        <w:t xml:space="preserve">); (ii) the Company has not received any written notification of or written complaint regarding, and is unaware of any other facts that the Company reasonably believes would indicate, its non-compliance with any Data Security Obligation; and (iii) there is no action, suit, proceeding or claim by or before any court or governmental agency, authority or body pending or, to the Companys knowledge, threatened in writing against the Company alleging non-compliance with any Data Security Obligation. </w:t>
      </w:r>
    </w:p>
    <w:p>
      <w:pPr>
        <w:pStyle w:val="TextBody"/>
        <w:bidi w:val="0"/>
        <w:spacing w:before="120" w:after="0"/>
        <w:jc w:val="left"/>
        <w:rPr>
          <w:rFonts w:ascii="Times New Roman" w:hAnsi="Times New Roman"/>
          <w:sz w:val="20"/>
        </w:rPr>
      </w:pPr>
      <w:r>
        <w:rPr>
          <w:rFonts w:ascii="Times New Roman" w:hAnsi="Times New Roman"/>
          <w:sz w:val="20"/>
        </w:rPr>
        <w:t>(z) Except as would not, singly or in the aggregate, reasonably be expected to have a material adverse effect on the Company (i) the Company has established, implemented and maintain technical and organizational measures reasonably designed to protect its information technology systems, assets, equipment, computers, systems, websites, networks, hardware, and associated software, applications and databases used in connection with the operation of the Companys business (collectively, </w:t>
      </w:r>
      <w:r>
        <w:rPr>
          <w:rFonts w:ascii="Times New Roman" w:hAnsi="Times New Roman"/>
          <w:b/>
          <w:sz w:val="20"/>
        </w:rPr>
        <w:t>IT Systems</w:t>
      </w:r>
      <w:r>
        <w:rPr>
          <w:rFonts w:ascii="Times New Roman" w:hAnsi="Times New Roman"/>
          <w:sz w:val="20"/>
        </w:rPr>
        <w:t>) and Data; (ii) the Company has used reasonable efforts to implement, establish and maintain, and have established, implemented and maintained, and complied with, reasonable information technology, information security, cybersecurity and data protection controls, policies and procedures designed to maintain and protect the integrity, redundancy and security of all IT Systems and Data and to protect against and prevent security breaches and incidents resulting in destruction, loss, unauthorized distribution, use, access, disablement, misappropriation or modification, outages, or other compromise or misuse of any IT Systems or Data (</w:t>
      </w:r>
      <w:r>
        <w:rPr>
          <w:rFonts w:ascii="Times New Roman" w:hAnsi="Times New Roman"/>
          <w:b/>
          <w:sz w:val="20"/>
        </w:rPr>
        <w:t>Breach</w:t>
      </w:r>
      <w:r>
        <w:rPr>
          <w:rFonts w:ascii="Times New Roman" w:hAnsi="Times New Roman"/>
          <w:sz w:val="20"/>
        </w:rPr>
        <w:t xml:space="preserve">); (iii) to the knowledge of the Company, there has been no such Breach, and the Company has not been notified in writing of and has no knowledge of any event or condition that would reasonably be expected to result in, any such Breach; and (iv) the IT Systems are adequate in capacity and operation for, and operate and perform in all material respects as required in connection with the operation of the business of the Company and, to the knowledge of the Company, are free and clear of all bugs, errors, defects, Trojan horses, time bombs, malware and other corruptants or malicious code.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(aa) No material labor dispute with the employees of the Company exists, or, to the knowledge of the Company, is imminent; and the Company is not aware of any existing, threatened or imminent labor disturbance by the employees of any of its principal suppliers, manufacturers or contractors that could, singly or in the aggregate, reasonably be expected to have a material adverse effect on the Company. </w:t>
      </w:r>
    </w:p>
    <w:p>
      <w:pPr>
        <w:pStyle w:val="TextBody"/>
        <w:bidi w:val="0"/>
        <w:spacing w:before="120" w:after="0"/>
        <w:jc w:val="left"/>
        <w:rPr>
          <w:rFonts w:ascii="Times New Roman" w:hAnsi="Times New Roman"/>
          <w:sz w:val="20"/>
        </w:rPr>
      </w:pPr>
      <w:r>
        <w:rPr>
          <w:rFonts w:ascii="Times New Roman" w:hAnsi="Times New Roman"/>
          <w:sz w:val="20"/>
        </w:rPr>
        <w:t xml:space="preserve">(bb) The Company is insured by insurers of recognized financial responsibility against such losses and risks and in such amounts as in the Companys reasonable judgment are prudent and customary in the businesses in which they are engaged; the Company has not been refused any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singly or in the aggregate, reasonably be expected have a material adverse effect on the Company. </w:t>
      </w:r>
    </w:p>
    <w:p>
      <w:pPr>
        <w:pStyle w:val="TextBody"/>
        <w:bidi w:val="0"/>
        <w:spacing w:before="120" w:after="0"/>
        <w:jc w:val="left"/>
        <w:rPr>
          <w:rFonts w:ascii="Times New Roman" w:hAnsi="Times New Roman"/>
          <w:sz w:val="20"/>
        </w:rPr>
      </w:pPr>
      <w:r>
        <w:rPr>
          <w:rFonts w:ascii="Times New Roman" w:hAnsi="Times New Roman"/>
          <w:sz w:val="20"/>
        </w:rPr>
        <w:t>(cc) The financial statements included or incorporated by reference in each of the Registration Statement, the Time of Sale Prospectus and the Prospectus, together with the related schedules and notes thereto, comply as to form in all material respects with the applicable requirements of the Securities Act and present fairly in all material respects the financial position of the Company as of the dates shown and its results of operations and cash flows for the periods shown, and such financial statements have been prepared in conformity with generally accepted accounting principles in the United States (</w:t>
      </w:r>
      <w:r>
        <w:rPr>
          <w:rFonts w:ascii="Times New Roman" w:hAnsi="Times New Roman"/>
          <w:b/>
          <w:sz w:val="20"/>
        </w:rPr>
        <w:t>GAAP</w:t>
      </w:r>
      <w:r>
        <w:rPr>
          <w:rFonts w:ascii="Times New Roman" w:hAnsi="Times New Roman"/>
          <w:sz w:val="20"/>
        </w:rPr>
        <w:t xml:space="preserve">) applied on a consistent basis throughout the periods covered thereby except for any normal year-end adjustments in the Companys quarterly financial statements. The other financial information included or incorporated by reference in each of the Registration Statement, the Time of Sale Prospectus and the Prospectus has been derived from the accounting records of the Company and presents fairly in all material respects the information shown thereby. </w:t>
      </w:r>
    </w:p>
    <w:p>
      <w:pPr>
        <w:pStyle w:val="TextBody"/>
        <w:bidi w:val="0"/>
        <w:spacing w:before="120" w:after="0"/>
        <w:jc w:val="left"/>
        <w:rPr>
          <w:rFonts w:ascii="Times New Roman" w:hAnsi="Times New Roman"/>
          <w:sz w:val="20"/>
        </w:rPr>
      </w:pPr>
      <w:r>
        <w:rPr>
          <w:rFonts w:ascii="Times New Roman" w:hAnsi="Times New Roman"/>
          <w:sz w:val="20"/>
        </w:rPr>
        <w:t xml:space="preserve">(dd) The statistical, industry-related and market-related data included or incorporated by reference in each of the Registration Statement, the Time of Sale Prospectus and the Prospectus are based on or derived from sources which the Company reasonably and in good faith believes are reliable and accurate and such data is consistent with the sources from which they are derived, in each case in all material respects, and, to the extent required, the Company has obtained the written consent to the use of such data from such sources.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(ee) Deloitte &amp; Touche LLP, who has certified certain financial statements of the Company and delivered its report with respect to the audited financial statements and schedules filed with the Commission as part of the Registration Statement and included or incorporated by reference in each of the Registration Statement, the Time of Sale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 </w:t>
      </w:r>
    </w:p>
    <w:p>
      <w:pPr>
        <w:pStyle w:val="TextBody"/>
        <w:bidi w:val="0"/>
        <w:spacing w:before="120" w:after="0"/>
        <w:jc w:val="left"/>
        <w:rPr>
          <w:rFonts w:ascii="Times New Roman" w:hAnsi="Times New Roman"/>
          <w:sz w:val="20"/>
        </w:rPr>
      </w:pPr>
      <w:r>
        <w:rPr>
          <w:rFonts w:ascii="Times New Roman" w:hAnsi="Times New Roman"/>
          <w:sz w:val="20"/>
        </w:rPr>
        <w:t xml:space="preserve">(ff)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(gg) Except as described in the Registration Statement or the Time of Sale Prospectus,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 </w:t>
      </w:r>
    </w:p>
    <w:p>
      <w:pPr>
        <w:pStyle w:val="TextBody"/>
        <w:bidi w:val="0"/>
        <w:spacing w:before="120" w:after="0"/>
        <w:jc w:val="left"/>
        <w:rPr>
          <w:rFonts w:ascii="Times New Roman" w:hAnsi="Times New Roman"/>
          <w:sz w:val="20"/>
        </w:rPr>
      </w:pPr>
      <w:r>
        <w:rPr>
          <w:rFonts w:ascii="Times New Roman" w:hAnsi="Times New Roman"/>
          <w:sz w:val="20"/>
        </w:rPr>
        <w:t xml:space="preserve">(hh) The Company has filed all United States federal, state, local and foreign tax returns required to be filed through the date of this Agreement or have requested extensions thereof (except where the failure to file would not, singly or in the aggregate, reasonably be expected to have a material adverse effect on the Company) and has paid all taxes required to be paid thereon (except for cases in which the failure to file or pay would not, singly or in the aggregate, reasonably be expected to have a material adverse effect on the Company, or, except as currently being contested in good faith and by appropriate proceedings and for which reserves required by GAAP have been created and maintained in the financial statements of the Company), and no tax deficiency has been determined adversely to the Company which, singly or in the aggregate, has had (nor does the Company have any notice or knowledge of any tax deficiency which could reasonably be expected to be determined adversely to the Company and which could reasonably be expected to have) a material adverse effect on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w:t>
      </w:r>
    </w:p>
    <w:p>
      <w:pPr>
        <w:pStyle w:val="TextBody"/>
        <w:bidi w:val="0"/>
        <w:spacing w:before="120" w:after="0"/>
        <w:jc w:val="left"/>
        <w:rPr>
          <w:rFonts w:ascii="Times New Roman" w:hAnsi="Times New Roman"/>
          <w:sz w:val="20"/>
        </w:rPr>
      </w:pPr>
      <w:r>
        <w:rPr>
          <w:rFonts w:ascii="Times New Roman" w:hAnsi="Times New Roman"/>
          <w:sz w:val="20"/>
        </w:rPr>
        <w:t>(jj) From the time of initial confidential submission of the Companys Registration Statement on Form S-1 (File No. 333-257820) to the Commission through the date hereof, the Company has been and is an emerging growth company, as defined in Section 2(a) of the Securities Act (an </w:t>
      </w:r>
      <w:r>
        <w:rPr>
          <w:rFonts w:ascii="Times New Roman" w:hAnsi="Times New Roman"/>
          <w:b/>
          <w:sz w:val="20"/>
        </w:rPr>
        <w:t>Emerging Growth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(kk) The Company (i) has not alone engaged in any Testing-the-Waters Communication with any person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Testing-the-Waters Communication that is a written communication within the meaning of Rule 405 under the Securities Act other than those listed on Schedule III hereto. </w:t>
      </w:r>
      <w:r>
        <w:rPr>
          <w:rFonts w:ascii="Times New Roman" w:hAnsi="Times New Roman"/>
          <w:b/>
          <w:sz w:val="20"/>
        </w:rPr>
        <w:t>Testing-the-Waters Communication</w:t>
      </w:r>
      <w:r>
        <w:rPr>
          <w:rFonts w:ascii="Times New Roman" w:hAnsi="Times New Roman"/>
          <w:sz w:val="20"/>
        </w:rPr>
        <w:t xml:space="preserve"> means any oral or written communication with potential investors undertaken in reliance on Rule 163B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(ll) As of the time of each sale of the Units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provided, however, that this representation and warranty shall not apply to any statements or omissions made in reliance upon and in conformity with information furnished in writing to the Company by an Underwriter through or on behalf of the Representatives for use therein it being understood and agreed that the only such information furnished by the Underwriters through the Representatives consists of the information described as such in Section 8(b) below. </w:t>
      </w:r>
    </w:p>
    <w:p>
      <w:pPr>
        <w:pStyle w:val="TextBody"/>
        <w:bidi w:val="0"/>
        <w:spacing w:before="120" w:after="0"/>
        <w:jc w:val="left"/>
        <w:rPr>
          <w:rFonts w:ascii="Times New Roman" w:hAnsi="Times New Roman"/>
          <w:sz w:val="20"/>
        </w:rPr>
      </w:pPr>
      <w:r>
        <w:rPr>
          <w:rFonts w:ascii="Times New Roman" w:hAnsi="Times New Roman"/>
          <w:sz w:val="20"/>
        </w:rPr>
        <w:t xml:space="preserve">(mm) The Company has not had any securities rated by any nationally recognized statistical rating organization, as such term is defined in Section 3(a)(62) of the Exchange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(nn) The Company has operated at all times and is currently in compliance in all material respects with all applicable statutes, rules, regulations and policies of the U.S. Food and Drug Administration (the </w:t>
      </w:r>
      <w:r>
        <w:rPr>
          <w:rFonts w:ascii="Times New Roman" w:hAnsi="Times New Roman"/>
          <w:b/>
          <w:sz w:val="20"/>
        </w:rPr>
        <w:t>FDA</w:t>
      </w:r>
      <w:r>
        <w:rPr>
          <w:rFonts w:ascii="Times New Roman" w:hAnsi="Times New Roman"/>
          <w:sz w:val="20"/>
        </w:rPr>
        <w:t>) and comparable U.S. and foreign regulatory authorities to which they are subject, including the European Medicines Agency (collectively, the </w:t>
      </w:r>
      <w:r>
        <w:rPr>
          <w:rFonts w:ascii="Times New Roman" w:hAnsi="Times New Roman"/>
          <w:b/>
          <w:sz w:val="20"/>
        </w:rPr>
        <w:t>Regulatory Authorities</w:t>
      </w:r>
      <w:r>
        <w:rPr>
          <w:rFonts w:ascii="Times New Roman" w:hAnsi="Times New Roman"/>
          <w:sz w:val="20"/>
        </w:rPr>
        <w:t xml:space="preserve">), including,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(i) the Federal Food, Drug, and Cosmetic Act and the regulations promulgated thereunder; </w:t>
      </w:r>
    </w:p>
    <w:p>
      <w:pPr>
        <w:pStyle w:val="TextBody"/>
        <w:bidi w:val="0"/>
        <w:spacing w:before="120" w:after="0"/>
        <w:jc w:val="left"/>
        <w:rPr>
          <w:rFonts w:ascii="Times New Roman" w:hAnsi="Times New Roman"/>
          <w:sz w:val="20"/>
        </w:rPr>
      </w:pPr>
      <w:r>
        <w:rPr>
          <w:rFonts w:ascii="Times New Roman" w:hAnsi="Times New Roman"/>
          <w:sz w:val="20"/>
        </w:rPr>
        <w:t xml:space="preserve">(ii) all applicable federal, state, local and foreign health care laws, including, without limitation, the U.S. Anti-Kickback Statute (42 U.S.C. Section 1320a-7b(b)), the Civil Monetary Penalties Law (42 U.S.C. § 1320a-7a), the U.S. Civil False Claims Act (31 U.S.C. Section 3729 et seq.), all applicable federal, state, local and all foreign criminal laws relating to health care fraud and abuse, including but not limited to the U.S. False Statements Law (42 U.S.C. Section 1320a-7b(a)), 18 U.S.C. Sections 286 and 287, and the health care fraud criminal provisions under the U.S. Health Insurance Portability and Accountability Act of 1996 (42 U.S.C. Section 1320d et seq.), the Health Information Technology for Economic and Clinical Health Act (42 U.S.C. Section 17921 et seq.), the exclusion law (42 U.S.C. Section 1320a-7), the statutes, regulations and directives of applicable government funded or sponsored healthcare programs, and the regulations promulgated pursuant to such statutes; </w:t>
      </w:r>
    </w:p>
    <w:p>
      <w:pPr>
        <w:pStyle w:val="TextBody"/>
        <w:bidi w:val="0"/>
        <w:spacing w:before="120" w:after="0"/>
        <w:jc w:val="left"/>
        <w:rPr>
          <w:rFonts w:ascii="Times New Roman" w:hAnsi="Times New Roman"/>
          <w:sz w:val="20"/>
        </w:rPr>
      </w:pPr>
      <w:r>
        <w:rPr>
          <w:rFonts w:ascii="Times New Roman" w:hAnsi="Times New Roman"/>
          <w:sz w:val="20"/>
        </w:rPr>
        <w:t xml:space="preserve">(iii) the Patient Protection and Affordable Care Act of 2010, as amended by the Health Care and Education Reconciliation Act of 2010, the regulations promulgated thereunder; </w:t>
      </w:r>
    </w:p>
    <w:p>
      <w:pPr>
        <w:pStyle w:val="TextBody"/>
        <w:bidi w:val="0"/>
        <w:spacing w:before="120" w:after="0"/>
        <w:jc w:val="left"/>
        <w:rPr>
          <w:rFonts w:ascii="Times New Roman" w:hAnsi="Times New Roman"/>
          <w:sz w:val="20"/>
        </w:rPr>
      </w:pPr>
      <w:r>
        <w:rPr>
          <w:rFonts w:ascii="Times New Roman" w:hAnsi="Times New Roman"/>
          <w:sz w:val="20"/>
        </w:rPr>
        <w:t xml:space="preserve">(iv) the U.S. Controlled Substances Act (21 U.S.C. Section 801 et seq.); </w:t>
      </w:r>
    </w:p>
    <w:p>
      <w:pPr>
        <w:pStyle w:val="TextBody"/>
        <w:bidi w:val="0"/>
        <w:spacing w:before="120" w:after="0"/>
        <w:jc w:val="left"/>
        <w:rPr>
          <w:rFonts w:ascii="Times New Roman" w:hAnsi="Times New Roman"/>
          <w:sz w:val="20"/>
        </w:rPr>
      </w:pPr>
      <w:r>
        <w:rPr>
          <w:rFonts w:ascii="Times New Roman" w:hAnsi="Times New Roman"/>
          <w:sz w:val="20"/>
        </w:rPr>
        <w:t xml:space="preserve">(v) current Good Manufacturing Practices and Good Laboratory Practices; </w:t>
      </w:r>
    </w:p>
    <w:p>
      <w:pPr>
        <w:pStyle w:val="TextBody"/>
        <w:bidi w:val="0"/>
        <w:spacing w:before="120" w:after="0"/>
        <w:jc w:val="left"/>
        <w:rPr>
          <w:rFonts w:ascii="Times New Roman" w:hAnsi="Times New Roman"/>
          <w:sz w:val="20"/>
        </w:rPr>
      </w:pPr>
      <w:r>
        <w:rPr>
          <w:rFonts w:ascii="Times New Roman" w:hAnsi="Times New Roman"/>
          <w:sz w:val="20"/>
        </w:rPr>
        <w:t xml:space="preserve">(vi) licensure, quality, safety and accreditation requirements under applicable federal, state, local or foreign laws or regulatory bodies; and </w:t>
      </w:r>
    </w:p>
    <w:p>
      <w:pPr>
        <w:pStyle w:val="TextBody"/>
        <w:bidi w:val="0"/>
        <w:spacing w:before="120" w:after="0"/>
        <w:jc w:val="left"/>
        <w:rPr>
          <w:rFonts w:ascii="Times New Roman" w:hAnsi="Times New Roman"/>
          <w:sz w:val="20"/>
        </w:rPr>
      </w:pPr>
      <w:r>
        <w:rPr>
          <w:rFonts w:ascii="Times New Roman" w:hAnsi="Times New Roman"/>
          <w:sz w:val="20"/>
        </w:rPr>
        <w:t>(vii) all other local, state, federal, national, supranational and foreign laws, relating to the regulation of the Company and the ownership, testing, development, manufacture, packaging, processing, use, distribution, marketing, labeling, promotion, sale, offer for sale, storage, import, export or disposal of any product under development, manufactured or distributed by the Company; (clauses (i) through (vii), collectively, </w:t>
      </w:r>
      <w:r>
        <w:rPr>
          <w:rFonts w:ascii="Times New Roman" w:hAnsi="Times New Roman"/>
          <w:b/>
          <w:sz w:val="20"/>
        </w:rPr>
        <w:t>Health Care Laws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(oo) (i) The studies, tests and preclinical and clinical trials conducted by or on behalf of or sponsored by the Company or in which the Company has participated, were, and if still pending are, being conducted in all material respects in accordance with legally required standard medical and experimental protocols, procedures and controls pursuant to accepted professional scientific research standards and procedures and all applicable Health Care Laws; (ii) the descriptions of the results of such studies, tests and trials contained in the Registration Statement, the Time of Sale Prospectus or the Prospectus are accurate and complete in all material respects and fairly present the data derived from such trials; (iii) the Company has no knowledge of any other studies not described in the Registration Statement, the Time of Sale Prospectus and the Prospectus, the results of which the Company reasonably believes call into question the results described or referred to in the Registration Statement, the Time of Sale Prospectus and the Prospectus, except where such question would not, singly or in the aggregate, reasonably be expected to have a material adverse effect on the Company; (iv) the Company has provided the Representatives with all substantive written notices, correspondence and communications provided to the Company from the Regulatory Authorities; and (v) the Company has not received any written notices, correspondence or other communications from any Regulatory Authority or any other governmental entity requiring or threatening the termination, material modification or suspension of any studies or trials that are described in the Registration Statement, the Time of Sale Prospectus and the Prospectus or the results of which are referred to in the Registration Statement, the Time of Sale Prospectus and the Prospectus, and, to the Companys knowledge, there are no reasonable grounds for the same. </w:t>
      </w:r>
    </w:p>
    <w:p>
      <w:pPr>
        <w:pStyle w:val="TextBody"/>
        <w:bidi w:val="0"/>
        <w:spacing w:before="120" w:after="0"/>
        <w:jc w:val="left"/>
        <w:rPr>
          <w:rFonts w:ascii="Times New Roman" w:hAnsi="Times New Roman"/>
          <w:sz w:val="20"/>
        </w:rPr>
      </w:pPr>
      <w:r>
        <w:rPr>
          <w:rFonts w:ascii="Times New Roman" w:hAnsi="Times New Roman"/>
          <w:sz w:val="20"/>
        </w:rPr>
        <w:t xml:space="preserve">(pp) (i) Except as would not, individually or in the aggregate, reasonably be expected to have a material adverse effect on the Company, the Company has filed, obtained,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timely, complete, accurate and not misleading on the date filed (or were corrected or supplemented by a subsequent submission); (ii) the Company has not received written notice of any claim, action, suit, proceeding, hearing, enforcement, investigation, arbitration or other action from any court or arbitrator or Regulatory Authority, other governmental entity or third party alleging that any Company or product operation or activity is in violation of any Health Care Laws, including, without limitation, any FDA Form 483, notice of adverse finding, warning letter, untitled letter or other correspondence or notice from the FDA or any other Regulatory Authority or governmental entity, nor, to the Companys knowledge, is any such claim, action, suit, proceeding, hearing, enforcement, investigation, arbitration or other action threatened; (iii) the Company is not a party to any corporate integrity agreements, monitoring agreements, consent decrees, settlement orders, or similar agreements with or imposed by any Regulatory Authority or other governmental entity; and (iv) neither the Company nor any of its employees, officers or directors has been excluded, suspended or debarred from participation in any U.S. federal health care program or human clinical research or, to the knowledge of the Company, is subject to an inquiry, investigation, proceeding or other similar action by a Regulatory Authority or other governmental entity that could reasonably be expected to result in debarment, suspension, or exclusion.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(qq) The Company has not failed to file with the Regulatory Authorities any required filing, declaration, listing, registration, report or submission with respect to the Companys product candidates that are described or referred to in the Time of Sale Prospectus; all such filings, declarations, listings, registrations, reports or submissions were in material compliance with applicable laws when filed, or amended or supplemented in material compliance with applicable laws; and no material deficiencies regarding compliance with applicable law have been asserted by any applicable regulatory authority with respect to any such filings, declarations, listings, registrations, reports or submissions, or amendments or supplements thereof. </w:t>
      </w:r>
    </w:p>
    <w:p>
      <w:pPr>
        <w:pStyle w:val="TextBody"/>
        <w:bidi w:val="0"/>
        <w:spacing w:before="120" w:after="0"/>
        <w:jc w:val="left"/>
        <w:rPr>
          <w:rFonts w:ascii="Times New Roman" w:hAnsi="Times New Roman"/>
          <w:sz w:val="20"/>
        </w:rPr>
      </w:pPr>
      <w:r>
        <w:rPr>
          <w:rFonts w:ascii="Times New Roman" w:hAnsi="Times New Roman"/>
          <w:sz w:val="20"/>
        </w:rPr>
        <w:t xml:space="preserve">(rr) The Company possesses all certificates, authorizations and permits issued by the appropriate federal, state or foreign regulatory authorities necessary to conduct its business as currently conducted, including, without limitation, from the Regulatory Authorities, and the Company has not received any notice of proceedings relating to the revocation or material modification of any such certificate, authorization or permit which, singly or in the aggregate, if the subject of an unfavorable decision, ruling or finding, would reasonably be expected have a material adverse effect on the Company, except as described in the Time of Sale Prospectus. </w:t>
      </w:r>
    </w:p>
    <w:p>
      <w:pPr>
        <w:pStyle w:val="TextBody"/>
        <w:bidi w:val="0"/>
        <w:spacing w:before="120" w:after="0"/>
        <w:jc w:val="left"/>
        <w:rPr>
          <w:rFonts w:ascii="Times New Roman" w:hAnsi="Times New Roman"/>
          <w:sz w:val="20"/>
        </w:rPr>
      </w:pPr>
      <w:r>
        <w:rPr>
          <w:rFonts w:ascii="Times New Roman" w:hAnsi="Times New Roman"/>
          <w:sz w:val="20"/>
        </w:rPr>
        <w:t>(ss) Except as would not, individually or in the aggregate, reasonably be expected to have a material adverse effect on the Company, (i) each employee benefit plan, within the meaning of Section 3(3) of the Employee Retirement Income Security Act of 1974, as amended (</w:t>
      </w:r>
      <w:r>
        <w:rPr>
          <w:rFonts w:ascii="Times New Roman" w:hAnsi="Times New Roman"/>
          <w:b/>
          <w:sz w:val="20"/>
        </w:rPr>
        <w:t>ERISA</w:t>
      </w:r>
      <w:r>
        <w:rPr>
          <w:rFonts w:ascii="Times New Roman" w:hAnsi="Times New Roman"/>
          <w:sz w:val="20"/>
        </w:rPr>
        <w:t>), that is sponsored, maintained, administered or contributed to by the Company has been maintained in compliance with its terms and the requirements of any applicable statutes, orders, rules and regulations, including but not limited to ERISA and the Internal Revenue Code of 1986, as amended (the </w:t>
      </w:r>
      <w:r>
        <w:rPr>
          <w:rFonts w:ascii="Times New Roman" w:hAnsi="Times New Roman"/>
          <w:b/>
          <w:sz w:val="20"/>
        </w:rPr>
        <w:t>Code</w:t>
      </w:r>
      <w:r>
        <w:rPr>
          <w:rFonts w:ascii="Times New Roman" w:hAnsi="Times New Roman"/>
          <w:sz w:val="20"/>
        </w:rPr>
        <w:t xml:space="preserve">), and (ii) neither the Company nor any member of its Controlled Group (defined as any trade or business, whether or not incorporated, that would be regarded as a single employer with the Company under Section 414 of the Code) (x) has ever sponsored, maintained, contributed to or has had any obligation to contribute to, any employee benefit plan that is subject to Title IV of ERISA or any multiemployer plan as defined in Section 3(37) of ERISA or (y) has incurred, or reasonably expects to incur, any liability under Title IV of ERISA.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 xml:space="preserve">Agreements to Sell and Purchase. </w:t>
      </w:r>
      <w:r>
        <w:rPr>
          <w:rFonts w:ascii="Times New Roman" w:hAnsi="Times New Roman"/>
          <w:sz w:val="20"/>
        </w:rPr>
        <w:t>The Company hereby agrees to sell to the several Underwriters, and each Underwriter, upon the basis of the representations and warranties herein contained, but subject to the terms and conditions hereinafter stated, agrees, severally and not jointly, to purchase from the Company the number of Units set forth in Schedule I hereto opposite its name. The purchase price per Unit to be paid by the several Underwriters to the Company shall be $0.658 per Unit (94% of the Public Offering Price per Unit (as defined below)) (the </w:t>
      </w:r>
      <w:r>
        <w:rPr>
          <w:rFonts w:ascii="Times New Roman" w:hAnsi="Times New Roman"/>
          <w:b/>
          <w:sz w:val="20"/>
        </w:rPr>
        <w:t>Unit Purchase Price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Terms of the Public Offering</w:t>
      </w:r>
      <w:r>
        <w:rPr>
          <w:rFonts w:ascii="Times New Roman" w:hAnsi="Times New Roman"/>
          <w:sz w:val="20"/>
        </w:rPr>
        <w:t>. The Company is advised by the Representatives that the Underwriters propose to make a public offering of their respective portions of the Units as soon after the Registration Statement and this Agreement have become effective as in the Representatives judgment is advisable. The Company is further advised by the Representatives that the Units are to be offered to the public initially at $0.70 per unit (the </w:t>
      </w:r>
      <w:r>
        <w:rPr>
          <w:rFonts w:ascii="Times New Roman" w:hAnsi="Times New Roman"/>
          <w:b/>
          <w:sz w:val="20"/>
        </w:rPr>
        <w:t>Public Offering Price per Unit</w:t>
      </w:r>
      <w:r>
        <w:rPr>
          <w:rFonts w:ascii="Times New Roman" w:hAnsi="Times New Roman"/>
          <w:sz w:val="20"/>
        </w:rPr>
        <w:t xml:space="preserve">) and to certain dealers selected by the Representatives at a price that represents a concession not in excess of $0.0252 per Unit under the Public Offering Price per Unit.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 xml:space="preserve">Payment and Delivery. </w:t>
      </w:r>
      <w:r>
        <w:rPr>
          <w:rFonts w:ascii="Times New Roman" w:hAnsi="Times New Roman"/>
          <w:sz w:val="20"/>
        </w:rPr>
        <w:t>Payment for the Units shall be made to the Company in Federal or other funds immediately available in New York City against delivery of such Units for the respective accounts of the several Underwriters at 10:00 a.m., New York City time, on March 5, 2025, or at such other time on the same or such other date, not later than March 12, 2025, as shall be designated in writing by the Representatives. The time and date of such payment are hereinafter referred to as the </w:t>
      </w:r>
      <w:r>
        <w:rPr>
          <w:rFonts w:ascii="Times New Roman" w:hAnsi="Times New Roman"/>
          <w:b/>
          <w:sz w:val="20"/>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the Closing Date, the Company shall deliver the Units against payment of the purchase price therefor. Delivery of the Shares and Warrants comprising the Units shall be made as follows, unless the Representatives shall otherwise instruct: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deliver the Shares through the facilities of the Depository Trust Company (DTC). </w:t>
      </w:r>
    </w:p>
    <w:p>
      <w:pPr>
        <w:pStyle w:val="TextBody"/>
        <w:bidi w:val="0"/>
        <w:spacing w:before="120" w:after="0"/>
        <w:jc w:val="left"/>
        <w:rPr>
          <w:rFonts w:ascii="Times New Roman" w:hAnsi="Times New Roman"/>
          <w:sz w:val="20"/>
        </w:rPr>
      </w:pPr>
      <w:r>
        <w:rPr>
          <w:rFonts w:ascii="Times New Roman" w:hAnsi="Times New Roman"/>
          <w:sz w:val="20"/>
        </w:rPr>
        <w:t xml:space="preserve">(b) The Warrants shall be delivered in definitive, certificated form, registered in the names and in the denominations as the Representatives shall instruct in writing at least one business day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Representatives, at their election, may instruct the Company to deliver the Warrants directly to purchasers thereof. The Warrants will be made available for inspection by the Representatives on the business day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Any transfer taxes payable in connection with the transfer of the Units shall be duly paid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Conditions to the Underwriters Obligations</w:t>
      </w:r>
      <w:r>
        <w:rPr>
          <w:rFonts w:ascii="Times New Roman" w:hAnsi="Times New Roman"/>
          <w:sz w:val="20"/>
        </w:rPr>
        <w:t xml:space="preserve">. The several obligations of the Underwriters are subject to the following further conditions: </w:t>
      </w:r>
    </w:p>
    <w:p>
      <w:pPr>
        <w:pStyle w:val="TextBody"/>
        <w:bidi w:val="0"/>
        <w:spacing w:before="120" w:after="0"/>
        <w:jc w:val="left"/>
        <w:rPr>
          <w:rFonts w:ascii="Times New Roman" w:hAnsi="Times New Roman"/>
          <w:sz w:val="20"/>
        </w:rPr>
      </w:pPr>
      <w:r>
        <w:rPr>
          <w:rFonts w:ascii="Times New Roman" w:hAnsi="Times New Roman"/>
          <w:sz w:val="20"/>
        </w:rPr>
        <w:t xml:space="preserve">(a) Subsequent to the execution and delivery of this Agreement and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no order suspending the effectiveness of the Registration Statement shall be in effect, and, to the Companys knowledge, no proceeding for such purpose or pursuant to Section 8A under the Securities Act shall be pending before or threatened by the Commission;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there shall not have occurred any change, or any development involving a prospective change, in the condition, financial or otherwise, or in the earnings, business or operations of the Company, from that set forth in the Time of Sale Prospectus that, in the Representatives judgment, is material and adverse and that makes it, in the Representatives judgment, impracticable to market the Units on the terms and in the manner contemplated in the Time of Sale Prospectus. </w:t>
      </w:r>
    </w:p>
    <w:p>
      <w:pPr>
        <w:pStyle w:val="TextBody"/>
        <w:bidi w:val="0"/>
        <w:spacing w:before="120" w:after="0"/>
        <w:jc w:val="left"/>
        <w:rPr>
          <w:rFonts w:ascii="Times New Roman" w:hAnsi="Times New Roman"/>
          <w:sz w:val="20"/>
        </w:rPr>
      </w:pPr>
      <w:r>
        <w:rPr>
          <w:rFonts w:ascii="Times New Roman" w:hAnsi="Times New Roman"/>
          <w:sz w:val="20"/>
        </w:rPr>
        <w:t xml:space="preserve">(b) The Underwriters shall have received on the Closing Date a certificate, dated the Closing Date and signed on behalf of the Company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officer signing and delivering such certificate may rely upon his or her knowledge as to proceedings threatened. </w:t>
      </w:r>
    </w:p>
    <w:p>
      <w:pPr>
        <w:pStyle w:val="TextBody"/>
        <w:bidi w:val="0"/>
        <w:spacing w:before="120" w:after="0"/>
        <w:jc w:val="left"/>
        <w:rPr>
          <w:rFonts w:ascii="Times New Roman" w:hAnsi="Times New Roman"/>
          <w:sz w:val="20"/>
        </w:rPr>
      </w:pPr>
      <w:r>
        <w:rPr>
          <w:rFonts w:ascii="Times New Roman" w:hAnsi="Times New Roman"/>
          <w:sz w:val="20"/>
        </w:rPr>
        <w:t>(c) The Underwriters shall have received on the Closing Date an opinion and negative assurance letter of Wilson Sonsini Goodrich &amp; Rosati Professional Corporation (</w:t>
      </w:r>
      <w:r>
        <w:rPr>
          <w:rFonts w:ascii="Times New Roman" w:hAnsi="Times New Roman"/>
          <w:b/>
          <w:sz w:val="20"/>
        </w:rPr>
        <w:t>WSGR</w:t>
      </w:r>
      <w:r>
        <w:rPr>
          <w:rFonts w:ascii="Times New Roman" w:hAnsi="Times New Roman"/>
          <w:sz w:val="20"/>
        </w:rPr>
        <w:t xml:space="preserve">), outside counsel for the Company, dated the Closing Date, in form and substance reasonably satisfactory to the Representatives. The Underwriters shall have received on the Closing Date an opinion of WSGR, outside intellectual property counsel for the Company dated the Closing Date,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(d) The Underwriters shall have received on the Closing Date an opinion of Cooley LLP, outside intellectual property counsel for the Company, dated the Closing Date,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(e) The Underwriters shall have received on the Closing Date an opinion and negative assurance letter of Davis Polk &amp; Wardwell LLP (</w:t>
      </w:r>
      <w:r>
        <w:rPr>
          <w:rFonts w:ascii="Times New Roman" w:hAnsi="Times New Roman"/>
          <w:b/>
          <w:sz w:val="20"/>
        </w:rPr>
        <w:t>Davis Polk</w:t>
      </w:r>
      <w:r>
        <w:rPr>
          <w:rFonts w:ascii="Times New Roman" w:hAnsi="Times New Roman"/>
          <w:sz w:val="20"/>
        </w:rPr>
        <w:t xml:space="preserve">), counsel for the Underwriters, dated the Closing Date, in form and substance reasonably satisfactory to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negative assurance letters to be delivered pursuant to Sections 5(c) and 5(e) above, WSGR and Davis Polk may state that their opinions and beliefs are based upon their participation in the preparation of the Registration Statement, the Time of Sale Prospectus and the Prospectus and any amendments or supplements thereto (other than the documents incorporated by reference) and upon review and discussion of the contents thereof (including documents incorporated by reference), but are without independent check or verification, except as specified.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opinions of WSGR and Cooley LLP described in Section 5(c) and 5(d), respectively, above shall be rendered to the Underwriters at the request of the Company and shall so state therein. </w:t>
      </w:r>
    </w:p>
    <w:p>
      <w:pPr>
        <w:pStyle w:val="TextBody"/>
        <w:bidi w:val="0"/>
        <w:spacing w:before="120" w:after="0"/>
        <w:jc w:val="left"/>
        <w:rPr>
          <w:rFonts w:ascii="Times New Roman" w:hAnsi="Times New Roman"/>
          <w:sz w:val="20"/>
        </w:rPr>
      </w:pPr>
      <w:r>
        <w:rPr>
          <w:rFonts w:ascii="Times New Roman" w:hAnsi="Times New Roman"/>
          <w:sz w:val="20"/>
        </w:rPr>
        <w:t xml:space="preserve">(f) The Underwriters shall have received, on each of the date hereof and the Closing Date, a letter dated the date hereof or the Closing Date, as the case may be, in form and substance reasonably satisfactory to the Underwriters, from Deloitte &amp; Touche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hAnsi="Times New Roman"/>
          <w:i/>
          <w:sz w:val="20"/>
        </w:rPr>
        <w:t>provided</w:t>
      </w:r>
      <w:r>
        <w:rPr>
          <w:rFonts w:ascii="Times New Roman" w:hAnsi="Times New Roman"/>
          <w:sz w:val="20"/>
        </w:rPr>
        <w:t xml:space="preserve"> that the letter delivered on the Closing Date shall use a cut-off date not earlier than the date hereof. </w:t>
      </w:r>
    </w:p>
    <w:p>
      <w:pPr>
        <w:pStyle w:val="TextBody"/>
        <w:bidi w:val="0"/>
        <w:spacing w:before="120" w:after="0"/>
        <w:jc w:val="left"/>
        <w:rPr>
          <w:rFonts w:ascii="Times New Roman" w:hAnsi="Times New Roman"/>
          <w:sz w:val="20"/>
        </w:rPr>
      </w:pPr>
      <w:r>
        <w:rPr>
          <w:rFonts w:ascii="Times New Roman" w:hAnsi="Times New Roman"/>
          <w:sz w:val="20"/>
        </w:rPr>
        <w:t>(g) The lock-up agreements, each substantially in the form of Exhibit A hereto, between the Representatives and certain shareholders, officers and directors of the Company relating to restrictions on sales and certain other dispositions of shares of Common Stock or certain other securities, delivered to the Representatives on or before the date hereof (the </w:t>
      </w:r>
      <w:r>
        <w:rPr>
          <w:rFonts w:ascii="Times New Roman" w:hAnsi="Times New Roman"/>
          <w:b/>
          <w:sz w:val="20"/>
        </w:rPr>
        <w:t>Lock-Up Agreements</w:t>
      </w:r>
      <w:r>
        <w:rPr>
          <w:rFonts w:ascii="Times New Roman" w:hAnsi="Times New Roman"/>
          <w:sz w:val="20"/>
        </w:rPr>
        <w:t xml:space="preserve">), shall be in full force and effect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Covenants of the Company</w:t>
      </w:r>
      <w:r>
        <w:rPr>
          <w:rFonts w:ascii="Times New Roman" w:hAnsi="Times New Roman"/>
          <w:sz w:val="20"/>
        </w:rPr>
        <w:t xml:space="preserve">. The Company covenants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To furnish to the Representatives, without charge, five signed copies of the Registration Statement (including exhibits thereto and documents incorporated by reference) and for delivery to each other Underwriter a conformed copy of the Registration Statement (without exhibits thereto and documents incorporated by reference)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and any and documents incorporated by reference therein and any supplements and amendments thereto or to the Registration Statement as the Representatives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(b) 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objects, and to file with the Commission within the applicable period specified in Rule 424(b) under the Securities Act any prospectus required to be filed pursuant to such Rule. </w:t>
      </w:r>
    </w:p>
    <w:p>
      <w:pPr>
        <w:pStyle w:val="TextBody"/>
        <w:bidi w:val="0"/>
        <w:spacing w:before="120" w:after="0"/>
        <w:jc w:val="left"/>
        <w:rPr>
          <w:rFonts w:ascii="Times New Roman" w:hAnsi="Times New Roman"/>
          <w:sz w:val="20"/>
        </w:rPr>
      </w:pPr>
      <w:r>
        <w:rPr>
          <w:rFonts w:ascii="Times New Roman" w:hAnsi="Times New Roman"/>
          <w:sz w:val="20"/>
        </w:rPr>
        <w:t xml:space="preserve">(c) To furnish to the Representatives a copy of each proposed free writing prospectus to be prepared by or on behalf of, used by, or referred to by the Company and not to use or refer to any proposed free writing prospectus to which the Representatives reasonably objects.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 </w:t>
      </w:r>
    </w:p>
    <w:p>
      <w:pPr>
        <w:pStyle w:val="TextBody"/>
        <w:bidi w:val="0"/>
        <w:spacing w:before="120" w:after="0"/>
        <w:jc w:val="left"/>
        <w:rPr>
          <w:rFonts w:ascii="Times New Roman" w:hAnsi="Times New Roman"/>
          <w:sz w:val="20"/>
        </w:rPr>
      </w:pPr>
      <w:r>
        <w:rPr>
          <w:rFonts w:ascii="Times New Roman" w:hAnsi="Times New Roman"/>
          <w:sz w:val="20"/>
        </w:rPr>
        <w:t xml:space="preserve">(e) If the Time of Sale Prospectus is being used to solicit offers to buy the Units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(f) If, during such period after the first date of the public offering of the Units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Units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To endeavor to qualify the Units for offer and sale under the securities or Blue Sky laws of such jurisdictions as the Representatives shall reasonably request; provided, however, that nothing contained herein shall require the Company to qualify to do business in any jurisdiction, to execute a general consent to service of process in any jurisdiction or to subject itself to taxation in any jurisdiction in which it is not otherwise subject. </w:t>
      </w:r>
    </w:p>
    <w:p>
      <w:pPr>
        <w:pStyle w:val="TextBody"/>
        <w:bidi w:val="0"/>
        <w:spacing w:before="120" w:after="0"/>
        <w:jc w:val="left"/>
        <w:rPr>
          <w:rFonts w:ascii="Times New Roman" w:hAnsi="Times New Roman"/>
          <w:sz w:val="20"/>
        </w:rPr>
      </w:pPr>
      <w:r>
        <w:rPr>
          <w:rFonts w:ascii="Times New Roman" w:hAnsi="Times New Roman"/>
          <w:sz w:val="20"/>
        </w:rPr>
        <w:t xml:space="preserve">(h) To make generally available (which may be satisfied by filing with the Commission on its Electronic Data Gathering, Analysis and Retrieval System) to the Companys security holders and to the Representatives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 </w:t>
      </w:r>
    </w:p>
    <w:p>
      <w:pPr>
        <w:pStyle w:val="TextBody"/>
        <w:bidi w:val="0"/>
        <w:spacing w:before="120" w:after="0"/>
        <w:jc w:val="left"/>
        <w:rPr>
          <w:rFonts w:ascii="Times New Roman" w:hAnsi="Times New Roman"/>
          <w:sz w:val="20"/>
        </w:rPr>
      </w:pPr>
      <w:r>
        <w:rPr>
          <w:rFonts w:ascii="Times New Roman" w:hAnsi="Times New Roman"/>
          <w:sz w:val="20"/>
        </w:rPr>
        <w:t xml:space="preserve">(i) 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Units under the Securities Act, including the costs of reproducing and distributing of each of the Warrants,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Units to the Underwriters, including any transfer or other taxes payable thereon, (iii) the cost of printing or producing any Blue Sky or Legal Investment memorandum in connection with the offer and sale of the Units under state securities laws and all expenses in connection with the qualification of the Units for offer and sale under state securities laws as provided in Section 6(g) hereof, including filing fees and the reasonable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Units by FINRA (provided, that the amount payable by the Company with respect to fees and disbursements of counsel for the Underwriters pursuant to subsections (iii) and (iv) shall not exceed $15,000), (v) all costs and expenses incident to listing the Shares on the Nasdaq Global Select Market, (vi) the cost of printing certificates representing the Shares and the Warrants, (vii) the costs and charges of any transfer agent, registrar or depositary, (viii) the costs and expenses of the Company relating to investor presentations on any road show undertaken in connection with the marketing of the offering of the Units, including, without limitation, expenses associated with the preparation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dissemination of any electronic road show, expenses associated with the production of road show slides and graphics, fees and expenses of any consultants engaged in connection with the road show presentations with the prior approval of the Company, any pre-approved travel and lodging expenses of the representatives and officers of the Company and any such consultants, and the cost of any aircraft chartered with the Companys prior written consent in connection with the road show,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10 below, the Underwriters will pay all of their costs and expenses, including fees and disbursements of their counsel, stock transfer taxes payable on resale of any of the Units by them and any advertising expenses connected with any offers they may make. </w:t>
      </w:r>
    </w:p>
    <w:p>
      <w:pPr>
        <w:pStyle w:val="TextBody"/>
        <w:bidi w:val="0"/>
        <w:spacing w:before="120" w:after="0"/>
        <w:jc w:val="left"/>
        <w:rPr>
          <w:rFonts w:ascii="Times New Roman" w:hAnsi="Times New Roman"/>
          <w:sz w:val="20"/>
        </w:rPr>
      </w:pPr>
      <w:r>
        <w:rPr>
          <w:rFonts w:ascii="Times New Roman" w:hAnsi="Times New Roman"/>
          <w:sz w:val="20"/>
        </w:rPr>
        <w:t xml:space="preserve">(j) The Company will promptly notify the Representatives if the Company ceases to be an Emerging Growth Company at any time prior to the later of (i) completion of the distribution of the Units within the meaning of the Securities Act and (ii) completion of the Restricted Period (as defined in this Section 6). </w:t>
      </w:r>
    </w:p>
    <w:p>
      <w:pPr>
        <w:pStyle w:val="TextBody"/>
        <w:bidi w:val="0"/>
        <w:spacing w:before="120" w:after="0"/>
        <w:jc w:val="left"/>
        <w:rPr>
          <w:rFonts w:ascii="Times New Roman" w:hAnsi="Times New Roman"/>
          <w:sz w:val="20"/>
        </w:rPr>
      </w:pPr>
      <w:r>
        <w:rPr>
          <w:rFonts w:ascii="Times New Roman" w:hAnsi="Times New Roman"/>
          <w:sz w:val="20"/>
        </w:rPr>
        <w:t xml:space="preserve">(k) If at any time following the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Testing-the-Waters Communication to eliminate or correct such untrue statement or omission. </w:t>
      </w:r>
    </w:p>
    <w:p>
      <w:pPr>
        <w:pStyle w:val="TextBody"/>
        <w:bidi w:val="0"/>
        <w:spacing w:before="120" w:after="0"/>
        <w:jc w:val="left"/>
        <w:rPr>
          <w:rFonts w:ascii="Times New Roman" w:hAnsi="Times New Roman"/>
          <w:sz w:val="20"/>
        </w:rPr>
      </w:pPr>
      <w:r>
        <w:rPr>
          <w:rFonts w:ascii="Times New Roman" w:hAnsi="Times New Roman"/>
          <w:sz w:val="20"/>
        </w:rPr>
        <w:t xml:space="preserve">(l) 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 </w:t>
      </w:r>
    </w:p>
    <w:p>
      <w:pPr>
        <w:pStyle w:val="TextBody"/>
        <w:bidi w:val="0"/>
        <w:spacing w:before="120" w:after="0"/>
        <w:jc w:val="left"/>
        <w:rPr>
          <w:rFonts w:ascii="Times New Roman" w:hAnsi="Times New Roman"/>
          <w:sz w:val="20"/>
        </w:rPr>
      </w:pPr>
      <w:r>
        <w:rPr>
          <w:rFonts w:ascii="Times New Roman" w:hAnsi="Times New Roman"/>
          <w:sz w:val="20"/>
        </w:rPr>
        <w:t>(m) (i) The Company also covenants with each Underwriter that, without the prior written consent of the Representatives on behalf of the Underwriters, it will not, and will not publicly disclose an intention to, during the period ending 60 days after the date of the Prospectus (the </w:t>
      </w:r>
      <w:r>
        <w:rPr>
          <w:rFonts w:ascii="Times New Roman" w:hAnsi="Times New Roman"/>
          <w:b/>
          <w:sz w:val="20"/>
        </w:rPr>
        <w:t>Restricted Period</w:t>
      </w:r>
      <w:r>
        <w:rPr>
          <w:rFonts w:ascii="Times New Roman" w:hAnsi="Times New Roman"/>
          <w:sz w:val="20"/>
        </w:rPr>
        <w:t xml:space="preserve">), (1) offer, pledge, sell, contract to sell, sell any option or contract to purchase, purchase any option or contract to sell, grant any option, right or warrant 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 </w:t>
      </w:r>
    </w:p>
    <w:p>
      <w:pPr>
        <w:pStyle w:val="TextBody"/>
        <w:bidi w:val="0"/>
        <w:spacing w:before="120" w:after="0"/>
        <w:jc w:val="left"/>
        <w:rPr>
          <w:rFonts w:ascii="Times New Roman" w:hAnsi="Times New Roman"/>
          <w:sz w:val="20"/>
        </w:rPr>
      </w:pPr>
      <w:r>
        <w:rPr>
          <w:rFonts w:ascii="Times New Roman" w:hAnsi="Times New Roman"/>
          <w:sz w:val="20"/>
        </w:rPr>
        <w:t xml:space="preserve">(ii) The restrictions contained in Section 6(m)(i) shall not apply to (A) the Units to be sold hereunder, including, for the avoidance of doubt, the issuance by the Company of the Warrant Shares upon the exercise of the Warrants, (B) the issuance by the Company of shares of Common Stock upon the exercise of an option or warrant, vesting or settlement of restricted stock or restricted stock units or the exercise or conversion of a security outstanding on the date hereof as described in each of the Time of Sale Prospectus and Prospectus, (C) the establishment of a trading plan on behalf of a shareholder, officer or director of the Company pursuant to Rule 10b5-1 under the Exchange Act for the transfer of shares of Common Stock, provided that (1) such plan does not provide for the transfer of Common Stock during the Restricted Period and (2)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 (D) the issuance of shares of, or options to purchase shares of, Common Stock or securities convertible into or exercisable for Common Stock (whether upon the exercise of stock options or otherwise) to employees, officers, directors, advisors, or consultants of the Company pursuant to the terms of an equity compensation plan in effect on the date hereof and described in the Time of Sale Prospectus and Prospectus, provided that, prior to the issuance of any such shares or the grant of any such options to a director or executive officer, the Company shall cause each recipient of such grant or issuance to execute and deliver a Lock-Up Agreement, substantially in the form of Exhibit A hereto, (E) the filing of any registration statement on Form S-8 with respect to the employee benefit plans described in the Time of Sale Prospectus and Prospectus, (F) the filing by the Company of any registration statement on Form S-3, provided that no issuance, offer, or sale pursuant to any such registration statement which would otherwise be prohibited by this Agreement during the Restricted Period shall be permitted (except for any issuance of shares of Common Stock pursuant to a placement relating to, any at-the-market offering program as described in clause (m)(ii)(H), below), (G) the sale or issuance of or entry into an agreement to sell or issue shares of Common Stock in connection with the Companys acquisition of one or more businesses, products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technologies (whether by means of merger, stock purchase, asset purchase or otherwise) or in connection with joint ventures, commercial relationships or other strategic transactions, provided, that, the aggregate number of shares of Common Stock that the Company may sell or issue or agree to sell or issue, or that may be issuable upon conversion or exercise of all other securities that the Company may sell or issue or agree to sell or issue, pursuant to this clause (G) shall not exceed 10% of the total number of shares of Common Stock issued and outstanding immediately following the completion of the transactions contemplated by this Agreement (giving effect to the issuance of the Warrant Shares issuable upon exercise of the Warrants), and provided further, that the Company shall cause each recipient of such shares to execute and deliver to you, on or prior to such issuance, a Lock-Up Agreement, substantially in the form of Exhibit A hereto, and (H) the amendment of, or filing of any prospectus supplement or amendment relating to, any at-the-market offering program described in the Time of Sale Prospectus and the Prospectus, or the issuance of shares of Common Stock pursuant to a placement made under any such program.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Covenants of the Underwriters</w:t>
      </w:r>
      <w:r>
        <w:rPr>
          <w:rFonts w:ascii="Times New Roman" w:hAnsi="Times New Roman"/>
          <w:sz w:val="20"/>
        </w:rPr>
        <w:t xml:space="preserve">. Each Underwriter, severally and not jointly, covenants with the Company 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 </w:t>
      </w:r>
    </w:p>
    <w:p>
      <w:pPr>
        <w:pStyle w:val="TextBody"/>
        <w:bidi w:val="0"/>
        <w:spacing w:before="240" w:after="0"/>
        <w:jc w:val="left"/>
        <w:rPr>
          <w:rFonts w:ascii="Times New Roman" w:hAnsi="Times New Roman"/>
          <w:sz w:val="20"/>
        </w:rPr>
      </w:pPr>
      <w:r>
        <w:rPr>
          <w:rFonts w:ascii="Times New Roman" w:hAnsi="Times New Roman"/>
          <w:sz w:val="20"/>
        </w:rPr>
        <w:t xml:space="preserve">8. Indemnity and Contribution.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agrees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Underwriter Information as defined in paragraph (b) below. </w:t>
      </w:r>
    </w:p>
    <w:p>
      <w:pPr>
        <w:pStyle w:val="TextBody"/>
        <w:bidi w:val="0"/>
        <w:spacing w:before="120" w:after="0"/>
        <w:jc w:val="left"/>
        <w:rPr>
          <w:rFonts w:ascii="Times New Roman" w:hAnsi="Times New Roman"/>
          <w:sz w:val="20"/>
        </w:rPr>
      </w:pPr>
      <w:r>
        <w:rPr>
          <w:rFonts w:ascii="Times New Roman" w:hAnsi="Times New Roman"/>
          <w:sz w:val="20"/>
        </w:rPr>
        <w:t>(b) 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the Time of Sale Prospectus, any issuer free writing prospectus, road show or the Prospectus or any amendment or supplement thereto (</w:t>
      </w:r>
      <w:r>
        <w:rPr>
          <w:rFonts w:ascii="Times New Roman" w:hAnsi="Times New Roman"/>
          <w:b/>
          <w:sz w:val="20"/>
        </w:rPr>
        <w:t>Underwriter Information</w:t>
      </w:r>
      <w:r>
        <w:rPr>
          <w:rFonts w:ascii="Times New Roman" w:hAnsi="Times New Roman"/>
          <w:sz w:val="20"/>
        </w:rPr>
        <w:t xml:space="preserve">), it being understood and agreed that the only such information furnished by any Underwriter through the Representatives consists of the following information in the Prospectus: (i) the fifth paragraph on terms of the offering and (ii) the twelfth, thirteenth, fourteenth, and seventeenth paragraphs, and the last sentence of the fifteenth paragraph on stabilization, under the heading Underwriting. </w:t>
      </w:r>
    </w:p>
    <w:p>
      <w:pPr>
        <w:pStyle w:val="TextBody"/>
        <w:bidi w:val="0"/>
        <w:spacing w:before="120" w:after="0"/>
        <w:jc w:val="left"/>
        <w:rPr>
          <w:rFonts w:ascii="Times New Roman" w:hAnsi="Times New Roman"/>
          <w:sz w:val="20"/>
        </w:rPr>
      </w:pPr>
      <w:r>
        <w:rPr>
          <w:rFonts w:ascii="Times New Roman" w:hAnsi="Times New Roman"/>
          <w:sz w:val="20"/>
        </w:rPr>
        <w:t>(c) In case any proceeding (including any governmental investigation) shall be instituted involving any person in respect of which indemnity may be sought pursuant to Section 8(a) or 8(b), such person (the </w:t>
      </w:r>
      <w:r>
        <w:rPr>
          <w:rFonts w:ascii="Times New Roman" w:hAnsi="Times New Roman"/>
          <w:b/>
          <w:sz w:val="20"/>
        </w:rPr>
        <w:t>indemnified party</w:t>
      </w:r>
      <w:r>
        <w:rPr>
          <w:rFonts w:ascii="Times New Roman" w:hAnsi="Times New Roman"/>
          <w:sz w:val="20"/>
        </w:rPr>
        <w:t>) shall promptly notify the person against whom such indemnity may be sought (the </w:t>
      </w:r>
      <w:r>
        <w:rPr>
          <w:rFonts w:ascii="Times New Roman" w:hAnsi="Times New Roman"/>
          <w:b/>
          <w:sz w:val="20"/>
        </w:rPr>
        <w:t>indemnifying party</w:t>
      </w:r>
      <w:r>
        <w:rPr>
          <w:rFonts w:ascii="Times New Roman" w:hAnsi="Times New Roman"/>
          <w:sz w:val="20"/>
        </w:rPr>
        <w:t xml:space="preserve">)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 includes an unconditional release of such indemnified party from all liability on claims that are the subject matter of such proceeding, and (ii) does not include any statement as to or an admission of fault, culpability or failure to act by or on behalf of any indemnified party.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Units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Units shall be deemed to be in the same respective proportions as the net proceeds from the offering of the Units (after deducting underwriting discounts and commissions but before deducting expenses) received by the Company and the total underwriting discounts and commissions received by the Underwriters, in each case as set forth in the table on the cover of the Prospectus, bear to the aggregate Public Offering Price per Unit. The relative fault of the Company on the one hand and the Underwriters on the other hand shall be determined by reference to, among other things, whether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Units they have purchased hereunder, and not joint. </w:t>
      </w:r>
    </w:p>
    <w:p>
      <w:pPr>
        <w:pStyle w:val="TextBody"/>
        <w:bidi w:val="0"/>
        <w:spacing w:before="120" w:after="0"/>
        <w:jc w:val="left"/>
        <w:rPr>
          <w:rFonts w:ascii="Times New Roman" w:hAnsi="Times New Roman"/>
          <w:sz w:val="20"/>
        </w:rPr>
      </w:pPr>
      <w:r>
        <w:rPr>
          <w:rFonts w:ascii="Times New Roman" w:hAnsi="Times New Roman"/>
          <w:sz w:val="20"/>
        </w:rPr>
        <w:t xml:space="preserve">(e) The Company and the Underwriters agree that it would not be just or equitable if contribution pursuant to this Section 8 were determined by </w:t>
      </w:r>
      <w:r>
        <w:rPr>
          <w:rFonts w:ascii="Times New Roman" w:hAnsi="Times New Roman"/>
          <w:i/>
          <w:sz w:val="20"/>
        </w:rPr>
        <w:t>pro rata</w:t>
      </w:r>
      <w:r>
        <w:rPr>
          <w:rFonts w:ascii="Times New Roman" w:hAnsi="Times New Roman"/>
          <w:sz w:val="20"/>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Units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(f) 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Units.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Termination</w:t>
      </w:r>
      <w:r>
        <w:rPr>
          <w:rFonts w:ascii="Times New Roman" w:hAnsi="Times New Roman"/>
          <w:sz w:val="20"/>
        </w:rPr>
        <w:t xml:space="preserve">. The Underwriters may terminate this Agreement by notice given by the Representatives to the Company, if after the execution and delivery of this Agreement and prior to or on the Closing Date, (i) trading generally shall have been suspended or materially limited on, or by, as the case may be, any of the New York Stock Exchange, the NYSE American, the Nasdaq Global Select Market, the Chicago Board of Options Exchange, the Chicago Mercantile Exchange or the Chicago Board of Trade, (ii) trading of any securities of the Company shall have been suspended on any exchange or in any over-the-counter market, (iii) a material disruption in securities settlement,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Units on the terms and in the manner contemplated in the Time of Sale Prospectus or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Effectiveness; Defaulting Underwriters</w:t>
      </w:r>
      <w:r>
        <w:rPr>
          <w:rFonts w:ascii="Times New Roman" w:hAnsi="Times New Roman"/>
          <w:sz w:val="20"/>
        </w:rPr>
        <w:t xml:space="preserve">. This Agreement shall become effective upon the execution and delivery hereof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If, on the Closing Date, any one or more of the Underwriters shall fail or refuse to purchase the Units that it has or they have agreed to purchase hereunder on such date, and the aggregate number of the Units which such defaulting Underwriter or Underwriters agreed but failed or refused to purchase is not more than one-tenth of the aggregate number of Units to be purchased on such date, the other Underwriters shall be obligated severally in the proportions that the number of the Units set forth opposite their respective names in Schedule I bears to the aggregate number of Units set forth opposite the names of all such non-defaulting Underwriters, or in such other proportions as the Representatives may specify, to purchase the Units which such defaulting Underwriter or Underwriters agreed but failed or refused to purchase on such date; </w:t>
      </w:r>
      <w:r>
        <w:rPr>
          <w:rFonts w:ascii="Times New Roman" w:hAnsi="Times New Roman"/>
          <w:i/>
          <w:sz w:val="20"/>
        </w:rPr>
        <w:t>provided</w:t>
      </w:r>
      <w:r>
        <w:rPr>
          <w:rFonts w:ascii="Times New Roman" w:hAnsi="Times New Roman"/>
          <w:sz w:val="20"/>
        </w:rPr>
        <w:t xml:space="preserve"> that in no event shall the number of Units that any Underwriter has agreed to purchase pursuant to this Agreement be increased pursuant to this Section 10 by an amount in excess of one-ninth of such number of Units without the written consent of such Underwriter. If, on the Closing Date, any Underwriter or Underwriters shall fail or refuse to purchase the Units and the aggregate number of the Units with respect to which such default occurs is more than one-tenth of the aggregate number of the Units to be purchased on such date, and arrangements satisfactory to the Representatives and the Company for the purchase of such Units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w:t>
      </w:r>
    </w:p>
    <w:p>
      <w:pPr>
        <w:pStyle w:val="TextBody"/>
        <w:bidi w:val="0"/>
        <w:spacing w:before="240" w:after="0"/>
        <w:jc w:val="left"/>
        <w:rPr>
          <w:rFonts w:ascii="Times New Roman" w:hAnsi="Times New Roman"/>
          <w:sz w:val="20"/>
        </w:rPr>
      </w:pPr>
      <w:r>
        <w:rPr>
          <w:rFonts w:ascii="Times New Roman" w:hAnsi="Times New Roman"/>
          <w:sz w:val="20"/>
        </w:rPr>
        <w:t xml:space="preserve">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reasonably incurred fees and disbursements of their counsel) reasonably incurred by such Underwriters in connection with this Agreement or the offering contemplated 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Entire Agreement</w:t>
      </w:r>
      <w:r>
        <w:rPr>
          <w:rFonts w:ascii="Times New Roman" w:hAnsi="Times New Roman"/>
          <w:sz w:val="20"/>
        </w:rPr>
        <w:t xml:space="preserve">. (a) This Agreement, together with any contemporaneous written agreements and any prior written agreements (to the extent not superseded by this Agreement) that relate to the offering of the Units, represents the entire agreement between the Company and the Underwriters with respect to the preparation of any preliminary prospectus, the Time of Sale Prospectus, the Prospectus, the conduct of the offering, and the purchase and sale of the Units. </w:t>
      </w:r>
    </w:p>
    <w:p>
      <w:pPr>
        <w:pStyle w:val="TextBody"/>
        <w:bidi w:val="0"/>
        <w:spacing w:before="120" w:after="0"/>
        <w:jc w:val="left"/>
        <w:rPr>
          <w:rFonts w:ascii="Times New Roman" w:hAnsi="Times New Roman"/>
          <w:sz w:val="20"/>
        </w:rPr>
      </w:pPr>
      <w:r>
        <w:rPr>
          <w:rFonts w:ascii="Times New Roman" w:hAnsi="Times New Roman"/>
          <w:sz w:val="20"/>
        </w:rPr>
        <w:t xml:space="preserve">(b) The Company acknowledges that in connection with the offering of the Units: (i) 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 (iii) the Underwriters may 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Units.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Recognition of the U.S. Special Resolution Regimes</w:t>
      </w:r>
      <w:r>
        <w:rPr>
          <w:rFonts w:ascii="Times New Roman" w:hAnsi="Times New Roman"/>
          <w:sz w:val="20"/>
        </w:rPr>
        <w:t xml:space="preserve">. (a)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For purposes of this Section a </w:t>
      </w:r>
      <w:r>
        <w:rPr>
          <w:rFonts w:ascii="Times New Roman" w:hAnsi="Times New Roman"/>
          <w:b/>
          <w:sz w:val="20"/>
        </w:rPr>
        <w:t>BHC Act Affiliate</w:t>
      </w:r>
      <w:r>
        <w:rPr>
          <w:rFonts w:ascii="Times New Roman" w:hAnsi="Times New Roman"/>
          <w:sz w:val="20"/>
        </w:rPr>
        <w:t> has the meaning assigned to the term affiliate in, and shall be interpreted in accordance with, 12 U.S.C. § 1841(k). </w:t>
      </w:r>
      <w:r>
        <w:rPr>
          <w:rFonts w:ascii="Times New Roman" w:hAnsi="Times New Roman"/>
          <w:b/>
          <w:sz w:val="20"/>
        </w:rPr>
        <w:t>Covered Entity</w:t>
      </w:r>
      <w:r>
        <w:rPr>
          <w:rFonts w:ascii="Times New Roman" w:hAnsi="Times New Roman"/>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hAnsi="Times New Roman"/>
          <w:b/>
          <w:sz w:val="20"/>
        </w:rPr>
        <w:t>Default Right</w:t>
      </w:r>
      <w:r>
        <w:rPr>
          <w:rFonts w:ascii="Times New Roman" w:hAnsi="Times New Roman"/>
          <w:sz w:val="20"/>
        </w:rPr>
        <w:t> has the meaning assigned to that term in, and shall be interpreted in accordance with, 12 C.F.R. §§ 252.81, 47.2 or 382.1, as applicable. </w:t>
      </w:r>
      <w:r>
        <w:rPr>
          <w:rFonts w:ascii="Times New Roman" w:hAnsi="Times New Roman"/>
          <w:b/>
          <w:sz w:val="20"/>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Counterparts</w:t>
      </w:r>
      <w:r>
        <w:rPr>
          <w:rFonts w:ascii="Times New Roman" w:hAnsi="Times New Roman"/>
          <w:sz w:val="20"/>
        </w:rPr>
        <w:t xml:space="preserve">. This Agreement may be signed in two or more counterparts, each of which shall be an original, with the same effect as if the signatures thereto and hereto were upon the same instrument. Counterparts may be delivered via facsimile, electronic mail (including any electronic signature complying with the U.S. federal ESIGN Act of 2000, Uniform Electronic Transactions Act or other applicable law,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Applicable Law</w:t>
      </w:r>
      <w:r>
        <w:rPr>
          <w:rFonts w:ascii="Times New Roman" w:hAnsi="Times New Roman"/>
          <w:sz w:val="20"/>
        </w:rPr>
        <w:t xml:space="preserve">. This Agreement shall be governed by and construed in accordance with the internal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Headings</w:t>
      </w:r>
      <w:r>
        <w:rPr>
          <w:rFonts w:ascii="Times New Roman" w:hAnsi="Times New Roman"/>
          <w:sz w:val="20"/>
        </w:rPr>
        <w:t xml:space="preserve">. The headings of the sections of this Agreement have been inserted for convenience of reference only and shall not be deemed a part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Notices</w:t>
      </w:r>
      <w:r>
        <w:rPr>
          <w:rFonts w:ascii="Times New Roman" w:hAnsi="Times New Roman"/>
          <w:sz w:val="20"/>
        </w:rPr>
        <w:t xml:space="preserve">. All communications hereunder shall be in writing and effective only upon receipt and if to the Underwriters shall be delivered, mailed or sent to the Representatives in care of Leerink Partners LLC, 1301 Avenue of the Americas, 5th Floor, New York, NY 10019, Attention: Stuart R. Nayman; and in care of Piper Sandler &amp; Co., U.S. Bancorp Center, 800 Nicollet Mall, Suite 800, Minneapolis, Minnesota 55402, Attention: Piper Legal (email:     ); and if to the Company shall be delivered, mailed or sent to Tenaya Therapeutics, Inc., 171 Oyster Point Boulevard, Suite 500, South San Francisco, CA, 94080.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Tenaya Therapeutics,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Faraz Ali, M.B.A.</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Name: Faraz Ali, M.B.A.</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Title:  Chief Executive Officer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82"/>
        <w:gridCol w:w="60"/>
        <w:gridCol w:w="3640"/>
      </w:tblGrid>
      <w:tr>
        <w:trPr/>
        <w:tc>
          <w:tcPr>
            <w:tcW w:w="38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Accepted as of the date hereof</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Leerink Partners LLC</w:t>
            </w:r>
          </w:p>
          <w:p>
            <w:pPr>
              <w:pStyle w:val="TableContents"/>
              <w:bidi w:val="0"/>
              <w:spacing w:before="0" w:after="20"/>
              <w:jc w:val="left"/>
              <w:rPr>
                <w:rFonts w:ascii="Times New Roman" w:hAnsi="Times New Roman"/>
                <w:sz w:val="20"/>
              </w:rPr>
            </w:pPr>
            <w:r>
              <w:rPr>
                <w:rFonts w:ascii="Times New Roman" w:hAnsi="Times New Roman"/>
                <w:sz w:val="20"/>
              </w:rPr>
              <w:t>Piper Sandler &amp; Co.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Acting severally on behalf of themselves and</w:t>
            </w:r>
          </w:p>
          <w:p>
            <w:pPr>
              <w:pStyle w:val="TableContents"/>
              <w:bidi w:val="0"/>
              <w:spacing w:before="0" w:after="0"/>
              <w:jc w:val="left"/>
              <w:rPr/>
            </w:pPr>
            <w:r>
              <w:rPr/>
              <w:t> </w:t>
            </w:r>
            <w:r>
              <w:rPr>
                <w:rFonts w:ascii="Times New Roman" w:hAnsi="Times New Roman"/>
                <w:sz w:val="20"/>
              </w:rPr>
              <w:t>the several Underwriters named in</w:t>
            </w:r>
          </w:p>
          <w:p>
            <w:pPr>
              <w:pStyle w:val="TableContents"/>
              <w:bidi w:val="0"/>
              <w:spacing w:before="0" w:after="20"/>
              <w:jc w:val="left"/>
              <w:rPr/>
            </w:pPr>
            <w:r>
              <w:rPr/>
              <w:t> </w:t>
            </w:r>
            <w:r>
              <w:rPr>
                <w:rFonts w:ascii="Times New Roman" w:hAnsi="Times New Roman"/>
                <w:sz w:val="20"/>
              </w:rPr>
              <w:t>Schedule I hereto.</w:t>
            </w:r>
          </w:p>
        </w:tc>
      </w:tr>
      <w:tr>
        <w:trPr>
          <w:trHeight w:val="240" w:hRule="atLeast"/>
        </w:trPr>
        <w:tc>
          <w:tcPr>
            <w:tcW w:w="382" w:type="dxa"/>
            <w:tcBorders/>
            <w:vAlign w:val="center"/>
          </w:tcPr>
          <w:p>
            <w:pPr>
              <w:pStyle w:val="TableContents"/>
              <w:bidi w:val="0"/>
              <w:spacing w:before="0" w:after="283"/>
              <w:jc w:val="left"/>
              <w:rPr>
                <w:sz w:val="4"/>
                <w:szCs w:val="4"/>
              </w:rPr>
            </w:pPr>
            <w:r>
              <w:rPr>
                <w:sz w:val="4"/>
                <w:szCs w:val="4"/>
              </w:rPr>
            </w:r>
          </w:p>
        </w:tc>
        <w:tc>
          <w:tcPr>
            <w:tcW w:w="3700" w:type="dxa"/>
            <w:gridSpan w:val="2"/>
            <w:tcBorders/>
            <w:vAlign w:val="center"/>
          </w:tcPr>
          <w:p>
            <w:pPr>
              <w:pStyle w:val="TableContents"/>
              <w:bidi w:val="0"/>
              <w:spacing w:before="0" w:after="283"/>
              <w:jc w:val="left"/>
              <w:rPr>
                <w:sz w:val="4"/>
                <w:szCs w:val="4"/>
              </w:rPr>
            </w:pPr>
            <w:r>
              <w:rPr>
                <w:sz w:val="4"/>
                <w:szCs w:val="4"/>
              </w:rPr>
            </w:r>
          </w:p>
        </w:tc>
      </w:tr>
      <w:tr>
        <w:trPr/>
        <w:tc>
          <w:tcPr>
            <w:tcW w:w="3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8" w:type="dxa"/>
            <w:tcBorders>
              <w:bottom w:val="single" w:sz="2" w:space="0" w:color="000000"/>
            </w:tcBorders>
            <w:tcMar>
              <w:bottom w:w="28" w:type="dxa"/>
            </w:tcMar>
          </w:tcPr>
          <w:p>
            <w:pPr>
              <w:pStyle w:val="TableContents"/>
              <w:bidi w:val="0"/>
              <w:spacing w:before="0" w:after="283"/>
              <w:jc w:val="left"/>
              <w:rPr/>
            </w:pPr>
            <w:r>
              <w:rPr/>
              <w:t>/s/ Anurag Jindal</w:t>
            </w:r>
          </w:p>
        </w:tc>
      </w:tr>
      <w:tr>
        <w:trPr/>
        <w:tc>
          <w:tcPr>
            <w:tcW w:w="3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Name: Anurag Jindal</w:t>
            </w:r>
          </w:p>
        </w:tc>
      </w:tr>
      <w:tr>
        <w:trPr/>
        <w:tc>
          <w:tcPr>
            <w:tcW w:w="3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Title:  Sr. Managing Director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7"/>
        <w:gridCol w:w="60"/>
        <w:gridCol w:w="3655"/>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c>
          <w:tcPr>
            <w:tcW w:w="367"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5" w:type="dxa"/>
            <w:tcBorders/>
            <w:vAlign w:val="bottom"/>
          </w:tcPr>
          <w:p>
            <w:pPr>
              <w:pStyle w:val="TableContents"/>
              <w:bidi w:val="0"/>
              <w:spacing w:before="0" w:after="283"/>
              <w:jc w:val="left"/>
              <w:rPr/>
            </w:pPr>
            <w:r>
              <w:rPr/>
              <w:t>Piper Sandler &amp; Co.</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Chad Huber</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Name: Chad Huber</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Title:  Managing Director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84"/>
        <w:gridCol w:w="325"/>
        <w:gridCol w:w="89"/>
        <w:gridCol w:w="1645"/>
        <w:gridCol w:w="62"/>
      </w:tblGrid>
      <w:tr>
        <w:trPr/>
        <w:tc>
          <w:tcPr>
            <w:tcW w:w="8084"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08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325" w:type="dxa"/>
            <w:tcBorders/>
            <w:vAlign w:val="bottom"/>
          </w:tcPr>
          <w:p>
            <w:pPr>
              <w:pStyle w:val="TableContents"/>
              <w:bidi w:val="0"/>
              <w:spacing w:before="0" w:after="283"/>
              <w:jc w:val="left"/>
              <w:rPr/>
            </w:pPr>
            <w:r>
              <w:rPr/>
              <w:t>  </w:t>
            </w:r>
          </w:p>
        </w:tc>
        <w:tc>
          <w:tcPr>
            <w:tcW w:w="17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Units</w:t>
              <w:br/>
              <w:t>to be Purchased</w:t>
            </w:r>
          </w:p>
        </w:tc>
        <w:tc>
          <w:tcPr>
            <w:tcW w:w="62" w:type="dxa"/>
            <w:tcBorders/>
            <w:vAlign w:val="bottom"/>
          </w:tcPr>
          <w:p>
            <w:pPr>
              <w:pStyle w:val="TableContents"/>
              <w:bidi w:val="0"/>
              <w:spacing w:before="0" w:after="283"/>
              <w:jc w:val="left"/>
              <w:rPr/>
            </w:pPr>
            <w:r>
              <w:rPr/>
              <w:t> </w:t>
            </w:r>
          </w:p>
        </w:tc>
      </w:tr>
      <w:tr>
        <w:trPr/>
        <w:tc>
          <w:tcPr>
            <w:tcW w:w="80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32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bidi w:val="0"/>
              <w:spacing w:before="0" w:after="283"/>
              <w:jc w:val="right"/>
              <w:rPr/>
            </w:pPr>
            <w:r>
              <w:rPr/>
              <w:t>41,250,000</w:t>
            </w:r>
          </w:p>
        </w:tc>
        <w:tc>
          <w:tcPr>
            <w:tcW w:w="62" w:type="dxa"/>
            <w:tcBorders/>
            <w:shd w:fill="CCEEFF" w:val="clear"/>
            <w:vAlign w:val="bottom"/>
          </w:tcPr>
          <w:p>
            <w:pPr>
              <w:pStyle w:val="TableContents"/>
              <w:bidi w:val="0"/>
              <w:spacing w:before="0" w:after="283"/>
              <w:jc w:val="left"/>
              <w:rPr/>
            </w:pPr>
            <w:r>
              <w:rPr/>
              <w:t> </w:t>
            </w:r>
          </w:p>
        </w:tc>
      </w:tr>
      <w:tr>
        <w:trPr/>
        <w:tc>
          <w:tcPr>
            <w:tcW w:w="8084" w:type="dxa"/>
            <w:tcBorders/>
          </w:tcPr>
          <w:p>
            <w:pPr>
              <w:pStyle w:val="TableContents"/>
              <w:bidi w:val="0"/>
              <w:spacing w:before="0" w:after="0"/>
              <w:jc w:val="left"/>
              <w:rPr>
                <w:rFonts w:ascii="Times New Roman" w:hAnsi="Times New Roman"/>
                <w:sz w:val="20"/>
              </w:rPr>
            </w:pPr>
            <w:r>
              <w:rPr>
                <w:rFonts w:ascii="Times New Roman" w:hAnsi="Times New Roman"/>
                <w:sz w:val="20"/>
              </w:rPr>
              <w:t>Piper Sandler &amp; Co.</w:t>
            </w:r>
          </w:p>
        </w:tc>
        <w:tc>
          <w:tcPr>
            <w:tcW w:w="32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645" w:type="dxa"/>
            <w:tcBorders/>
            <w:vAlign w:val="bottom"/>
          </w:tcPr>
          <w:p>
            <w:pPr>
              <w:pStyle w:val="TableContents"/>
              <w:bidi w:val="0"/>
              <w:spacing w:before="0" w:after="283"/>
              <w:jc w:val="right"/>
              <w:rPr/>
            </w:pPr>
            <w:r>
              <w:rPr/>
              <w:t>33,750,000</w:t>
            </w:r>
          </w:p>
        </w:tc>
        <w:tc>
          <w:tcPr>
            <w:tcW w:w="62" w:type="dxa"/>
            <w:tcBorders/>
            <w:vAlign w:val="bottom"/>
          </w:tcPr>
          <w:p>
            <w:pPr>
              <w:pStyle w:val="TableContents"/>
              <w:bidi w:val="0"/>
              <w:spacing w:before="0" w:after="283"/>
              <w:jc w:val="left"/>
              <w:rPr/>
            </w:pPr>
            <w:r>
              <w:rPr/>
              <w:t> </w:t>
            </w:r>
          </w:p>
        </w:tc>
      </w:tr>
      <w:tr>
        <w:trPr/>
        <w:tc>
          <w:tcPr>
            <w:tcW w:w="80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2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bidi w:val="0"/>
              <w:spacing w:before="0" w:after="283"/>
              <w:jc w:val="right"/>
              <w:rPr/>
            </w:pPr>
            <w:r>
              <w:rPr/>
              <w:t>75,000,000</w:t>
            </w:r>
          </w:p>
        </w:tc>
        <w:tc>
          <w:tcPr>
            <w:tcW w:w="62" w:type="dxa"/>
            <w:tcBorders/>
            <w:shd w:fill="CCEEFF" w:val="clear"/>
            <w:vAlign w:val="bottom"/>
          </w:tcPr>
          <w:p>
            <w:pPr>
              <w:pStyle w:val="TableContents"/>
              <w:bidi w:val="0"/>
              <w:spacing w:before="0" w:after="283"/>
              <w:jc w:val="left"/>
              <w:rPr/>
            </w:pPr>
            <w:r>
              <w:rPr/>
              <w:t> </w:t>
            </w:r>
          </w:p>
        </w:tc>
      </w:tr>
      <w:tr>
        <w:trPr/>
        <w:tc>
          <w:tcPr>
            <w:tcW w:w="8084"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double" w:sz="6" w:space="1" w:color="000000"/>
              </w:pBdr>
              <w:bidi w:val="0"/>
              <w:spacing w:before="0" w:after="0"/>
              <w:jc w:val="left"/>
              <w:rPr/>
            </w:pPr>
            <w:r>
              <w:rPr/>
              <w:t> </w:t>
            </w:r>
          </w:p>
        </w:tc>
        <w:tc>
          <w:tcPr>
            <w:tcW w:w="1645"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II </w:t>
      </w:r>
    </w:p>
    <w:p>
      <w:pPr>
        <w:pStyle w:val="TextBody"/>
        <w:bidi w:val="0"/>
        <w:spacing w:before="240" w:after="0"/>
        <w:jc w:val="center"/>
        <w:rPr>
          <w:rFonts w:ascii="Times New Roman" w:hAnsi="Times New Roman"/>
          <w:b/>
          <w:sz w:val="20"/>
        </w:rPr>
      </w:pPr>
      <w:r>
        <w:rPr>
          <w:rFonts w:ascii="Times New Roman" w:hAnsi="Times New Roman"/>
          <w:b/>
          <w:sz w:val="20"/>
        </w:rPr>
        <w:t xml:space="preserve">Time of Sale Prospectus </w:t>
      </w:r>
    </w:p>
    <w:p>
      <w:pPr>
        <w:pStyle w:val="TextBody"/>
        <w:bidi w:val="0"/>
        <w:spacing w:before="240" w:after="0"/>
        <w:jc w:val="left"/>
        <w:rPr>
          <w:rFonts w:ascii="Times New Roman" w:hAnsi="Times New Roman"/>
          <w:sz w:val="20"/>
        </w:rPr>
      </w:pPr>
      <w:r>
        <w:rPr>
          <w:rFonts w:ascii="Times New Roman" w:hAnsi="Times New Roman"/>
          <w:sz w:val="20"/>
        </w:rPr>
        <w:t xml:space="preserve">1. Orally communicated pricing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00"/>
        <w:gridCol w:w="672"/>
        <w:gridCol w:w="140"/>
        <w:gridCol w:w="1115"/>
        <w:gridCol w:w="278"/>
      </w:tblGrid>
      <w:tr>
        <w:trPr/>
        <w:tc>
          <w:tcPr>
            <w:tcW w:w="8000" w:type="dxa"/>
            <w:tcBorders/>
            <w:vAlign w:val="center"/>
          </w:tcPr>
          <w:p>
            <w:pPr>
              <w:pStyle w:val="TableContents"/>
              <w:bidi w:val="0"/>
              <w:spacing w:before="0" w:after="283"/>
              <w:jc w:val="left"/>
              <w:rPr>
                <w:sz w:val="4"/>
                <w:szCs w:val="4"/>
              </w:rPr>
            </w:pPr>
            <w:r>
              <w:rPr>
                <w:sz w:val="4"/>
                <w:szCs w:val="4"/>
              </w:rPr>
            </w:r>
          </w:p>
        </w:tc>
        <w:tc>
          <w:tcPr>
            <w:tcW w:w="6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8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Number of Units:</w:t>
            </w:r>
          </w:p>
        </w:tc>
        <w:tc>
          <w:tcPr>
            <w:tcW w:w="6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75,000,000</w:t>
            </w:r>
          </w:p>
        </w:tc>
        <w:tc>
          <w:tcPr>
            <w:tcW w:w="278" w:type="dxa"/>
            <w:tcBorders/>
            <w:shd w:fill="CCEEFF" w:val="clear"/>
            <w:vAlign w:val="bottom"/>
          </w:tcPr>
          <w:p>
            <w:pPr>
              <w:pStyle w:val="TableContents"/>
              <w:bidi w:val="0"/>
              <w:spacing w:before="0" w:after="283"/>
              <w:jc w:val="left"/>
              <w:rPr/>
            </w:pPr>
            <w:r>
              <w:rPr/>
              <w:t> </w:t>
            </w:r>
          </w:p>
        </w:tc>
      </w:tr>
      <w:tr>
        <w:trPr/>
        <w:tc>
          <w:tcPr>
            <w:tcW w:w="8000" w:type="dxa"/>
            <w:tcBorders/>
          </w:tcPr>
          <w:p>
            <w:pPr>
              <w:pStyle w:val="TableContents"/>
              <w:bidi w:val="0"/>
              <w:spacing w:before="0" w:after="0"/>
              <w:jc w:val="left"/>
              <w:rPr>
                <w:rFonts w:ascii="Times New Roman" w:hAnsi="Times New Roman"/>
                <w:sz w:val="20"/>
              </w:rPr>
            </w:pPr>
            <w:r>
              <w:rPr>
                <w:rFonts w:ascii="Times New Roman" w:hAnsi="Times New Roman"/>
                <w:sz w:val="20"/>
              </w:rPr>
              <w:t>Offering Price per Unit:</w:t>
            </w:r>
          </w:p>
        </w:tc>
        <w:tc>
          <w:tcPr>
            <w:tcW w:w="6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0.70</w:t>
            </w:r>
          </w:p>
        </w:tc>
        <w:tc>
          <w:tcPr>
            <w:tcW w:w="278" w:type="dxa"/>
            <w:tcBorders/>
            <w:vAlign w:val="bottom"/>
          </w:tcPr>
          <w:p>
            <w:pPr>
              <w:pStyle w:val="TableContents"/>
              <w:bidi w:val="0"/>
              <w:spacing w:before="0" w:after="283"/>
              <w:jc w:val="left"/>
              <w:rPr/>
            </w:pPr>
            <w:r>
              <w:rPr/>
              <w:t> </w:t>
            </w:r>
          </w:p>
        </w:tc>
      </w:tr>
      <w:tr>
        <w:trPr/>
        <w:tc>
          <w:tcPr>
            <w:tcW w:w="8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 Price per Series A Warrant:</w:t>
            </w:r>
          </w:p>
        </w:tc>
        <w:tc>
          <w:tcPr>
            <w:tcW w:w="6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0.80</w:t>
            </w:r>
          </w:p>
        </w:tc>
        <w:tc>
          <w:tcPr>
            <w:tcW w:w="278" w:type="dxa"/>
            <w:tcBorders/>
            <w:shd w:fill="CCEEFF" w:val="clear"/>
            <w:vAlign w:val="bottom"/>
          </w:tcPr>
          <w:p>
            <w:pPr>
              <w:pStyle w:val="TableContents"/>
              <w:bidi w:val="0"/>
              <w:spacing w:before="0" w:after="283"/>
              <w:jc w:val="left"/>
              <w:rPr/>
            </w:pPr>
            <w:r>
              <w:rPr/>
              <w:t> </w:t>
            </w:r>
          </w:p>
        </w:tc>
      </w:tr>
      <w:tr>
        <w:trPr/>
        <w:tc>
          <w:tcPr>
            <w:tcW w:w="8000" w:type="dxa"/>
            <w:tcBorders/>
          </w:tcPr>
          <w:p>
            <w:pPr>
              <w:pStyle w:val="TableContents"/>
              <w:bidi w:val="0"/>
              <w:spacing w:before="0" w:after="0"/>
              <w:jc w:val="left"/>
              <w:rPr>
                <w:rFonts w:ascii="Times New Roman" w:hAnsi="Times New Roman"/>
                <w:sz w:val="20"/>
              </w:rPr>
            </w:pPr>
            <w:r>
              <w:rPr>
                <w:rFonts w:ascii="Times New Roman" w:hAnsi="Times New Roman"/>
                <w:sz w:val="20"/>
              </w:rPr>
              <w:t>Series A Warrant Coverage</w:t>
            </w:r>
          </w:p>
        </w:tc>
        <w:tc>
          <w:tcPr>
            <w:tcW w:w="6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100</w:t>
            </w:r>
          </w:p>
        </w:tc>
        <w:tc>
          <w:tcPr>
            <w:tcW w:w="278" w:type="dxa"/>
            <w:tcBorders/>
            <w:vAlign w:val="bottom"/>
          </w:tcPr>
          <w:p>
            <w:pPr>
              <w:pStyle w:val="TableContents"/>
              <w:bidi w:val="0"/>
              <w:spacing w:before="0" w:after="283"/>
              <w:jc w:val="left"/>
              <w:rPr/>
            </w:pPr>
            <w:r>
              <w:rPr/>
              <w:t>% </w:t>
            </w:r>
          </w:p>
        </w:tc>
      </w:tr>
      <w:tr>
        <w:trPr/>
        <w:tc>
          <w:tcPr>
            <w:tcW w:w="8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 Price per Series B Warrant:</w:t>
            </w:r>
          </w:p>
        </w:tc>
        <w:tc>
          <w:tcPr>
            <w:tcW w:w="6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0.70</w:t>
            </w:r>
          </w:p>
        </w:tc>
        <w:tc>
          <w:tcPr>
            <w:tcW w:w="278" w:type="dxa"/>
            <w:tcBorders/>
            <w:shd w:fill="CCEEFF" w:val="clear"/>
            <w:vAlign w:val="bottom"/>
          </w:tcPr>
          <w:p>
            <w:pPr>
              <w:pStyle w:val="TableContents"/>
              <w:bidi w:val="0"/>
              <w:spacing w:before="0" w:after="283"/>
              <w:jc w:val="left"/>
              <w:rPr/>
            </w:pPr>
            <w:r>
              <w:rPr/>
              <w:t> </w:t>
            </w:r>
          </w:p>
        </w:tc>
      </w:tr>
      <w:tr>
        <w:trPr/>
        <w:tc>
          <w:tcPr>
            <w:tcW w:w="8000" w:type="dxa"/>
            <w:tcBorders/>
          </w:tcPr>
          <w:p>
            <w:pPr>
              <w:pStyle w:val="TableContents"/>
              <w:bidi w:val="0"/>
              <w:spacing w:before="0" w:after="0"/>
              <w:jc w:val="left"/>
              <w:rPr>
                <w:rFonts w:ascii="Times New Roman" w:hAnsi="Times New Roman"/>
                <w:sz w:val="20"/>
              </w:rPr>
            </w:pPr>
            <w:r>
              <w:rPr>
                <w:rFonts w:ascii="Times New Roman" w:hAnsi="Times New Roman"/>
                <w:sz w:val="20"/>
              </w:rPr>
              <w:t>Series B Warrant Coverage</w:t>
            </w:r>
          </w:p>
        </w:tc>
        <w:tc>
          <w:tcPr>
            <w:tcW w:w="6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50</w:t>
            </w:r>
          </w:p>
        </w:tc>
        <w:tc>
          <w:tcPr>
            <w:tcW w:w="27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III </w:t>
      </w:r>
    </w:p>
    <w:p>
      <w:pPr>
        <w:pStyle w:val="TextBody"/>
        <w:bidi w:val="0"/>
        <w:spacing w:before="240" w:after="0"/>
        <w:jc w:val="center"/>
        <w:rPr>
          <w:rFonts w:ascii="Times New Roman" w:hAnsi="Times New Roman"/>
          <w:b/>
          <w:sz w:val="20"/>
        </w:rPr>
      </w:pPr>
      <w:r>
        <w:rPr>
          <w:rFonts w:ascii="Times New Roman" w:hAnsi="Times New Roman"/>
          <w:b/>
          <w:sz w:val="20"/>
        </w:rPr>
        <w:t xml:space="preserve">Testing-the-Water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right"/>
        <w:rPr>
          <w:rFonts w:ascii="Times New Roman" w:hAnsi="Times New Roman"/>
          <w:sz w:val="20"/>
        </w:rPr>
      </w:pPr>
      <w:r>
        <w:rPr>
          <w:rFonts w:ascii="Times New Roman" w:hAnsi="Times New Roman"/>
          <w:sz w:val="20"/>
        </w:rPr>
        <w:t xml:space="preserve">________, 2025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Piper Sandler &amp; Co. </w:t>
      </w:r>
    </w:p>
    <w:p>
      <w:pPr>
        <w:pStyle w:val="TextBody"/>
        <w:bidi w:val="0"/>
        <w:spacing w:before="240" w:after="0"/>
        <w:jc w:val="left"/>
        <w:rPr>
          <w:rFonts w:ascii="Times New Roman" w:hAnsi="Times New Roman"/>
          <w:sz w:val="20"/>
        </w:rPr>
      </w:pPr>
      <w:r>
        <w:rPr>
          <w:rFonts w:ascii="Times New Roman" w:hAnsi="Times New Roman"/>
          <w:sz w:val="20"/>
        </w:rPr>
        <w:t xml:space="preserve">c/o 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1301 Avenue of the Americas, 5th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10019 </w:t>
      </w:r>
    </w:p>
    <w:p>
      <w:pPr>
        <w:pStyle w:val="TextBody"/>
        <w:bidi w:val="0"/>
        <w:spacing w:before="240" w:after="0"/>
        <w:jc w:val="left"/>
        <w:rPr>
          <w:rFonts w:ascii="Times New Roman" w:hAnsi="Times New Roman"/>
          <w:sz w:val="20"/>
        </w:rPr>
      </w:pPr>
      <w:r>
        <w:rPr>
          <w:rFonts w:ascii="Times New Roman" w:hAnsi="Times New Roman"/>
          <w:sz w:val="20"/>
        </w:rPr>
        <w:t xml:space="preserve">c/o Piper Sandler &amp; Co. </w:t>
      </w:r>
    </w:p>
    <w:p>
      <w:pPr>
        <w:pStyle w:val="TextBody"/>
        <w:bidi w:val="0"/>
        <w:spacing w:before="0" w:after="0"/>
        <w:jc w:val="left"/>
        <w:rPr>
          <w:rFonts w:ascii="Times New Roman" w:hAnsi="Times New Roman"/>
          <w:sz w:val="20"/>
        </w:rPr>
      </w:pPr>
      <w:r>
        <w:rPr>
          <w:rFonts w:ascii="Times New Roman" w:hAnsi="Times New Roman"/>
          <w:sz w:val="20"/>
        </w:rPr>
        <w:t xml:space="preserve">800 Nicollet Mall, Suite 800 </w:t>
      </w:r>
    </w:p>
    <w:p>
      <w:pPr>
        <w:pStyle w:val="TextBody"/>
        <w:bidi w:val="0"/>
        <w:spacing w:before="0" w:after="0"/>
        <w:jc w:val="left"/>
        <w:rPr>
          <w:rFonts w:ascii="Times New Roman" w:hAnsi="Times New Roman"/>
          <w:sz w:val="20"/>
        </w:rPr>
      </w:pPr>
      <w:r>
        <w:rPr>
          <w:rFonts w:ascii="Times New Roman" w:hAnsi="Times New Roman"/>
          <w:sz w:val="20"/>
        </w:rPr>
        <w:t xml:space="preserve">Minneapolis, Minnesota 55402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understands that Leerink Partners LLC (</w:t>
      </w:r>
      <w:r>
        <w:rPr>
          <w:rFonts w:ascii="Times New Roman" w:hAnsi="Times New Roman"/>
          <w:b/>
          <w:sz w:val="20"/>
        </w:rPr>
        <w:t>Leerink Partners</w:t>
      </w:r>
      <w:r>
        <w:rPr>
          <w:rFonts w:ascii="Times New Roman" w:hAnsi="Times New Roman"/>
          <w:sz w:val="20"/>
        </w:rPr>
        <w:t>) and Piper Sandler &amp; Co. (</w:t>
      </w:r>
      <w:r>
        <w:rPr>
          <w:rFonts w:ascii="Times New Roman" w:hAnsi="Times New Roman"/>
          <w:b/>
          <w:sz w:val="20"/>
        </w:rPr>
        <w:t>Piper Sandler</w:t>
      </w:r>
      <w:r>
        <w:rPr>
          <w:rFonts w:ascii="Times New Roman" w:hAnsi="Times New Roman"/>
          <w:sz w:val="20"/>
        </w:rPr>
        <w:t> and, together with Leerink Partners, the </w:t>
      </w:r>
      <w:r>
        <w:rPr>
          <w:rFonts w:ascii="Times New Roman" w:hAnsi="Times New Roman"/>
          <w:b/>
          <w:sz w:val="20"/>
        </w:rPr>
        <w:t>Representatives</w:t>
      </w:r>
      <w:r>
        <w:rPr>
          <w:rFonts w:ascii="Times New Roman" w:hAnsi="Times New Roman"/>
          <w:sz w:val="20"/>
        </w:rPr>
        <w:t>) proposes to enter into an Underwriting Agreement (the </w:t>
      </w:r>
      <w:r>
        <w:rPr>
          <w:rFonts w:ascii="Times New Roman" w:hAnsi="Times New Roman"/>
          <w:b/>
          <w:sz w:val="20"/>
        </w:rPr>
        <w:t>Underwriting Agreement</w:t>
      </w:r>
      <w:r>
        <w:rPr>
          <w:rFonts w:ascii="Times New Roman" w:hAnsi="Times New Roman"/>
          <w:sz w:val="20"/>
        </w:rPr>
        <w:t>) with Tenaya Therapeutics, Inc., a Delaware corporation (the </w:t>
      </w:r>
      <w:r>
        <w:rPr>
          <w:rFonts w:ascii="Times New Roman" w:hAnsi="Times New Roman"/>
          <w:b/>
          <w:sz w:val="20"/>
        </w:rPr>
        <w:t>Company</w:t>
      </w:r>
      <w:r>
        <w:rPr>
          <w:rFonts w:ascii="Times New Roman" w:hAnsi="Times New Roman"/>
          <w:sz w:val="20"/>
        </w:rPr>
        <w:t>), providing for the public offering (the </w:t>
      </w:r>
      <w:r>
        <w:rPr>
          <w:rFonts w:ascii="Times New Roman" w:hAnsi="Times New Roman"/>
          <w:b/>
          <w:sz w:val="20"/>
        </w:rPr>
        <w:t>Public Offering</w:t>
      </w:r>
      <w:r>
        <w:rPr>
          <w:rFonts w:ascii="Times New Roman" w:hAnsi="Times New Roman"/>
          <w:sz w:val="20"/>
        </w:rPr>
        <w:t>) by the several Underwriters, including the Representatives (the </w:t>
      </w:r>
      <w:r>
        <w:rPr>
          <w:rFonts w:ascii="Times New Roman" w:hAnsi="Times New Roman"/>
          <w:b/>
          <w:sz w:val="20"/>
        </w:rPr>
        <w:t>Underwriters</w:t>
      </w:r>
      <w:r>
        <w:rPr>
          <w:rFonts w:ascii="Times New Roman" w:hAnsi="Times New Roman"/>
          <w:sz w:val="20"/>
        </w:rPr>
        <w:t>), of shares of common stock (the </w:t>
      </w:r>
      <w:r>
        <w:rPr>
          <w:rFonts w:ascii="Times New Roman" w:hAnsi="Times New Roman"/>
          <w:b/>
          <w:sz w:val="20"/>
        </w:rPr>
        <w:t>Shares</w:t>
      </w:r>
      <w:r>
        <w:rPr>
          <w:rFonts w:ascii="Times New Roman" w:hAnsi="Times New Roman"/>
          <w:sz w:val="20"/>
        </w:rPr>
        <w:t>), par value $0.0001 per share, of the Company (the </w:t>
      </w:r>
      <w:r>
        <w:rPr>
          <w:rFonts w:ascii="Times New Roman" w:hAnsi="Times New Roman"/>
          <w:b/>
          <w:sz w:val="20"/>
        </w:rPr>
        <w:t>Common Stock</w:t>
      </w:r>
      <w:r>
        <w:rPr>
          <w:rFonts w:ascii="Times New Roman" w:hAnsi="Times New Roman"/>
          <w:sz w:val="20"/>
        </w:rPr>
        <w:t xml:space="preserve">). Capitalized terms used herein and not otherwise defined shall have the meanings set forth in the Underwriting Agreement. </w:t>
      </w:r>
    </w:p>
    <w:p>
      <w:pPr>
        <w:pStyle w:val="TextBody"/>
        <w:bidi w:val="0"/>
        <w:spacing w:before="240" w:after="0"/>
        <w:jc w:val="left"/>
        <w:rPr>
          <w:rFonts w:ascii="Times New Roman" w:hAnsi="Times New Roman"/>
          <w:sz w:val="20"/>
        </w:rPr>
      </w:pPr>
      <w:r>
        <w:rPr>
          <w:rFonts w:ascii="Times New Roman" w:hAnsi="Times New Roman"/>
          <w:sz w:val="20"/>
        </w:rPr>
        <w:t>To induce the Underwriters that may participate in the Public Offering to continue their efforts in connection with the Public Offering, the undersigned hereby agrees that, without the prior written consent of each of the Representatives on behalf of the Underwriters, it will not, and will not publicly disclose an intention to, during the period commencing on the date hereof and ending 60 days after the date of the final prospectus supplement (the </w:t>
      </w:r>
      <w:r>
        <w:rPr>
          <w:rFonts w:ascii="Times New Roman" w:hAnsi="Times New Roman"/>
          <w:b/>
          <w:sz w:val="20"/>
        </w:rPr>
        <w:t>Restricted Period</w:t>
      </w:r>
      <w:r>
        <w:rPr>
          <w:rFonts w:ascii="Times New Roman" w:hAnsi="Times New Roman"/>
          <w:sz w:val="20"/>
        </w:rPr>
        <w:t>) relating to the Public Offering (the </w:t>
      </w:r>
      <w:r>
        <w:rPr>
          <w:rFonts w:ascii="Times New Roman" w:hAnsi="Times New Roman"/>
          <w:b/>
          <w:sz w:val="20"/>
        </w:rPr>
        <w:t>Prospectus</w:t>
      </w:r>
      <w:r>
        <w:rPr>
          <w:rFonts w:ascii="Times New Roman" w:hAnsi="Times New Roman"/>
          <w:sz w:val="20"/>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Times New Roman" w:hAnsi="Times New Roman"/>
          <w:b/>
          <w:sz w:val="20"/>
        </w:rPr>
        <w:t>Exchange Act</w:t>
      </w:r>
      <w:r>
        <w:rPr>
          <w:rFonts w:ascii="Times New Roman" w:hAnsi="Times New Roman"/>
          <w:sz w:val="20"/>
        </w:rPr>
        <w:t>)), by the undersigned or any other securities so owned convertible into or exercisable or exchangeable for Common Stock (collectively, the </w:t>
      </w:r>
      <w:r>
        <w:rPr>
          <w:rFonts w:ascii="Times New Roman" w:hAnsi="Times New Roman"/>
          <w:b/>
          <w:sz w:val="20"/>
        </w:rPr>
        <w:t>Securities</w:t>
      </w:r>
      <w:r>
        <w:rPr>
          <w:rFonts w:ascii="Times New Roman" w:hAnsi="Times New Roman"/>
          <w:sz w:val="20"/>
        </w:rPr>
        <w:t xml:space="preserve">)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undersigned acknowledges and agrees that the foregoing precludes the undersigned from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engaging in any hedging or other transaction designed or intended, or which could reasonably be expected to lead to or result in, a sale or disposition of any shares of Common Stock, or any securities convertible into or exercisable or exchangeable for Common Stock, even if any such sale or disposition transaction or transactions would be made or executed by or on behalf of someone other than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sentence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(a) transactions relating to shares of Common Stock or other Securities acquired in the Public Offering or in open market transactions after the completion of the Public Offering, </w:t>
      </w:r>
      <w:r>
        <w:rPr>
          <w:rFonts w:ascii="Times New Roman" w:hAnsi="Times New Roman"/>
          <w:i/>
          <w:sz w:val="20"/>
        </w:rPr>
        <w:t>provided</w:t>
      </w:r>
      <w:r>
        <w:rPr>
          <w:rFonts w:ascii="Times New Roman" w:hAnsi="Times New Roman"/>
          <w:sz w:val="20"/>
        </w:rPr>
        <w:t xml:space="preserve"> that no public announcement or filing under Section 16(a) of the Exchange Act, or any other public filing or disclosure, reporting a reduction in beneficial ownership of shares, shall be required or shall be voluntarily made during the Restricted Period in connection with subsequent sales of Common Stock or other Securities acquired in the Public Offering or in such open market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transfers of shares of Common Stock or any Security (i) as a bona fide gift or charitable contribution in a transaction exempt under Section 16(b) of the Exchange Act; (ii) by will or intestate succession upon the death of the undersigned, including to the transferees nominee or custodian; or (iii) to an immediate family member or any trust for the direct or indirect benefit of the undersigned or the immediate family of the undersigned (for purposes of this Lock-Up Agreement, immediate family shall mean any relationship by blood, marriage or adoption, not more remote than first cousin); </w:t>
      </w:r>
    </w:p>
    <w:p>
      <w:pPr>
        <w:pStyle w:val="TextBody"/>
        <w:bidi w:val="0"/>
        <w:spacing w:before="240" w:after="0"/>
        <w:jc w:val="left"/>
        <w:rPr>
          <w:rFonts w:ascii="Times New Roman" w:hAnsi="Times New Roman"/>
          <w:sz w:val="20"/>
        </w:rPr>
      </w:pPr>
      <w:r>
        <w:rPr>
          <w:rFonts w:ascii="Times New Roman" w:hAnsi="Times New Roman"/>
          <w:sz w:val="20"/>
        </w:rPr>
        <w:t xml:space="preserve">(c) transfers or distributions of shares of Common Stock or any other Securities by a stockholder that is a trust to a trustor or beneficiary of the trust or to the estate of a beneficiary of such trust; </w:t>
      </w:r>
    </w:p>
    <w:p>
      <w:pPr>
        <w:pStyle w:val="TextBody"/>
        <w:bidi w:val="0"/>
        <w:spacing w:before="240" w:after="0"/>
        <w:jc w:val="left"/>
        <w:rPr>
          <w:rFonts w:ascii="Times New Roman" w:hAnsi="Times New Roman"/>
          <w:sz w:val="20"/>
        </w:rPr>
      </w:pPr>
      <w:r>
        <w:rPr>
          <w:rFonts w:ascii="Times New Roman" w:hAnsi="Times New Roman"/>
          <w:sz w:val="20"/>
        </w:rPr>
        <w:t xml:space="preserve">(d) if the undersigned is a corporation, partnership, limited liability company, trust or other business entity, (1) distributions of shares of Common Stock or other Securities to limited partners, members, stockholders or holders of similar equity interests in the undersigned (or in each case its nominee or custodian) or (2) transfers of shares of Common Stock or other Securities to another corporation, partnership, limited liability company, trust or other business entity (or in each case its nominee or custodian) that is an affiliate (as defined in Rule 405 promulgated under the Securities Act of 1933, as amended) of the undersigned, or to any investment fund or other entity controlled or managed by the undersigned or affiliates of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(e) to transfers of shares of Common Stock or other Securities by operation of law pursuant to a qualified domestic order or in connection with a divorce settlement; </w:t>
      </w:r>
      <w:r>
        <w:rPr>
          <w:rFonts w:ascii="Times New Roman" w:hAnsi="Times New Roman"/>
          <w:i/>
          <w:sz w:val="20"/>
        </w:rPr>
        <w:t>provided</w:t>
      </w:r>
      <w:r>
        <w:rPr>
          <w:rFonts w:ascii="Times New Roman" w:hAnsi="Times New Roman"/>
          <w:sz w:val="20"/>
        </w:rPr>
        <w:t xml:space="preserve"> that any filing required by Section 16 of the Exchange Act shall clearly indicate in the footnotes thereto that such transfer is being made pursuant to the circumstances described in this clause (e); </w:t>
      </w:r>
      <w:r>
        <w:rPr>
          <w:rFonts w:ascii="Times New Roman" w:hAnsi="Times New Roman"/>
          <w:i/>
          <w:sz w:val="20"/>
        </w:rPr>
        <w:t>provided further</w:t>
      </w:r>
      <w:r>
        <w:rPr>
          <w:rFonts w:ascii="Times New Roman" w:hAnsi="Times New Roman"/>
          <w:sz w:val="20"/>
        </w:rPr>
        <w:t xml:space="preserve"> that no other public announcement or filing shall be voluntarily made during the Restricted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 (1) the receipt by the undersigned from the Company of shares of Common Stock upon the exercise, vesting or settlement of options, restricted stock units or other equity awards granted under a stock incentive plan or other equity award plan, which plan is described in the registration statement related to the Public Offering (the </w:t>
      </w:r>
      <w:r>
        <w:rPr>
          <w:rFonts w:ascii="Times New Roman" w:hAnsi="Times New Roman"/>
          <w:b/>
          <w:sz w:val="20"/>
        </w:rPr>
        <w:t>Registration Statement</w:t>
      </w:r>
      <w:r>
        <w:rPr>
          <w:rFonts w:ascii="Times New Roman" w:hAnsi="Times New Roman"/>
          <w:sz w:val="20"/>
        </w:rPr>
        <w:t xml:space="preserve">), the Time of Sale Prospectus (as defined in the Underwriting Agreement) and the Prospectus, (2) the transfer or disposition of shares of Common Stock or any Securities upon a vesting or settlement event of the Companys restricted stock units or other securities or upon the exercise of any warrant or options to purchase the Companys securities on a cashless or net exercise basis to the extent permitted by the instruments (and any transfer to the Company necessary in respect of such amount needed for the payment of taxes, including estimated taxes and withholding tax and remittance obligations, due as a result of such vesting, settlement or exercise whether by means of a net settlement or otherwise) so long as such vesting, settlement, cashless exercise or net exercise is effected solely by the surrender of outstanding options (or the Common Stock issuable upon the exercise thereof) or shares of Common Stock to the Company and the Companys cancellation of all or a portion thereof to pay the exercise price and/or withholding tax and remittance obligations in connection with the vesting, settlement or exercise of the restricted stock unit, option or other equity award, or (3) the transfer or disposition of shares of Common Stock or any Securities in connection with the vesting or settlement of restricted stock units, for the payment of tax withholdings or remittance payments due as a result of the vesting or settlement of such restricted stock units, in all such cases, pursuant to equity awards granted under a stock incentive plan or other equity award plan; </w:t>
      </w:r>
      <w:r>
        <w:rPr>
          <w:rFonts w:ascii="Times New Roman" w:hAnsi="Times New Roman"/>
          <w:i/>
          <w:sz w:val="20"/>
        </w:rPr>
        <w:t>provided</w:t>
      </w:r>
      <w:r>
        <w:rPr>
          <w:rFonts w:ascii="Times New Roman" w:hAnsi="Times New Roman"/>
          <w:sz w:val="20"/>
        </w:rPr>
        <w:t xml:space="preserve"> (yy) that the shares received upon vesting, settlement or exercise of the restricted stock unit, option or other equity award are subject to this Lock-Up Agreement, and (zz) that no public announcement or filing shall be voluntarily made by or on behalf of the undersigned during the Restricted Period, and any filing under Section 16 of the Exchange Act reporting a reduction in beneficial ownership of Common Stock that is required to be made during the Restricted Period shall include a statement to the effect that such transaction reflects the circumstances described in (1), (2) or (3), as the case may be; </w:t>
      </w:r>
    </w:p>
    <w:p>
      <w:pPr>
        <w:pStyle w:val="TextBody"/>
        <w:bidi w:val="0"/>
        <w:spacing w:before="240" w:after="0"/>
        <w:jc w:val="left"/>
        <w:rPr>
          <w:rFonts w:ascii="Times New Roman" w:hAnsi="Times New Roman"/>
          <w:sz w:val="20"/>
        </w:rPr>
      </w:pPr>
      <w:r>
        <w:rPr>
          <w:rFonts w:ascii="Times New Roman" w:hAnsi="Times New Roman"/>
          <w:sz w:val="20"/>
        </w:rPr>
        <w:t>(g) transfers or dispositions of shares of Common Stock or any Security to the Company pursuant to any contractual arrangement in effect on the date of this agreement and disclosed to the Underwriters in writing that provides for the repurchase by the Company of the undersigneds Common Stock or other Securities pursuant to a repurchase right arising in connection with the termination of the undersigneds employment with or service to the Company; </w:t>
      </w:r>
      <w:r>
        <w:rPr>
          <w:rFonts w:ascii="Times New Roman" w:hAnsi="Times New Roman"/>
          <w:i/>
          <w:sz w:val="20"/>
        </w:rPr>
        <w:t>provided</w:t>
      </w:r>
      <w:r>
        <w:rPr>
          <w:rFonts w:ascii="Times New Roman" w:hAnsi="Times New Roman"/>
          <w:sz w:val="20"/>
        </w:rPr>
        <w:t xml:space="preserve"> that any filing under Section 16 of the Exchange Act reporting a reduction in beneficial ownership of Common Stock shall indicate by footnote disclosure or otherwise the nature of the transfer or disposition pursuant to circumstances described in this clause; </w:t>
      </w:r>
      <w:r>
        <w:rPr>
          <w:rFonts w:ascii="Times New Roman" w:hAnsi="Times New Roman"/>
          <w:i/>
          <w:sz w:val="20"/>
        </w:rPr>
        <w:t>provided further</w:t>
      </w:r>
      <w:r>
        <w:rPr>
          <w:rFonts w:ascii="Times New Roman" w:hAnsi="Times New Roman"/>
          <w:sz w:val="20"/>
        </w:rPr>
        <w:t xml:space="preserve"> that no other public announcement or filing shall be required or shall be voluntarily made during the Restricted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to transfers of shares of Common Stock or other Securities pursuant to a bona fide third-party tender offer, merger, consolidation or other similar transaction involving a Change of Control (as defined below) of the Company which occurs after the consummation of the Public Offering, is open to all holders of the Companys Common Stock and that is approved by the Board of Directors of the Company; </w:t>
      </w:r>
      <w:r>
        <w:rPr>
          <w:rFonts w:ascii="Times New Roman" w:hAnsi="Times New Roman"/>
          <w:i/>
          <w:sz w:val="20"/>
        </w:rPr>
        <w:t>provided</w:t>
      </w:r>
      <w:r>
        <w:rPr>
          <w:rFonts w:ascii="Times New Roman" w:hAnsi="Times New Roman"/>
          <w:sz w:val="20"/>
        </w:rPr>
        <w:t xml:space="preserve"> that in the event that such tender offer, merger, consolidation or other such transaction is not completed, the Securities held by the undersigned shall remain subject to the provisions of this Lock-Up agreement (for purposes of this clause (h), </w:t>
      </w:r>
      <w:r>
        <w:rPr>
          <w:rFonts w:ascii="Times New Roman" w:hAnsi="Times New Roman"/>
          <w:b/>
          <w:sz w:val="20"/>
        </w:rPr>
        <w:t>Change of Control</w:t>
      </w:r>
      <w:r>
        <w:rPr>
          <w:rFonts w:ascii="Times New Roman" w:hAnsi="Times New Roman"/>
          <w:sz w:val="20"/>
        </w:rPr>
        <w:t xml:space="preserve"> shall mean the consummation of any bona fide third party tender offer, merger, consolidation or other similar transaction, the result of which is that any person (as defined in Section 13(d)(3) of the Exchange Act), or group of persons, other than the Company, becomes the beneficial owner (as defined in Rules 13d-3 and 13d-5 of the Exchange Act) of more than 50% of the total voting power of the voting stock of the Company (or the surviving entity)); </w:t>
      </w:r>
    </w:p>
    <w:p>
      <w:pPr>
        <w:pStyle w:val="TextBody"/>
        <w:bidi w:val="0"/>
        <w:spacing w:before="240" w:after="0"/>
        <w:jc w:val="left"/>
        <w:rPr>
          <w:rFonts w:ascii="Times New Roman" w:hAnsi="Times New Roman"/>
          <w:sz w:val="20"/>
        </w:rPr>
      </w:pPr>
      <w:r>
        <w:rPr>
          <w:rFonts w:ascii="Times New Roman" w:hAnsi="Times New Roman"/>
          <w:sz w:val="20"/>
        </w:rPr>
        <w:t>(i) facilitating the establishment of a trading plan pursuant to Rule 10b5-1 under the Exchange Act for the transfer of shares of Common Stock (a </w:t>
      </w:r>
      <w:r>
        <w:rPr>
          <w:rFonts w:ascii="Times New Roman" w:hAnsi="Times New Roman"/>
          <w:b/>
          <w:sz w:val="20"/>
        </w:rPr>
        <w:t>10b5-1 Trading Plan</w:t>
      </w:r>
      <w:r>
        <w:rPr>
          <w:rFonts w:ascii="Times New Roman" w:hAnsi="Times New Roman"/>
          <w:sz w:val="20"/>
        </w:rPr>
        <w:t xml:space="preserve">), provided that (i) such plan does not provide for the transfer of Common Stock during the Restricted Period; (ii) no public announcement, report, or filing under the Exchange Act, or any public filing, report or announcement, shall be voluntarily made regarding the establishment or amendment of such plan during the Restricted Period and (iii) to the extent a public announcement or filing under the Exchange Act, if any, is required of the undersigned or the Company regarding the establishment of such plan during the Restricted Period, such announcement or filing shall include a statement to the effect that no transfer of Common Stock may be made under such plan during the Restricted Period; or </w:t>
      </w:r>
    </w:p>
    <w:p>
      <w:pPr>
        <w:pStyle w:val="TextBody"/>
        <w:bidi w:val="0"/>
        <w:spacing w:before="240" w:after="0"/>
        <w:jc w:val="left"/>
        <w:rPr>
          <w:rFonts w:ascii="Times New Roman" w:hAnsi="Times New Roman"/>
          <w:sz w:val="20"/>
        </w:rPr>
      </w:pPr>
      <w:r>
        <w:rPr>
          <w:rFonts w:ascii="Times New Roman" w:hAnsi="Times New Roman"/>
          <w:sz w:val="20"/>
        </w:rPr>
        <w:t xml:space="preserve">(j) the sale of shares of Common Stock pursuant to a 10b5-1 Trading Plan (provided that such plan was established prior to the execution of this agreement by the undersigned), </w:t>
      </w:r>
      <w:r>
        <w:rPr>
          <w:rFonts w:ascii="Times New Roman" w:hAnsi="Times New Roman"/>
          <w:i/>
          <w:sz w:val="20"/>
        </w:rPr>
        <w:t>provided</w:t>
      </w:r>
      <w:r>
        <w:rPr>
          <w:rFonts w:ascii="Times New Roman" w:hAnsi="Times New Roman"/>
          <w:sz w:val="20"/>
        </w:rPr>
        <w:t xml:space="preserve"> that any filing under Section 16(a) of the Exchange Act that is made in connection with any such sales during the Restricted Period shall state that such sales have been executed under a 10b5-1 Trading Plan and shall also state the date such 10b5-1 Trading Plan was adopted;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in the case of any transfer or distribution pursuant to clauses (b), (c), and (d) above, each donee, trustee, transferee or distributee shall sign and deliver a lock-up agreement to the Representatives substantially in the form of this Lock-Up Agreement; </w:t>
      </w:r>
    </w:p>
    <w:p>
      <w:pPr>
        <w:pStyle w:val="TextBody"/>
        <w:bidi w:val="0"/>
        <w:spacing w:before="240" w:after="0"/>
        <w:jc w:val="left"/>
        <w:rPr>
          <w:rFonts w:ascii="Times New Roman" w:hAnsi="Times New Roman"/>
          <w:sz w:val="20"/>
        </w:rPr>
      </w:pPr>
      <w:r>
        <w:rPr>
          <w:rFonts w:ascii="Times New Roman" w:hAnsi="Times New Roman"/>
          <w:i/>
          <w:sz w:val="20"/>
        </w:rPr>
        <w:t xml:space="preserve">provided further </w:t>
      </w:r>
      <w:r>
        <w:rPr>
          <w:rFonts w:ascii="Times New Roman" w:hAnsi="Times New Roman"/>
          <w:sz w:val="20"/>
        </w:rPr>
        <w:t xml:space="preserve">that in the case of any transfer or distribution pursuant to clauses (b), (c), (d) and (h) above, no filing under Section 16 of the Exchange Act, reporting a reduction in beneficial ownership of shares of Common Stock and no other public announcement or filing shall be required or shall be voluntarily made during the Restricted Period (other than a filing in the case of a transfer pursuant to clause (b)(i) required pursuant to Section 16(a) of the Exchange Act; </w:t>
      </w:r>
      <w:r>
        <w:rPr>
          <w:rFonts w:ascii="Times New Roman" w:hAnsi="Times New Roman"/>
          <w:i/>
          <w:sz w:val="20"/>
        </w:rPr>
        <w:t xml:space="preserve">provided </w:t>
      </w:r>
      <w:r>
        <w:rPr>
          <w:rFonts w:ascii="Times New Roman" w:hAnsi="Times New Roman"/>
          <w:sz w:val="20"/>
        </w:rPr>
        <w:t xml:space="preserve">that any such filing shall state that such transfer is a bona fide gift and that such shares remain subject to the restrictions set forth herein); </w:t>
      </w:r>
    </w:p>
    <w:p>
      <w:pPr>
        <w:pStyle w:val="TextBody"/>
        <w:bidi w:val="0"/>
        <w:spacing w:before="240" w:after="0"/>
        <w:jc w:val="left"/>
        <w:rPr>
          <w:rFonts w:ascii="Times New Roman" w:hAnsi="Times New Roman"/>
          <w:sz w:val="20"/>
        </w:rPr>
      </w:pPr>
      <w:r>
        <w:rPr>
          <w:rFonts w:ascii="Times New Roman" w:hAnsi="Times New Roman"/>
          <w:i/>
          <w:sz w:val="20"/>
        </w:rPr>
        <w:t xml:space="preserve">provided further </w:t>
      </w:r>
      <w:r>
        <w:rPr>
          <w:rFonts w:ascii="Times New Roman" w:hAnsi="Times New Roman"/>
          <w:sz w:val="20"/>
        </w:rPr>
        <w:t xml:space="preserve">that in the case of any transfer or distribution pursuant to clauses (b), (c), (d) and (e) above, such transfer or distribution shall not involve a disposition for value;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 xml:space="preserve">provided further </w:t>
      </w:r>
      <w:r>
        <w:rPr>
          <w:rFonts w:ascii="Times New Roman" w:hAnsi="Times New Roman"/>
          <w:sz w:val="20"/>
        </w:rPr>
        <w:t xml:space="preserve">that in the event of any transfer or distribution for which a public filing under Section 16 of the Exchange Act or any other public filing or announcement is permitted hereunder, the undersigned covenants and agrees to use commercially reasonable efforts to give the Representatives written notice at least one business day (which, for the avoidance of doubt, shall be at least a twenty-four (24) hour period) before such filing or announcement.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undersigned agrees that, without the prior written consent of the Representatives on behalf of the Underwriters, it will not, during the Restricted Period, make any demand for or exercise any right with respect to, the registration of any shares of Common Stock or other Securities. The undersigned also agrees and consents to the entry of stop transfer instructions with the Companys transfer agent and registrar against the transfer of the undersigneds shares of Common Stock except in compliance with the foregoing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agrees that, to the extent that the terms of this Lock-Up Agreement conflict with or are in any way inconsistent with any prior investor rights agreement, prior registration rights agreement, prior market standoff agreement or any other prior lock-up or similar prior agreement to which the undersigned and the Company may be a party, this Lock-Up Agreement supersedes such prior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and agrees that the Underwriters have not provided any recommendation or investment advice nor have the Underwriters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Shares at the price determined in the Public Offering, and nothing set forth in such disclosures or documentation is intended to suggest that any Underwriter is making such a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herein, this agreement will automatically terminate and the undersigned will be released from all of his, her or its obligations hereunder upon the earliest to occur, if any, of (i) the date that the Company, on the one hand, or the Representatives, on the other hand, advises in writing prior to the execution of the Underwriting Agreement, that it has determined not to proceed with the Public Offering, (ii) the date that the Company withdraws the Registration Statement related to the Public Offering before the execution of the Underwriting Agreement, (iii) the date that the Underwriting Agreement is executed but is terminated (other than the provisions thereof which survive termination) prior to payment for and delivery of the Shares to be sold thereunder or (iv) March 25, 2025 in the event that the Underwriting Agreement has not been executed by such date, provided that the Company may by written notice to the undersigned prior to March 25, 2025, extend such date for a period of up to an additional three months.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hereby waives any and all notice requirements and rights with respect to the registration of securities pursuant to any agreement, understanding or anything otherwise setting forth the terms of any security of the Company held by the undersigned, including any registration rights agreement to which the undersigned and the Company may be a party; provided, however, that such waiver shall apply only to the proposed Public Offering, any other action taken by the Company in connection with the proposed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and the Representatives hereby consent to receipt of this agreement in electronic form and understand and agree that this agreement may be signed electronically. In the event that any signature is delivered by facsimile transmission, electronic mail, or otherwise by electronic transmission evidencing an intent to sign this agreement (including any electronic signature complying with the U.S. federal ESIGN Act of 2000, e.g., www.docusign.com), such facsimile transmission, electronic mail or other electronic transmission shall create a valid and binding obligation of the undersigned with the same force and effect as if such signature were an original. Execution and delivery of this agreement by facsimile transmission, electronic mail or other electronic transmission is legal, valid and binding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the Public Offering actually occurs depends on a number of factors, including market conditions. Any Public Offering will only be made pursuant to an Underwriting Agreement, the terms of which are subject to negotiation between the Company and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be governed by and construed in accordance with the laws of the State of New York.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68"/>
        <w:gridCol w:w="108"/>
        <w:gridCol w:w="4486"/>
        <w:gridCol w:w="108"/>
        <w:gridCol w:w="389"/>
        <w:gridCol w:w="60"/>
        <w:gridCol w:w="23"/>
        <w:gridCol w:w="108"/>
        <w:gridCol w:w="4555"/>
      </w:tblGrid>
      <w:tr>
        <w:trPr/>
        <w:tc>
          <w:tcPr>
            <w:tcW w:w="36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555"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vAlign w:val="bottom"/>
          </w:tcPr>
          <w:p>
            <w:pPr>
              <w:pStyle w:val="TableContents"/>
              <w:bidi w:val="0"/>
              <w:spacing w:before="0" w:after="283"/>
              <w:jc w:val="left"/>
              <w:rPr>
                <w:b/>
              </w:rPr>
            </w:pPr>
            <w:r>
              <w:rPr>
                <w:b/>
              </w:rPr>
              <w:t>IF AN INDIVIDUAL:</w:t>
            </w:r>
          </w:p>
        </w:tc>
        <w:tc>
          <w:tcPr>
            <w:tcW w:w="108"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b/>
              </w:rPr>
            </w:pPr>
            <w:r>
              <w:rPr>
                <w:b/>
              </w:rPr>
              <w:t>IF AN ENTITY:</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4594" w:type="dxa"/>
            <w:gridSpan w:val="2"/>
            <w:tcBorders/>
            <w:vAlign w:val="center"/>
          </w:tcPr>
          <w:p>
            <w:pPr>
              <w:pStyle w:val="TableContents"/>
              <w:bidi w:val="0"/>
              <w:spacing w:before="0" w:after="283"/>
              <w:jc w:val="left"/>
              <w:rPr>
                <w:sz w:val="4"/>
                <w:szCs w:val="4"/>
              </w:rPr>
            </w:pPr>
            <w:r>
              <w:rPr>
                <w:sz w:val="4"/>
                <w:szCs w:val="4"/>
              </w:rPr>
            </w:r>
          </w:p>
        </w:tc>
        <w:tc>
          <w:tcPr>
            <w:tcW w:w="497"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663" w:type="dxa"/>
            <w:gridSpan w:val="2"/>
            <w:tcBorders/>
            <w:vAlign w:val="center"/>
          </w:tcPr>
          <w:p>
            <w:pPr>
              <w:pStyle w:val="TableContents"/>
              <w:bidi w:val="0"/>
              <w:spacing w:before="0" w:after="283"/>
              <w:jc w:val="left"/>
              <w:rPr>
                <w:sz w:val="4"/>
                <w:szCs w:val="4"/>
              </w:rPr>
            </w:pPr>
            <w:r>
              <w:rPr>
                <w:sz w:val="4"/>
                <w:szCs w:val="4"/>
              </w:rPr>
            </w:r>
          </w:p>
        </w:tc>
      </w:tr>
      <w:tr>
        <w:trPr/>
        <w:tc>
          <w:tcPr>
            <w:tcW w:w="368" w:type="dxa"/>
            <w:tcBorders/>
            <w:vAlign w:val="bottom"/>
          </w:tcPr>
          <w:p>
            <w:pPr>
              <w:pStyle w:val="TableContents"/>
              <w:bidi w:val="0"/>
              <w:spacing w:before="0" w:after="283"/>
              <w:jc w:val="left"/>
              <w:rPr/>
            </w:pPr>
            <w:r>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486" w:type="dxa"/>
            <w:tcBorders>
              <w:bottom w:val="single" w:sz="2" w:space="0" w:color="000000"/>
            </w:tcBorders>
            <w:tcMar>
              <w:bottom w:w="28" w:type="dxa"/>
            </w:tcMar>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55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368"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486"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(duly authorized signature)</w:t>
            </w:r>
          </w:p>
        </w:tc>
        <w:tc>
          <w:tcPr>
            <w:tcW w:w="108"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i/>
              </w:rPr>
            </w:pPr>
            <w:r>
              <w:rPr>
                <w:i/>
              </w:rPr>
              <w:t>(please print complete name of entity)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01"/>
        <w:gridCol w:w="108"/>
        <w:gridCol w:w="4170"/>
        <w:gridCol w:w="108"/>
        <w:gridCol w:w="389"/>
        <w:gridCol w:w="108"/>
        <w:gridCol w:w="351"/>
        <w:gridCol w:w="108"/>
        <w:gridCol w:w="4262"/>
      </w:tblGrid>
      <w:tr>
        <w:trPr/>
        <w:tc>
          <w:tcPr>
            <w:tcW w:w="60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17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262" w:type="dxa"/>
            <w:tcBorders/>
            <w:vAlign w:val="center"/>
          </w:tcPr>
          <w:p>
            <w:pPr>
              <w:pStyle w:val="TableContents"/>
              <w:bidi w:val="0"/>
              <w:spacing w:before="0" w:after="283"/>
              <w:jc w:val="left"/>
              <w:rPr>
                <w:sz w:val="4"/>
                <w:szCs w:val="4"/>
              </w:rPr>
            </w:pPr>
            <w:r>
              <w:rPr>
                <w:sz w:val="4"/>
                <w:szCs w:val="4"/>
              </w:rPr>
            </w:r>
          </w:p>
        </w:tc>
      </w:tr>
      <w:tr>
        <w:trPr/>
        <w:tc>
          <w:tcPr>
            <w:tcW w:w="601" w:type="dxa"/>
            <w:tcBorders/>
            <w:vAlign w:val="bottom"/>
          </w:tcPr>
          <w:p>
            <w:pPr>
              <w:pStyle w:val="TableContents"/>
              <w:bidi w:val="0"/>
              <w:spacing w:before="0" w:after="283"/>
              <w:jc w:val="left"/>
              <w:rPr/>
            </w:pPr>
            <w:r>
              <w:rPr/>
              <w:t>Name:</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170" w:type="dxa"/>
            <w:tcBorders>
              <w:bottom w:val="single" w:sz="2" w:space="0" w:color="000000"/>
            </w:tcBorders>
            <w:tcMar>
              <w:bottom w:w="28" w:type="dxa"/>
            </w:tcMar>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262"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01"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170"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(please print full name)</w:t>
            </w:r>
          </w:p>
        </w:tc>
        <w:tc>
          <w:tcPr>
            <w:tcW w:w="108"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262" w:type="dxa"/>
            <w:tcBorders/>
            <w:vAlign w:val="bottom"/>
          </w:tcPr>
          <w:p>
            <w:pPr>
              <w:pStyle w:val="TableContents"/>
              <w:bidi w:val="0"/>
              <w:spacing w:before="0" w:after="283"/>
              <w:jc w:val="left"/>
              <w:rPr>
                <w:i/>
              </w:rPr>
            </w:pPr>
            <w:r>
              <w:rPr>
                <w:i/>
              </w:rPr>
              <w:t>(duly authorized signature)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41"/>
        <w:gridCol w:w="110"/>
        <w:gridCol w:w="3942"/>
        <w:gridCol w:w="110"/>
        <w:gridCol w:w="398"/>
        <w:gridCol w:w="110"/>
        <w:gridCol w:w="614"/>
        <w:gridCol w:w="110"/>
        <w:gridCol w:w="4070"/>
      </w:tblGrid>
      <w:tr>
        <w:trPr/>
        <w:tc>
          <w:tcPr>
            <w:tcW w:w="741"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942"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74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3942"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pPr>
            <w:r>
              <w:rPr/>
              <w:t>Name:</w:t>
            </w:r>
          </w:p>
        </w:tc>
        <w:tc>
          <w:tcPr>
            <w:tcW w:w="110" w:type="dxa"/>
            <w:tcBorders>
              <w:bottom w:val="single" w:sz="2" w:space="0" w:color="000000"/>
            </w:tcBorders>
            <w:tcMar>
              <w:bottom w:w="28" w:type="dxa"/>
            </w:tcMar>
            <w:vAlign w:val="bottom"/>
          </w:tcPr>
          <w:p>
            <w:pPr>
              <w:pStyle w:val="TableContents"/>
              <w:bidi w:val="0"/>
              <w:spacing w:before="0" w:after="283"/>
              <w:jc w:val="left"/>
              <w:rPr/>
            </w:pPr>
            <w:r>
              <w:rPr/>
              <w:t> </w:t>
            </w:r>
          </w:p>
        </w:tc>
        <w:tc>
          <w:tcPr>
            <w:tcW w:w="4070"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41"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42"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070"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(please print full name)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32"/>
        <w:gridCol w:w="107"/>
        <w:gridCol w:w="4104"/>
        <w:gridCol w:w="107"/>
        <w:gridCol w:w="402"/>
        <w:gridCol w:w="107"/>
        <w:gridCol w:w="457"/>
        <w:gridCol w:w="107"/>
        <w:gridCol w:w="4182"/>
      </w:tblGrid>
      <w:tr>
        <w:trPr/>
        <w:tc>
          <w:tcPr>
            <w:tcW w:w="63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104"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182" w:type="dxa"/>
            <w:tcBorders/>
            <w:vAlign w:val="center"/>
          </w:tcPr>
          <w:p>
            <w:pPr>
              <w:pStyle w:val="TableContents"/>
              <w:bidi w:val="0"/>
              <w:spacing w:before="0" w:after="283"/>
              <w:jc w:val="left"/>
              <w:rPr>
                <w:sz w:val="4"/>
                <w:szCs w:val="4"/>
              </w:rPr>
            </w:pPr>
            <w:r>
              <w:rPr>
                <w:sz w:val="4"/>
                <w:szCs w:val="4"/>
              </w:rPr>
            </w:r>
          </w:p>
        </w:tc>
      </w:tr>
      <w:tr>
        <w:trPr/>
        <w:tc>
          <w:tcPr>
            <w:tcW w:w="632"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104"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Title:</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4182"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32"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4104"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182"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(please print full title)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27"/>
        <w:gridCol w:w="108"/>
        <w:gridCol w:w="3739"/>
        <w:gridCol w:w="108"/>
        <w:gridCol w:w="635"/>
        <w:gridCol w:w="108"/>
        <w:gridCol w:w="828"/>
        <w:gridCol w:w="108"/>
        <w:gridCol w:w="3744"/>
      </w:tblGrid>
      <w:tr>
        <w:trPr/>
        <w:tc>
          <w:tcPr>
            <w:tcW w:w="827"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73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744" w:type="dxa"/>
            <w:tcBorders/>
            <w:vAlign w:val="center"/>
          </w:tcPr>
          <w:p>
            <w:pPr>
              <w:pStyle w:val="TableContents"/>
              <w:bidi w:val="0"/>
              <w:spacing w:before="0" w:after="283"/>
              <w:jc w:val="left"/>
              <w:rPr>
                <w:sz w:val="4"/>
                <w:szCs w:val="4"/>
              </w:rPr>
            </w:pPr>
            <w:r>
              <w:rPr>
                <w:sz w:val="4"/>
                <w:szCs w:val="4"/>
              </w:rPr>
            </w:r>
          </w:p>
        </w:tc>
      </w:tr>
      <w:tr>
        <w:trPr/>
        <w:tc>
          <w:tcPr>
            <w:tcW w:w="827" w:type="dxa"/>
            <w:tcBorders/>
            <w:vAlign w:val="bottom"/>
          </w:tcPr>
          <w:p>
            <w:pPr>
              <w:pStyle w:val="TableContents"/>
              <w:bidi w:val="0"/>
              <w:spacing w:before="0" w:after="283"/>
              <w:jc w:val="left"/>
              <w:rPr/>
            </w:pPr>
            <w:r>
              <w:rPr/>
              <w:t>Address:</w:t>
            </w:r>
          </w:p>
        </w:tc>
        <w:tc>
          <w:tcPr>
            <w:tcW w:w="108" w:type="dxa"/>
            <w:tcBorders/>
            <w:vAlign w:val="bottom"/>
          </w:tcPr>
          <w:p>
            <w:pPr>
              <w:pStyle w:val="TableContents"/>
              <w:bidi w:val="0"/>
              <w:spacing w:before="0" w:after="283"/>
              <w:jc w:val="left"/>
              <w:rPr/>
            </w:pPr>
            <w:r>
              <w:rPr/>
              <w:t> </w:t>
            </w:r>
          </w:p>
        </w:tc>
        <w:tc>
          <w:tcPr>
            <w:tcW w:w="3739"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left"/>
              <w:rPr/>
            </w:pPr>
            <w:r>
              <w:rPr/>
              <w:t>Address:</w:t>
            </w:r>
          </w:p>
        </w:tc>
        <w:tc>
          <w:tcPr>
            <w:tcW w:w="108" w:type="dxa"/>
            <w:tcBorders/>
            <w:vAlign w:val="bottom"/>
          </w:tcPr>
          <w:p>
            <w:pPr>
              <w:pStyle w:val="TableContents"/>
              <w:bidi w:val="0"/>
              <w:spacing w:before="0" w:after="283"/>
              <w:jc w:val="left"/>
              <w:rPr/>
            </w:pPr>
            <w:r>
              <w:rPr/>
              <w:t> </w:t>
            </w:r>
          </w:p>
        </w:tc>
        <w:tc>
          <w:tcPr>
            <w:tcW w:w="374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
        <w:gridCol w:w="100"/>
        <w:gridCol w:w="4592"/>
        <w:gridCol w:w="101"/>
        <w:gridCol w:w="612"/>
        <w:gridCol w:w="60"/>
        <w:gridCol w:w="23"/>
        <w:gridCol w:w="101"/>
        <w:gridCol w:w="4593"/>
      </w:tblGrid>
      <w:tr>
        <w:trPr/>
        <w:tc>
          <w:tcPr>
            <w:tcW w:w="23"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459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93" w:type="dxa"/>
            <w:tcBorders/>
            <w:vAlign w:val="center"/>
          </w:tcPr>
          <w:p>
            <w:pPr>
              <w:pStyle w:val="TableContents"/>
              <w:bidi w:val="0"/>
              <w:spacing w:before="0" w:after="283"/>
              <w:jc w:val="left"/>
              <w:rPr>
                <w:sz w:val="4"/>
                <w:szCs w:val="4"/>
              </w:rPr>
            </w:pPr>
            <w:r>
              <w:rPr>
                <w:sz w:val="4"/>
                <w:szCs w:val="4"/>
              </w:rPr>
            </w:r>
          </w:p>
        </w:tc>
      </w:tr>
      <w:tr>
        <w:trPr/>
        <w:tc>
          <w:tcPr>
            <w:tcW w:w="4715" w:type="dxa"/>
            <w:gridSpan w:val="3"/>
            <w:tcBorders>
              <w:bottom w:val="single" w:sz="2" w:space="0" w:color="000000"/>
            </w:tcBorders>
            <w:tcMar>
              <w:bottom w:w="28" w:type="dxa"/>
            </w:tcMar>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717" w:type="dxa"/>
            <w:gridSpan w:val="3"/>
            <w:tcBorders>
              <w:bottom w:val="single" w:sz="2" w:space="0" w:color="000000"/>
            </w:tcBorders>
            <w:tcMar>
              <w:bottom w:w="28" w:type="dxa"/>
            </w:tcMar>
            <w:vAlign w:val="bottom"/>
          </w:tcPr>
          <w:p>
            <w:pPr>
              <w:pStyle w:val="TableContents"/>
              <w:bidi w:val="0"/>
              <w:spacing w:before="0" w:after="283"/>
              <w:jc w:val="left"/>
              <w:rPr/>
            </w:pPr>
            <w:r>
              <w:rPr/>
              <w:t> </w:t>
            </w:r>
          </w:p>
        </w:tc>
      </w:tr>
      <w:tr>
        <w:trPr>
          <w:trHeight w:val="240" w:hRule="atLeast"/>
        </w:trPr>
        <w:tc>
          <w:tcPr>
            <w:tcW w:w="4715" w:type="dxa"/>
            <w:gridSpan w:val="3"/>
            <w:tcBorders/>
            <w:vAlign w:val="center"/>
          </w:tcPr>
          <w:p>
            <w:pPr>
              <w:pStyle w:val="TableContents"/>
              <w:bidi w:val="0"/>
              <w:spacing w:before="0" w:after="283"/>
              <w:jc w:val="left"/>
              <w:rPr>
                <w:sz w:val="4"/>
                <w:szCs w:val="4"/>
              </w:rPr>
            </w:pPr>
            <w:r>
              <w:rPr>
                <w:sz w:val="4"/>
                <w:szCs w:val="4"/>
              </w:rPr>
            </w:r>
          </w:p>
        </w:tc>
        <w:tc>
          <w:tcPr>
            <w:tcW w:w="713" w:type="dxa"/>
            <w:gridSpan w:val="2"/>
            <w:tcBorders/>
            <w:vAlign w:val="center"/>
          </w:tcPr>
          <w:p>
            <w:pPr>
              <w:pStyle w:val="TableContents"/>
              <w:bidi w:val="0"/>
              <w:spacing w:before="0" w:after="283"/>
              <w:jc w:val="left"/>
              <w:rPr>
                <w:sz w:val="4"/>
                <w:szCs w:val="4"/>
              </w:rPr>
            </w:pPr>
            <w:r>
              <w:rPr>
                <w:sz w:val="4"/>
                <w:szCs w:val="4"/>
              </w:rPr>
            </w:r>
          </w:p>
        </w:tc>
        <w:tc>
          <w:tcPr>
            <w:tcW w:w="4777" w:type="dxa"/>
            <w:gridSpan w:val="4"/>
            <w:tcBorders/>
            <w:vAlign w:val="center"/>
          </w:tcPr>
          <w:p>
            <w:pPr>
              <w:pStyle w:val="TableContents"/>
              <w:bidi w:val="0"/>
              <w:spacing w:before="0" w:after="283"/>
              <w:jc w:val="left"/>
              <w:rPr>
                <w:sz w:val="4"/>
                <w:szCs w:val="4"/>
              </w:rPr>
            </w:pPr>
            <w:r>
              <w:rPr>
                <w:sz w:val="4"/>
                <w:szCs w:val="4"/>
              </w:rPr>
            </w:r>
          </w:p>
        </w:tc>
      </w:tr>
      <w:tr>
        <w:trPr/>
        <w:tc>
          <w:tcPr>
            <w:tcW w:w="4715" w:type="dxa"/>
            <w:gridSpan w:val="3"/>
            <w:tcBorders>
              <w:bottom w:val="single" w:sz="2" w:space="0" w:color="000000"/>
            </w:tcBorders>
            <w:tcMar>
              <w:bottom w:w="28" w:type="dxa"/>
            </w:tcMar>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sz w:val="4"/>
                <w:szCs w:val="4"/>
              </w:rPr>
            </w:pPr>
            <w:r>
              <w:rPr>
                <w:sz w:val="4"/>
                <w:szCs w:val="4"/>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717" w:type="dxa"/>
            <w:gridSpan w:val="3"/>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72"/>
        <w:gridCol w:w="105"/>
        <w:gridCol w:w="3902"/>
        <w:gridCol w:w="105"/>
        <w:gridCol w:w="628"/>
        <w:gridCol w:w="105"/>
        <w:gridCol w:w="673"/>
        <w:gridCol w:w="105"/>
        <w:gridCol w:w="3910"/>
      </w:tblGrid>
      <w:tr>
        <w:trPr/>
        <w:tc>
          <w:tcPr>
            <w:tcW w:w="672"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902"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910" w:type="dxa"/>
            <w:tcBorders/>
            <w:vAlign w:val="center"/>
          </w:tcPr>
          <w:p>
            <w:pPr>
              <w:pStyle w:val="TableContents"/>
              <w:bidi w:val="0"/>
              <w:spacing w:before="0" w:after="283"/>
              <w:jc w:val="left"/>
              <w:rPr>
                <w:sz w:val="4"/>
                <w:szCs w:val="4"/>
              </w:rPr>
            </w:pPr>
            <w:r>
              <w:rPr>
                <w:sz w:val="4"/>
                <w:szCs w:val="4"/>
              </w:rPr>
            </w:r>
          </w:p>
        </w:tc>
      </w:tr>
      <w:tr>
        <w:trPr/>
        <w:tc>
          <w:tcPr>
            <w:tcW w:w="672" w:type="dxa"/>
            <w:tcBorders/>
            <w:vAlign w:val="bottom"/>
          </w:tcPr>
          <w:p>
            <w:pPr>
              <w:pStyle w:val="TableContents"/>
              <w:bidi w:val="0"/>
              <w:spacing w:before="0" w:after="283"/>
              <w:jc w:val="left"/>
              <w:rPr/>
            </w:pPr>
            <w:r>
              <w:rPr/>
              <w:t>E-mail:</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3902" w:type="dxa"/>
            <w:tcBorders>
              <w:bottom w:val="single" w:sz="2" w:space="0" w:color="000000"/>
            </w:tcBorders>
            <w:tcMar>
              <w:bottom w:w="28" w:type="dxa"/>
            </w:tcMar>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left"/>
              <w:rPr/>
            </w:pPr>
            <w:r>
              <w:rPr/>
              <w:t>E-mail:</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3910"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B-1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Series A Warrant </w:t>
      </w:r>
    </w:p>
    <w:p>
      <w:pPr>
        <w:pStyle w:val="TextBody"/>
        <w:bidi w:val="0"/>
        <w:spacing w:before="120" w:after="0"/>
        <w:jc w:val="center"/>
        <w:rPr>
          <w:rFonts w:ascii="Times New Roman" w:hAnsi="Times New Roman"/>
          <w:b/>
          <w:sz w:val="20"/>
        </w:rPr>
      </w:pPr>
      <w:r>
        <w:rPr>
          <w:rFonts w:ascii="Times New Roman" w:hAnsi="Times New Roman"/>
          <w:b/>
          <w:sz w:val="20"/>
        </w:rPr>
        <w:t xml:space="preserve">TENAYA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SERIES A WARRANT TO PURCHASE COMMON STOCK </w:t>
      </w:r>
    </w:p>
    <w:p>
      <w:pPr>
        <w:pStyle w:val="TextBody"/>
        <w:bidi w:val="0"/>
        <w:spacing w:before="240" w:after="0"/>
        <w:jc w:val="right"/>
        <w:rPr>
          <w:rFonts w:ascii="Times New Roman" w:hAnsi="Times New Roman"/>
          <w:sz w:val="20"/>
        </w:rPr>
      </w:pPr>
      <w:r>
        <w:rPr>
          <w:rFonts w:ascii="Times New Roman" w:hAnsi="Times New Roman"/>
          <w:sz w:val="20"/>
        </w:rPr>
        <w:t xml:space="preserve">Number of Shares: [ ] </w:t>
      </w:r>
    </w:p>
    <w:p>
      <w:pPr>
        <w:pStyle w:val="TextBody"/>
        <w:bidi w:val="0"/>
        <w:spacing w:before="0" w:after="0"/>
        <w:jc w:val="right"/>
        <w:rPr>
          <w:rFonts w:ascii="Times New Roman" w:hAnsi="Times New Roman"/>
          <w:sz w:val="20"/>
        </w:rPr>
      </w:pPr>
      <w:r>
        <w:rPr>
          <w:rFonts w:ascii="Times New Roman" w:hAnsi="Times New Roman"/>
          <w:sz w:val="20"/>
        </w:rPr>
        <w:t xml:space="preserve">(subject to adjustment)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95"/>
        <w:gridCol w:w="121"/>
        <w:gridCol w:w="5289"/>
      </w:tblGrid>
      <w:tr>
        <w:trPr/>
        <w:tc>
          <w:tcPr>
            <w:tcW w:w="47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289" w:type="dxa"/>
            <w:tcBorders/>
            <w:vAlign w:val="center"/>
          </w:tcPr>
          <w:p>
            <w:pPr>
              <w:pStyle w:val="TableContents"/>
              <w:bidi w:val="0"/>
              <w:spacing w:before="0" w:after="283"/>
              <w:jc w:val="left"/>
              <w:rPr>
                <w:sz w:val="4"/>
                <w:szCs w:val="4"/>
              </w:rPr>
            </w:pPr>
            <w:r>
              <w:rPr>
                <w:sz w:val="4"/>
                <w:szCs w:val="4"/>
              </w:rPr>
            </w:r>
          </w:p>
        </w:tc>
      </w:tr>
      <w:tr>
        <w:trPr/>
        <w:tc>
          <w:tcPr>
            <w:tcW w:w="4795" w:type="dxa"/>
            <w:tcBorders/>
          </w:tcPr>
          <w:p>
            <w:pPr>
              <w:pStyle w:val="TableContents"/>
              <w:bidi w:val="0"/>
              <w:spacing w:before="0" w:after="283"/>
              <w:jc w:val="left"/>
              <w:rPr/>
            </w:pPr>
            <w:r>
              <w:rPr/>
              <w:t>Warrant No. A-[ ]</w:t>
            </w:r>
          </w:p>
        </w:tc>
        <w:tc>
          <w:tcPr>
            <w:tcW w:w="121" w:type="dxa"/>
            <w:tcBorders/>
            <w:vAlign w:val="bottom"/>
          </w:tcPr>
          <w:p>
            <w:pPr>
              <w:pStyle w:val="TableContents"/>
              <w:bidi w:val="0"/>
              <w:spacing w:before="0" w:after="283"/>
              <w:jc w:val="left"/>
              <w:rPr/>
            </w:pPr>
            <w:r>
              <w:rPr/>
              <w:t>  </w:t>
            </w:r>
          </w:p>
        </w:tc>
        <w:tc>
          <w:tcPr>
            <w:tcW w:w="5289" w:type="dxa"/>
            <w:tcBorders/>
            <w:vAlign w:val="bottom"/>
          </w:tcPr>
          <w:p>
            <w:pPr>
              <w:pStyle w:val="TableContents"/>
              <w:bidi w:val="0"/>
              <w:spacing w:before="0" w:after="283"/>
              <w:jc w:val="right"/>
              <w:rPr/>
            </w:pPr>
            <w:r>
              <w:rPr/>
              <w:t>Original Issue Date: March [ ], 2025</w:t>
            </w:r>
          </w:p>
        </w:tc>
      </w:tr>
    </w:tbl>
    <w:p>
      <w:pPr>
        <w:pStyle w:val="TextBody"/>
        <w:bidi w:val="0"/>
        <w:spacing w:before="240" w:after="0"/>
        <w:jc w:val="left"/>
        <w:rPr>
          <w:rFonts w:ascii="Times New Roman" w:hAnsi="Times New Roman"/>
          <w:sz w:val="20"/>
        </w:rPr>
      </w:pPr>
      <w:r>
        <w:rPr>
          <w:rFonts w:ascii="Times New Roman" w:hAnsi="Times New Roman"/>
          <w:sz w:val="20"/>
        </w:rPr>
        <w:t>Tenaya Therapeutics, Inc., a Delaware corporation (the </w:t>
      </w:r>
      <w:r>
        <w:rPr>
          <w:rFonts w:ascii="Times New Roman" w:hAnsi="Times New Roman"/>
          <w:i/>
          <w:sz w:val="20"/>
        </w:rPr>
        <w:t>Company</w:t>
      </w:r>
      <w:r>
        <w:rPr>
          <w:rFonts w:ascii="Times New Roman" w:hAnsi="Times New Roman"/>
          <w:sz w:val="20"/>
        </w:rPr>
        <w:t>), hereby certifies that, for good and valuable consideration, the receipt and sufficiency of which are hereby acknowledged, [ ] or its registered assigns (the </w:t>
      </w:r>
      <w:r>
        <w:rPr>
          <w:rFonts w:ascii="Times New Roman" w:hAnsi="Times New Roman"/>
          <w:i/>
          <w:sz w:val="20"/>
        </w:rPr>
        <w:t>Holder</w:t>
      </w:r>
      <w:r>
        <w:rPr>
          <w:rFonts w:ascii="Times New Roman" w:hAnsi="Times New Roman"/>
          <w:sz w:val="20"/>
        </w:rPr>
        <w:t>), is entitled, subject to the terms set forth below, to purchase from the Company up to a total of [ ] shares of common stock, $0.001 par value per share (the </w:t>
      </w:r>
      <w:r>
        <w:rPr>
          <w:rFonts w:ascii="Times New Roman" w:hAnsi="Times New Roman"/>
          <w:i/>
          <w:sz w:val="20"/>
        </w:rPr>
        <w:t>Common Stock</w:t>
      </w:r>
      <w:r>
        <w:rPr>
          <w:rFonts w:ascii="Times New Roman" w:hAnsi="Times New Roman"/>
          <w:sz w:val="20"/>
        </w:rPr>
        <w:t>), of the Company (each such share, a </w:t>
      </w:r>
      <w:r>
        <w:rPr>
          <w:rFonts w:ascii="Times New Roman" w:hAnsi="Times New Roman"/>
          <w:i/>
          <w:sz w:val="20"/>
        </w:rPr>
        <w:t>Warrant Share</w:t>
      </w:r>
      <w:r>
        <w:rPr>
          <w:rFonts w:ascii="Times New Roman" w:hAnsi="Times New Roman"/>
          <w:sz w:val="20"/>
        </w:rPr>
        <w:t> and all such shares, the </w:t>
      </w:r>
      <w:r>
        <w:rPr>
          <w:rFonts w:ascii="Times New Roman" w:hAnsi="Times New Roman"/>
          <w:i/>
          <w:sz w:val="20"/>
        </w:rPr>
        <w:t>Warrant Shares</w:t>
      </w:r>
      <w:r>
        <w:rPr>
          <w:rFonts w:ascii="Times New Roman" w:hAnsi="Times New Roman"/>
          <w:sz w:val="20"/>
        </w:rPr>
        <w:t xml:space="preserve">) at an exercise price per share equal to $0.80 per share (as adjusted from time to time as provided in </w:t>
      </w:r>
      <w:r>
        <w:rPr>
          <w:rFonts w:ascii="Times New Roman" w:hAnsi="Times New Roman"/>
          <w:sz w:val="20"/>
          <w:u w:val="single"/>
        </w:rPr>
        <w:t>Section 9</w:t>
      </w:r>
      <w:r>
        <w:rPr>
          <w:rFonts w:ascii="Times New Roman" w:hAnsi="Times New Roman"/>
          <w:sz w:val="20"/>
        </w:rPr>
        <w:t xml:space="preserve"> herein, the </w:t>
      </w:r>
      <w:r>
        <w:rPr>
          <w:rFonts w:ascii="Times New Roman" w:hAnsi="Times New Roman"/>
          <w:i/>
          <w:sz w:val="20"/>
        </w:rPr>
        <w:t>Exercise Price</w:t>
      </w:r>
      <w:r>
        <w:rPr>
          <w:rFonts w:ascii="Times New Roman" w:hAnsi="Times New Roman"/>
          <w:sz w:val="20"/>
        </w:rPr>
        <w:t xml:space="preserve">), upon surrender of this </w:t>
      </w:r>
      <w:r>
        <w:rPr>
          <w:rFonts w:ascii="Times New Roman" w:hAnsi="Times New Roman"/>
          <w:i/>
          <w:sz w:val="20"/>
        </w:rPr>
        <w:t>Series A Warrant to Purchase Common Stock</w:t>
      </w:r>
      <w:r>
        <w:rPr>
          <w:rFonts w:ascii="Times New Roman" w:hAnsi="Times New Roman"/>
          <w:sz w:val="20"/>
        </w:rPr>
        <w:t xml:space="preserve"> (including any </w:t>
      </w:r>
      <w:r>
        <w:rPr>
          <w:rFonts w:ascii="Times New Roman" w:hAnsi="Times New Roman"/>
          <w:i/>
          <w:sz w:val="20"/>
        </w:rPr>
        <w:t>Warrants to Purchase Common Stock</w:t>
      </w:r>
      <w:r>
        <w:rPr>
          <w:rFonts w:ascii="Times New Roman" w:hAnsi="Times New Roman"/>
          <w:sz w:val="20"/>
        </w:rPr>
        <w:t xml:space="preserve"> issued in exchange, transfer or replacement hereof, the </w:t>
      </w:r>
      <w:r>
        <w:rPr>
          <w:rFonts w:ascii="Times New Roman" w:hAnsi="Times New Roman"/>
          <w:i/>
          <w:sz w:val="20"/>
        </w:rPr>
        <w:t>Warrant</w:t>
      </w:r>
      <w:r>
        <w:rPr>
          <w:rFonts w:ascii="Times New Roman" w:hAnsi="Times New Roman"/>
          <w:sz w:val="20"/>
        </w:rPr>
        <w:t>) at any time and from time to time on or after the date hereof (the </w:t>
      </w:r>
      <w:r>
        <w:rPr>
          <w:rFonts w:ascii="Times New Roman" w:hAnsi="Times New Roman"/>
          <w:i/>
          <w:sz w:val="20"/>
        </w:rPr>
        <w:t>Original Issue Date</w:t>
      </w:r>
      <w:r>
        <w:rPr>
          <w:rFonts w:ascii="Times New Roman" w:hAnsi="Times New Roman"/>
          <w:sz w:val="20"/>
        </w:rPr>
        <w:t>) and on or prior to 5:00 P.M., New York City time on the five year anniversary of the Original Issue Date (the </w:t>
      </w:r>
      <w:r>
        <w:rPr>
          <w:rFonts w:ascii="Times New Roman" w:hAnsi="Times New Roman"/>
          <w:i/>
          <w:sz w:val="20"/>
        </w:rPr>
        <w:t>Termination Date</w:t>
      </w:r>
      <w:r>
        <w:rPr>
          <w:rFonts w:ascii="Times New Roman" w:hAnsi="Times New Roman"/>
          <w:sz w:val="20"/>
        </w:rPr>
        <w:t xml:space="preserve">), subject to the following terms and conditions: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For purposes of this Warrant,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Affiliate</w:t>
      </w:r>
      <w:r>
        <w:rPr>
          <w:rFonts w:ascii="Times New Roman" w:hAnsi="Times New Roman"/>
          <w:sz w:val="20"/>
        </w:rPr>
        <w:t xml:space="preserve"> means any Person directly or indirectly controlled by, controlling or under common control with, a Holder,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option, warrant or other similar arrangement) or other comparable equity interests.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i/>
          <w:sz w:val="20"/>
        </w:rPr>
        <w:t>Commission</w:t>
      </w:r>
      <w:r>
        <w:rPr>
          <w:rFonts w:ascii="Times New Roman" w:hAnsi="Times New Roman"/>
          <w:sz w:val="20"/>
        </w:rPr>
        <w:t xml:space="preserve"> means the United States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i/>
          <w:sz w:val="20"/>
        </w:rPr>
        <w:t>Closing Sale Price</w:t>
      </w:r>
      <w:r>
        <w:rPr>
          <w:rFonts w:ascii="Times New Roman" w:hAnsi="Times New Roman"/>
          <w:sz w:val="20"/>
        </w:rPr>
        <w:t xml:space="preserve">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pink sheets by Pink Sheets LLC. If the Closing Sale Price cannot be calculated for a security on a particular date on any of the foregoing bases, the Closing Sale Price of such security on such date shall be the fair market value as mutually determined in good faith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i/>
          <w:sz w:val="20"/>
        </w:rPr>
        <w:t>Exchange Act</w:t>
      </w:r>
      <w:r>
        <w:rPr>
          <w:rFonts w:ascii="Times New Roman" w:hAnsi="Times New Roman"/>
          <w:sz w:val="20"/>
        </w:rPr>
        <w:t xml:space="preserve"> means the Securities Exchange Act of 1934, as amended.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w:t>
      </w:r>
      <w:r>
        <w:rPr>
          <w:rFonts w:ascii="Times New Roman" w:hAnsi="Times New Roman"/>
          <w:i/>
          <w:sz w:val="20"/>
        </w:rPr>
        <w:t>Principal Trading Market</w:t>
      </w:r>
      <w:r>
        <w:rPr>
          <w:rFonts w:ascii="Times New Roman" w:hAnsi="Times New Roman"/>
          <w:sz w:val="20"/>
        </w:rPr>
        <w:t xml:space="preserve"> means the national securities exchange or other trading market on which the Common Stock is primarily listed on and quoted for trading, which, as of the Original Issue Date, shall be the Nasdaq Global Select Market.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i/>
          <w:sz w:val="20"/>
        </w:rPr>
        <w:t>Registration Statement</w:t>
      </w:r>
      <w:r>
        <w:rPr>
          <w:rFonts w:ascii="Times New Roman" w:hAnsi="Times New Roman"/>
          <w:sz w:val="20"/>
        </w:rPr>
        <w:t xml:space="preserve"> means the Companys Registration Statement on Form S-3 (File No. 333-266741), declared effective on August 17, 2022.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i/>
          <w:sz w:val="20"/>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i/>
          <w:sz w:val="20"/>
        </w:rPr>
        <w:t>Standard Settlement Period</w:t>
      </w:r>
      <w:r>
        <w:rPr>
          <w:rFonts w:ascii="Times New Roman" w:hAnsi="Times New Roman"/>
          <w:sz w:val="20"/>
        </w:rPr>
        <w:t xml:space="preserve"> means the standard settlement period, expressed in a number of Trading Days, on the Companys Principal Trading Market with respect to the Common Stock as in effect on the date of delivery of the Exercise Notice.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i/>
          <w:sz w:val="20"/>
        </w:rPr>
        <w:t>Trading Day</w:t>
      </w:r>
      <w:r>
        <w:rPr>
          <w:rFonts w:ascii="Times New Roman" w:hAnsi="Times New Roman"/>
          <w:sz w:val="20"/>
        </w:rPr>
        <w:t xml:space="preserve"> means any weekday on which the Principal Trading Market is normally open for trading.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i/>
          <w:sz w:val="20"/>
        </w:rPr>
        <w:t>Transfer Agent</w:t>
      </w:r>
      <w:r>
        <w:rPr>
          <w:rFonts w:ascii="Times New Roman" w:hAnsi="Times New Roman"/>
          <w:sz w:val="20"/>
        </w:rPr>
        <w:t xml:space="preserve"> means Computershare Trust Company, N.A., the Companys transfer agent and registrar for the Common Stock, and any successor appointed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Issuance of Securities; Registration of Warrants</w:t>
      </w:r>
      <w:r>
        <w:rPr>
          <w:rFonts w:ascii="Times New Roman" w:hAnsi="Times New Roman"/>
          <w:sz w:val="20"/>
        </w:rPr>
        <w:t>. The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Securities Act as in effect on the Original Issue Date, the Warrant Shares, are not restricted securities under Rule 144 promulgated under the Securities Act. The Company shall register ownership of this Warrant, upon records to be maintained by the Company for that purpose (the </w:t>
      </w:r>
      <w:r>
        <w:rPr>
          <w:rFonts w:ascii="Times New Roman" w:hAnsi="Times New Roman"/>
          <w:i/>
          <w:sz w:val="20"/>
        </w:rPr>
        <w:t>Warrant Register</w:t>
      </w:r>
      <w:r>
        <w:rPr>
          <w:rFonts w:ascii="Times New Roman" w:hAnsi="Times New Roman"/>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Registration of Transfers</w:t>
      </w:r>
      <w:r>
        <w:rPr>
          <w:rFonts w:ascii="Times New Roman" w:hAnsi="Times New Roman"/>
          <w:sz w:val="20"/>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hAnsi="Times New Roman"/>
          <w:i/>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hAnsi="Times New Roman"/>
          <w:sz w:val="20"/>
          <w:u w:val="single"/>
        </w:rPr>
        <w:t>Section 3</w:t>
      </w:r>
      <w:r>
        <w:rPr>
          <w:rFonts w:ascii="Times New Roman" w:hAnsi="Times New Roman"/>
          <w:sz w:val="20"/>
        </w:rPr>
        <w:t xml:space="preserve">. Until due presentment for registration of transfer, the Company may treat the registered Holder hereof as the owner and holder for all purposes, and the Company shall not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Exercise and Duration of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or any part of this Warrant shall be exercisable by the registered Holder in any manner permitted by this Warrant at any time and from time to time on or after the Original Issue Date and on or before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(b) Exercise of the purchase rights represented by this Warrant may be made, in whole or in part, at any time or times on or after the Original Issue Date and on or before the Termination Date by delivery to the Company of a duly executed facsimile copy or PDF copy submitted by e-mail (or e-mail attachment) of the Exercise Notice in the form attached as </w:t>
      </w:r>
      <w:r>
        <w:rPr>
          <w:rFonts w:ascii="Times New Roman" w:hAnsi="Times New Roman"/>
          <w:sz w:val="20"/>
          <w:u w:val="single"/>
        </w:rPr>
        <w:t>Schedule 1</w:t>
      </w:r>
      <w:r>
        <w:rPr>
          <w:rFonts w:ascii="Times New Roman" w:hAnsi="Times New Roman"/>
          <w:sz w:val="20"/>
        </w:rPr>
        <w:t xml:space="preserve"> hereto (the </w:t>
      </w:r>
      <w:r>
        <w:rPr>
          <w:rFonts w:ascii="Times New Roman" w:hAnsi="Times New Roman"/>
          <w:i/>
          <w:sz w:val="20"/>
        </w:rPr>
        <w:t>Exercise Notice</w:t>
      </w:r>
      <w:r>
        <w:rPr>
          <w:rFonts w:ascii="Times New Roman" w:hAnsi="Times New Roman"/>
          <w:sz w:val="20"/>
        </w:rPr>
        <w:t>, and the date of receipt of such Exercise Notice, the </w:t>
      </w:r>
      <w:r>
        <w:rPr>
          <w:rFonts w:ascii="Times New Roman" w:hAnsi="Times New Roman"/>
          <w:i/>
          <w:sz w:val="20"/>
        </w:rPr>
        <w:t>Exercise Date</w:t>
      </w:r>
      <w:r>
        <w:rPr>
          <w:rFonts w:ascii="Times New Roman" w:hAnsi="Times New Roman"/>
          <w:sz w:val="20"/>
        </w:rPr>
        <w:t xml:space="preserve">). Within the earlier of (i) two (2) Trading Days and (ii) the number of Trading Days comprising the Standard Settlement Period following the date of exercise as aforesaid, the Holder shall deliver the aggregate Exercise Price for the number of Warrant Shares specified in the applicable Exercise Notice by wire transfer or cashiers check drawn on a United States bank unless the cashless exercise procedure specified below is specified in the applicable Exercise Notice. No ink-original Exercise Notice shall be required, nor shall any medallion guarantee (or other type of guarantee or notarization) of any Exercise Notice be required. Notwithstanding anything herein to the contrary,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Exercise Notice within one (1) Trading Day of receipt of such notice. </w:t>
      </w:r>
      <w:r>
        <w:rPr>
          <w:rFonts w:ascii="Times New Roman" w:hAnsi="Times New Roman"/>
          <w:b/>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Delivery of Warrant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exercise of this Warrant, the Company shall or will cause its Transfer Agent to, promptly (but in no event later than two (2) Trading Days after the Exercise Date, provided the Company has received the Exercise Price related to such exercise by such date), upon the request of the Holder, credit such aggregate number of shares of Common Stock to which the Holder is entitled pursuant to such exercise to the Holders or its designees balance account with The Depository Trust Company (</w:t>
      </w:r>
      <w:r>
        <w:rPr>
          <w:rFonts w:ascii="Times New Roman" w:hAnsi="Times New Roman"/>
          <w:i/>
          <w:sz w:val="20"/>
        </w:rPr>
        <w:t>DTC</w:t>
      </w:r>
      <w:r>
        <w:rPr>
          <w:rFonts w:ascii="Times New Roman" w:hAnsi="Times New Roman"/>
          <w:sz w:val="20"/>
        </w:rPr>
        <w:t>) through its Deposit Withdrawal Agent Commission system, or if the Transfer Agent is not participating in the Fast Automated Securities Transfer Program (the </w:t>
      </w:r>
      <w:r>
        <w:rPr>
          <w:rFonts w:ascii="Times New Roman" w:hAnsi="Times New Roman"/>
          <w:i/>
          <w:sz w:val="20"/>
        </w:rPr>
        <w:t>FAST Program</w:t>
      </w:r>
      <w:r>
        <w:rPr>
          <w:rFonts w:ascii="Times New Roman" w:hAnsi="Times New Roman"/>
          <w:sz w:val="20"/>
        </w:rPr>
        <w:t xml:space="preserve">)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DTC (or its nominee) or any natural person or legal entity (each, a Person)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evidencing such Warrant Shares, as the case may be. In addition, solely for purposes of Regulation SHO, the Holder will be deemed to be the holder of record of Warrant Shares upon delivery of the Exercise Notice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(b) If by the close of the second (2nd) Trading Day after the Exercise Date, the Company fails to deliver to the Holder a certificate representing the required number of Warrant Shares in the manner required pursuant to </w:t>
      </w:r>
      <w:r>
        <w:rPr>
          <w:rFonts w:ascii="Times New Roman" w:hAnsi="Times New Roman"/>
          <w:sz w:val="20"/>
          <w:u w:val="single"/>
        </w:rPr>
        <w:t>Section 5(a)</w:t>
      </w:r>
      <w:r>
        <w:rPr>
          <w:rFonts w:ascii="Times New Roman" w:hAnsi="Times New Roman"/>
          <w:sz w:val="20"/>
        </w:rPr>
        <w:t xml:space="preserve"> or fails to or cause the Transfer Agent to credit the Holders balance account with DTC for such number of Warrant Shares to which the Holder is entitled, and if after such second (2nd) Trading Day and prior to the receipt of such Warrant Shares, the Holder purchases (in an open market transaction or otherwise) shares of Common Stock to deliver in satisfaction of a sale by the Holder of the Warrant Shares which the Holder anticipated receiving upon such exercise (a </w:t>
      </w:r>
      <w:r>
        <w:rPr>
          <w:rFonts w:ascii="Times New Roman" w:hAnsi="Times New Roman"/>
          <w:i/>
          <w:sz w:val="20"/>
        </w:rPr>
        <w:t>Buy-In</w:t>
      </w:r>
      <w:r>
        <w:rPr>
          <w:rFonts w:ascii="Times New Roman" w:hAnsi="Times New Roman"/>
          <w:sz w:val="20"/>
        </w:rPr>
        <w:t xml:space="preserve">), then the Company shall, within three (3) Trading Days after the Holders request and in the Holders sole discretion, either (i) pay in cash to the Holder an amount equal to the Holders total purchase price (including brokerage commissions, if any) for the shares of Common Stock so purchased, at which point the Companys obligation to deliver such certificate (and to issue such Warrant Shares) or to cause the Holders DTC account to be credited for such Warrant Shares shall terminate or (ii) promptly honor its obligation to deliver to the Holder a certificate or certificates representing such Warrant Shares or credit the Holders or its designees balance account with DTC for such Warrant Shares and pay cash to the Holder in an amount equal to the excess (if any) of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the extent permitted by law and subject to Section 5(b), the Companys obligations to or to cause the Transfer Agent to issue and deliver Warrant Shares in accordance with and subject to the terms hereof (including the limitations set forth in </w:t>
      </w:r>
      <w:r>
        <w:rPr>
          <w:rFonts w:ascii="Times New Roman" w:hAnsi="Times New Roman"/>
          <w:sz w:val="20"/>
          <w:u w:val="single"/>
        </w:rPr>
        <w:t>Section 11</w:t>
      </w:r>
      <w:r>
        <w:rPr>
          <w:rFonts w:ascii="Times New Roman" w:hAnsi="Times New Roman"/>
          <w:sz w:val="20"/>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Charges, Taxes and Expenses</w:t>
      </w:r>
      <w:r>
        <w:rPr>
          <w:rFonts w:ascii="Times New Roman" w:hAnsi="Times New Roman"/>
          <w:sz w:val="20"/>
        </w:rPr>
        <w:t xml:space="preserve">. Issuance and delivery of certificates for shares of Common Stock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w:t>
      </w:r>
      <w:r>
        <w:rPr>
          <w:rFonts w:ascii="Times New Roman" w:hAnsi="Times New Roman"/>
          <w:i/>
          <w:sz w:val="20"/>
        </w:rPr>
        <w:t>provided, however</w:t>
      </w:r>
      <w:r>
        <w:rPr>
          <w:rFonts w:ascii="Times New Roman" w:hAnsi="Times New Roman"/>
          <w:sz w:val="20"/>
        </w:rPr>
        <w:t xml:space="preserve">,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if requested by the Company (but not the posting of any surety or similar bond).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Reservation of Warrant Shares</w:t>
      </w:r>
      <w:r>
        <w:rPr>
          <w:rFonts w:ascii="Times New Roman" w:hAnsi="Times New Roman"/>
          <w:sz w:val="20"/>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hAnsi="Times New Roman"/>
          <w:sz w:val="20"/>
          <w:u w:val="single"/>
        </w:rPr>
        <w:t>Section 9</w:t>
      </w:r>
      <w:r>
        <w:rPr>
          <w:rFonts w:ascii="Times New Roman" w:hAnsi="Times New Roman"/>
          <w:sz w:val="20"/>
        </w:rPr>
        <w:t xml:space="preserve">).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Certain Adjustments</w:t>
      </w:r>
      <w:r>
        <w:rPr>
          <w:rFonts w:ascii="Times New Roman" w:hAnsi="Times New Roman"/>
          <w:sz w:val="20"/>
        </w:rPr>
        <w:t xml:space="preserve">. The Exercise Price and number of Warrant Shares issuable upon exercise of this Warrant are subject to adjustment from time to time as set forth in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on its Common Stock or otherwise makes a distribution on any class of capital stock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Common Stock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i/>
          <w:sz w:val="20"/>
        </w:rPr>
        <w:t>Distribution</w:t>
      </w:r>
      <w:r>
        <w:rPr>
          <w:rFonts w:ascii="Times New Roman" w:hAnsi="Times New Roman"/>
          <w:sz w:val="20"/>
        </w:rPr>
        <w:t xml:space="preserve">),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Fundamental Transactions</w:t>
      </w:r>
      <w:r>
        <w:rPr>
          <w:rFonts w:ascii="Times New Roman" w:hAnsi="Times New Roman"/>
          <w:sz w:val="20"/>
        </w:rPr>
        <w:t xml:space="preserve">. If, at any time while this Warrant is outstanding (i) the Company, directly or indirectly, in one or more related transactions,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(ii) the Company, directly or indirectly, effects any sale to another Person of all or substantially all of its assets in one transaction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hAnsi="Times New Roman"/>
          <w:sz w:val="20"/>
          <w:u w:val="single"/>
        </w:rPr>
        <w:t>Section 9(a)</w:t>
      </w:r>
      <w:r>
        <w:rPr>
          <w:rFonts w:ascii="Times New Roman" w:hAnsi="Times New Roman"/>
          <w:sz w:val="20"/>
        </w:rPr>
        <w:t xml:space="preserve"> above) (in any such case, a </w:t>
      </w:r>
      <w:r>
        <w:rPr>
          <w:rFonts w:ascii="Times New Roman" w:hAnsi="Times New Roman"/>
          <w:i/>
          <w:sz w:val="20"/>
        </w:rPr>
        <w:t>Fundamental Transaction</w:t>
      </w:r>
      <w:r>
        <w:rPr>
          <w:rFonts w:ascii="Times New Roman" w:hAnsi="Times New Roman"/>
          <w:sz w:val="20"/>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as described below, an amount of cash equal to the Black Scholes Value (as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valued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cash payment right shall not apply. </w:t>
      </w:r>
      <w:r>
        <w:rPr>
          <w:rFonts w:ascii="Times New Roman" w:hAnsi="Times New Roman"/>
          <w:i/>
          <w:sz w:val="20"/>
        </w:rPr>
        <w:t>Black Scholes Value</w:t>
      </w:r>
      <w:r>
        <w:rPr>
          <w:rFonts w:ascii="Times New Roman" w:hAnsi="Times New Roman"/>
          <w:sz w:val="20"/>
        </w:rPr>
        <w:t> means the value of this Warrant based on the Black-Scholes Option Pricing Model obtained from the OV function on Bloomberg, L.P. (</w:t>
      </w:r>
      <w:r>
        <w:rPr>
          <w:rFonts w:ascii="Times New Roman" w:hAnsi="Times New Roman"/>
          <w:i/>
          <w:sz w:val="20"/>
        </w:rPr>
        <w:t>Bloomberg</w:t>
      </w:r>
      <w:r>
        <w:rPr>
          <w:rFonts w:ascii="Times New Roman" w:hAnsi="Times New Roman"/>
          <w:sz w:val="20"/>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lesser of 100% and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five (5) Trading Days immediately prior to such Fundamental Transaction,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to the extent the Fundamental Transaction is within the Companys control, any successor entity in a Fundamental Transaction in which the Company is not the survivor (the </w:t>
      </w:r>
      <w:r>
        <w:rPr>
          <w:rFonts w:ascii="Times New Roman" w:hAnsi="Times New Roman"/>
          <w:i/>
          <w:sz w:val="20"/>
        </w:rPr>
        <w:t>Successor Entity</w:t>
      </w:r>
      <w:r>
        <w:rPr>
          <w:rFonts w:ascii="Times New Roman" w:hAnsi="Times New Roman"/>
          <w:sz w:val="20"/>
        </w:rPr>
        <w:t xml:space="preserve">) to assume in writing all of the obligations of the Company under this Warrant in accordance with the provisions of this Section 9(c)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Number of Warrant Shares</w:t>
      </w:r>
      <w:r>
        <w:rPr>
          <w:rFonts w:ascii="Times New Roman" w:hAnsi="Times New Roman"/>
          <w:sz w:val="20"/>
        </w:rPr>
        <w:t xml:space="preserve">. Simultaneously with any adjustment to the Exercise Price pursuant to </w:t>
      </w:r>
      <w:r>
        <w:rPr>
          <w:rFonts w:ascii="Times New Roman" w:hAnsi="Times New Roman"/>
          <w:sz w:val="20"/>
          <w:u w:val="single"/>
        </w:rPr>
        <w:t>Section 9</w:t>
      </w:r>
      <w:r>
        <w:rPr>
          <w:rFonts w:ascii="Times New Roman" w:hAnsi="Times New Roman"/>
          <w:sz w:val="20"/>
        </w:rPr>
        <w:t xml:space="preserve">, (including any adjustment to the Exercise Price that would have been effected but for the final sentence in this paragraph (d))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9</w:t>
      </w:r>
      <w:r>
        <w:rPr>
          <w:rFonts w:ascii="Times New Roman" w:hAnsi="Times New Roman"/>
          <w:sz w:val="20"/>
        </w:rPr>
        <w:t xml:space="preserve"> shall be made to the nearest one-hundredth of one cent or the nearest share,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 of Adjustments</w:t>
      </w:r>
      <w:r>
        <w:rPr>
          <w:rFonts w:ascii="Times New Roman" w:hAnsi="Times New Roman"/>
          <w:sz w:val="20"/>
        </w:rPr>
        <w:t xml:space="preserve">. Upon the occurrence of each adjustment pursuant to this </w:t>
      </w:r>
      <w:r>
        <w:rPr>
          <w:rFonts w:ascii="Times New Roman" w:hAnsi="Times New Roman"/>
          <w:sz w:val="20"/>
          <w:u w:val="single"/>
        </w:rPr>
        <w:t>Section 9</w:t>
      </w:r>
      <w:r>
        <w:rPr>
          <w:rFonts w:ascii="Times New Roman" w:hAnsi="Times New Roman"/>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Common Stock in order to participate in or vote with respect to such transaction; </w:t>
      </w:r>
      <w:r>
        <w:rPr>
          <w:rFonts w:ascii="Times New Roman" w:hAnsi="Times New Roman"/>
          <w:i/>
          <w:sz w:val="20"/>
        </w:rPr>
        <w:t>provided, however</w:t>
      </w:r>
      <w:r>
        <w:rPr>
          <w:rFonts w:ascii="Times New Roman" w:hAnsi="Times New Roman"/>
          <w:sz w:val="20"/>
        </w:rPr>
        <w:t xml:space="preserve">,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hAnsi="Times New Roman"/>
          <w:sz w:val="20"/>
          <w:u w:val="single"/>
        </w:rPr>
        <w:t>Section 9(c)</w:t>
      </w:r>
      <w:r>
        <w:rPr>
          <w:rFonts w:ascii="Times New Roman" w:hAnsi="Times New Roman"/>
          <w:sz w:val="20"/>
        </w:rPr>
        <w:t xml:space="preserve">, other than a Fundamental Transaction under clause (iii) of Section 9(c), then, except if such notice and the contents thereof shall be deemed to constitute material non-public information, the Company shall deliver to the Holder a notice of such Fundamental Transaction at least thirty (30) days prior to the date such Fundamental Transaction is consummated. Holder agrees to maintain any information disclosed pursuant to this Section 9(g) in confidence until such information is publicly available, and shall comply with applicable law with respect to trading in the Companys securities following receipt any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Voluntary Adjustment By Company.</w:t>
      </w:r>
      <w:r>
        <w:rPr>
          <w:rFonts w:ascii="Times New Roman" w:hAnsi="Times New Roman"/>
          <w:sz w:val="20"/>
        </w:rPr>
        <w:t xml:space="preserve"> Subject to the rules and regulations of the Principal Trading Market, the Company may at any time during the term of this Warrant, reduce the then-current Exercise Price to any amount and for any period of time deemed appropriate by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Cashless Exercise</w:t>
      </w:r>
      <w:r>
        <w:rPr>
          <w:rFonts w:ascii="Times New Roman" w:hAnsi="Times New Roman"/>
          <w:sz w:val="20"/>
        </w:rPr>
        <w:t xml:space="preserve">. Notwithstanding anything contained herein to the contrary, if at the time of exercise hereof there is no effective registration statement registering the issuance of the Warrant Shares to the Holder upon exercise of this Warrant, then this Warrant may only be exercised, in whole or in part, at such time by means of a cashless exercise, in which event the Company shall issue to the Holder the number of Warrant Shares in an exchange of securities effected pursuant to Section 3(a)(9) of the Securities Act, as determined as follows: </w:t>
      </w:r>
    </w:p>
    <w:p>
      <w:pPr>
        <w:pStyle w:val="TextBody"/>
        <w:bidi w:val="0"/>
        <w:spacing w:before="120" w:after="0"/>
        <w:jc w:val="center"/>
        <w:rPr>
          <w:rFonts w:ascii="Times New Roman" w:hAnsi="Times New Roman"/>
          <w:sz w:val="20"/>
        </w:rPr>
      </w:pPr>
      <w:r>
        <w:rPr>
          <w:rFonts w:ascii="Times New Roman" w:hAnsi="Times New Roman"/>
          <w:sz w:val="20"/>
        </w:rPr>
        <w:t>X = Y [(A-B)/A]</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X equals the number of Warrant Shares to be issued to the Holder; </w:t>
      </w:r>
    </w:p>
    <w:p>
      <w:pPr>
        <w:pStyle w:val="TextBody"/>
        <w:bidi w:val="0"/>
        <w:spacing w:before="240" w:after="0"/>
        <w:jc w:val="left"/>
        <w:rPr>
          <w:rFonts w:ascii="Times New Roman" w:hAnsi="Times New Roman"/>
          <w:sz w:val="20"/>
        </w:rPr>
      </w:pPr>
      <w:r>
        <w:rPr>
          <w:rFonts w:ascii="Times New Roman" w:hAnsi="Times New Roman"/>
          <w:sz w:val="20"/>
        </w:rPr>
        <w:t xml:space="preserve">Y equals the total number of Warrant Shares with respect to which this Warrant is then being exercised; </w:t>
      </w:r>
    </w:p>
    <w:p>
      <w:pPr>
        <w:pStyle w:val="TextBody"/>
        <w:bidi w:val="0"/>
        <w:spacing w:before="240" w:after="0"/>
        <w:jc w:val="left"/>
        <w:rPr>
          <w:rFonts w:ascii="Times New Roman" w:hAnsi="Times New Roman"/>
          <w:sz w:val="20"/>
        </w:rPr>
      </w:pPr>
      <w:r>
        <w:rPr>
          <w:rFonts w:ascii="Times New Roman" w:hAnsi="Times New Roman"/>
          <w:sz w:val="20"/>
        </w:rPr>
        <w:t xml:space="preserve">A equals the Closing Sale Price per share of Common Stock (as reported by Bloomberg Financial Markets) as of the Trading Day immediately preceding the Exercise Date; and </w:t>
      </w:r>
    </w:p>
    <w:p>
      <w:pPr>
        <w:pStyle w:val="TextBody"/>
        <w:bidi w:val="0"/>
        <w:spacing w:before="240" w:after="0"/>
        <w:jc w:val="left"/>
        <w:rPr>
          <w:rFonts w:ascii="Times New Roman" w:hAnsi="Times New Roman"/>
          <w:sz w:val="20"/>
        </w:rPr>
      </w:pPr>
      <w:r>
        <w:rPr>
          <w:rFonts w:ascii="Times New Roman" w:hAnsi="Times New Roman"/>
          <w:sz w:val="20"/>
        </w:rPr>
        <w:t xml:space="preserve">B equals the Exercise Price per Warrant Share then in effect on the Exercise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(provided that the Commission continues to take the position that such treatment is proper at the time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Limitations on 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anything to the contrary contained herein, the Company shall not effect any exercise of this Warrant, and the Holder shall not be entitled to exercise this Warrant for a number of Warrant Shares in excess of that number of Warrant Shares which, upon giving effect or immediately prior to such exercise, would cause (i) the aggregate number of shares of Common Stock beneficially owned by the Holder, its Affiliates and any Persons who are members of a Section 13(d) group with such Holder or its Affiliates to exceed 4.99% (or at the election of the Holder prior to the issuance of this Warrant, 9.99%) (the </w:t>
      </w:r>
      <w:r>
        <w:rPr>
          <w:rFonts w:ascii="Times New Roman" w:hAnsi="Times New Roman"/>
          <w:i/>
          <w:sz w:val="20"/>
        </w:rPr>
        <w:t>Maximum Percentage</w:t>
      </w:r>
      <w:r>
        <w:rPr>
          <w:rFonts w:ascii="Times New Roman" w:hAnsi="Times New Roman"/>
          <w:sz w:val="20"/>
        </w:rPr>
        <w:t xml:space="preserve">) of the total number of issued and outstanding shares of Common Stock of the Company following such exercise, or (ii) the combined voting power of the securities of the Company beneficially owned by the Holder and its Affiliates and any other Persons who are members of a Section 13(d) group with such Holder or its Affiliates to exceed the Maximum Percentage of the combined voting power of all of the securities of the Company then outstanding following such exercise. For purposes of this paragraph, beneficial ownership and whether a holder is a member of a Section 13(d) group shall be calculated and determined in accordance with Section 13(d) of the Exchange Act and the rules promulgated thereunder. For purposes of this Warrant, in determining the number of outstanding shares of Common Stock, the Holder may rely on the number of outstanding shares of Common Stock as reflected in (x) the Companys most recent Quarterly Report on Form 10-Q or Annual Report on Form 10-K, as the case may be, (y) a more recent public announcement by the Company or (z) any other written notice by the Company or the Transfer Agent setting forth the number of shares of Common Stock outstanding. Upon the written request of the Holder, the Company shall within three (3) Trading Days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 other percentage specified in such notice, but not in excess of 19.99% (or at the election of the Holder prior to the issuance of this Warrant, 9.99%) specified in such notice; provided that any such increase will not be effective until the sixty-first (61st) day after such notice is delivered to the Company. For purposes of this Section 11(a), the aggregate number of shares of Common Stock or voting securities beneficially owned by the Holder and its Affiliates and any other Persons who are members of a Section 13(d) group with such Holder or its Affiliates shall include the shares of Common Stock issuable upon (x) the exercise of this Warrant with respect to which such determination is being made, but shall exclude the number of shares of Common Stock which would be issuable upon exercise of the remaining unexercised and non-cancelled portion of this Warrant by the Holder and (y) the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but excluding such shares underlying such instrument which is subject to a limitation on conversion or exercise analogous to the limitation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11</w:t>
      </w:r>
      <w:r>
        <w:rPr>
          <w:rFonts w:ascii="Times New Roman" w:hAnsi="Times New Roman"/>
          <w:sz w:val="20"/>
        </w:rPr>
        <w:t xml:space="preserve"> shall not restrict the number of shares of Common Stock, which a Holder may receive or beneficially own in order to determine the amount of securities or other consideration that such Holder may receive in the event of a Fundamental Transaction as contemplated in </w:t>
      </w:r>
      <w:r>
        <w:rPr>
          <w:rFonts w:ascii="Times New Roman" w:hAnsi="Times New Roman"/>
          <w:sz w:val="20"/>
          <w:u w:val="single"/>
        </w:rPr>
        <w:t>Section 9(c)</w:t>
      </w:r>
      <w:r>
        <w:rPr>
          <w:rFonts w:ascii="Times New Roman" w:hAnsi="Times New Roman"/>
          <w:sz w:val="20"/>
        </w:rPr>
        <w:t xml:space="preserve">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and all notices or other communications or deliveries hereunder (including, without limitation, any Exercise Notice) shall be in writing and shall be deemed given and effective on the earliest of (i) the time of transmission, if such notice or communication is delivered via facsimile or e-mail prior to 5:30 P.M., New York City time, on a Trading Day so long as the sender of an e-mail has not received an automated notice of delivery failure from the proposed recipients computer server, (ii) the next Trading Day after the date of transmission, if such notice or communication is delivered via facsimile or e-mail on a day that is not a Trading Day or later than 5:30 P.M., New York City time, on any Trading Day so long as the sender of an e-mail has not received an automated notice of delivery failure from the proposed recipients computer server, (iii) the Trading Day following the date of mailing, if sent by nationally recognized overnight courier service specifying next business day delivery, or (iv) upon actual receipt by the Person to whom such notice is required to be given, if by hand delivery. The addresses, facsimile numbers and e-mail addresses for such communications shall be: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Tenaya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171 Oyster Point Blvd., Suite 500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 94080 </w:t>
      </w:r>
    </w:p>
    <w:p>
      <w:pPr>
        <w:pStyle w:val="TextBody"/>
        <w:bidi w:val="0"/>
        <w:spacing w:before="240" w:after="0"/>
        <w:jc w:val="left"/>
        <w:rPr>
          <w:rFonts w:ascii="Times New Roman" w:hAnsi="Times New Roman"/>
          <w:sz w:val="20"/>
        </w:rPr>
      </w:pPr>
      <w:r>
        <w:rPr>
          <w:rFonts w:ascii="Times New Roman" w:hAnsi="Times New Roman"/>
          <w:sz w:val="20"/>
        </w:rPr>
        <w:t xml:space="preserve">If to the Holder, to its address, facsimile number or e-mail address set forth herein or on the books and records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Or, in each of the above instances, to such other address, facsimile number or e-mail address as the recipient party has specified by written notice given to each other party at least five (5) days prior to the effectiveness of such change.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Warrant Agent</w:t>
      </w:r>
      <w:r>
        <w:rPr>
          <w:rFonts w:ascii="Times New Roman" w:hAnsi="Times New Roman"/>
          <w:sz w:val="20"/>
        </w:rPr>
        <w:t xml:space="preserve">. The Company shall initially serve as warrant agent under this Warrant.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Authorized Shares</w:t>
      </w:r>
      <w:r>
        <w:rPr>
          <w:rFonts w:ascii="Times New Roman" w:hAnsi="Times New Roman"/>
          <w:sz w:val="20"/>
        </w:rPr>
        <w:t xml:space="preserve">. (i)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the restrictions on transfer set forth in this Warrant and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Except as otherwise provided herein, the provisions of this Warrant may be amended and the Company may take any action herein prohibited, or omit to perform any act herein required to be performed by it, only if the Company has obtained the written consent of the Holder.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DELAWARE WITHOUT REGARD TO THE PRINCIPLES OF CONFLICTS OF LAW THEREOF. EACH OF THE COMPANY AND THE HOLDER HEREBY IRREVOCABLY SUBMITS TO THE EXCLUSIVE JURISDICTION OF THE STATE AND FEDERAL COURTS SITTING IN THE STATE OF DELAWARE,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742"/>
        <w:gridCol w:w="168"/>
        <w:gridCol w:w="2172"/>
      </w:tblGrid>
      <w:tr>
        <w:trPr/>
        <w:tc>
          <w:tcPr>
            <w:tcW w:w="1742"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TENAYA THERAPEUTICS, INC.</w:t>
            </w:r>
          </w:p>
        </w:tc>
      </w:tr>
      <w:tr>
        <w:trPr>
          <w:trHeight w:val="240" w:hRule="atLeast"/>
        </w:trPr>
        <w:tc>
          <w:tcPr>
            <w:tcW w:w="1742" w:type="dxa"/>
            <w:tcBorders/>
            <w:vAlign w:val="center"/>
          </w:tcPr>
          <w:p>
            <w:pPr>
              <w:pStyle w:val="TableContents"/>
              <w:bidi w:val="0"/>
              <w:spacing w:before="0" w:after="283"/>
              <w:jc w:val="left"/>
              <w:rPr>
                <w:sz w:val="4"/>
                <w:szCs w:val="4"/>
              </w:rPr>
            </w:pPr>
            <w:r>
              <w:rPr>
                <w:sz w:val="4"/>
                <w:szCs w:val="4"/>
              </w:rPr>
            </w:r>
          </w:p>
        </w:tc>
        <w:tc>
          <w:tcPr>
            <w:tcW w:w="2340" w:type="dxa"/>
            <w:gridSpan w:val="2"/>
            <w:tcBorders/>
            <w:vAlign w:val="center"/>
          </w:tcPr>
          <w:p>
            <w:pPr>
              <w:pStyle w:val="TableContents"/>
              <w:bidi w:val="0"/>
              <w:spacing w:before="0" w:after="283"/>
              <w:jc w:val="left"/>
              <w:rPr>
                <w:sz w:val="4"/>
                <w:szCs w:val="4"/>
              </w:rPr>
            </w:pPr>
            <w:r>
              <w:rPr>
                <w:sz w:val="4"/>
                <w:szCs w:val="4"/>
              </w:rPr>
            </w:r>
          </w:p>
        </w:tc>
      </w:tr>
      <w:tr>
        <w:trPr/>
        <w:tc>
          <w:tcPr>
            <w:tcW w:w="1742" w:type="dxa"/>
            <w:tcBorders/>
          </w:tcPr>
          <w:p>
            <w:pPr>
              <w:pStyle w:val="TableContents"/>
              <w:bidi w:val="0"/>
              <w:spacing w:before="0" w:after="283"/>
              <w:jc w:val="left"/>
              <w:rPr/>
            </w:pPr>
            <w:r>
              <w:rPr/>
              <w:t>By:</w:t>
            </w:r>
          </w:p>
        </w:tc>
        <w:tc>
          <w:tcPr>
            <w:tcW w:w="168" w:type="dxa"/>
            <w:tcBorders/>
            <w:vAlign w:val="bottom"/>
          </w:tcPr>
          <w:p>
            <w:pPr>
              <w:pStyle w:val="TableContents"/>
              <w:bidi w:val="0"/>
              <w:spacing w:before="0" w:after="283"/>
              <w:jc w:val="left"/>
              <w:rPr/>
            </w:pPr>
            <w:r>
              <w:rPr/>
              <w:t> </w:t>
            </w:r>
          </w:p>
        </w:tc>
        <w:tc>
          <w:tcPr>
            <w:tcW w:w="2172" w:type="dxa"/>
            <w:tcBorders/>
          </w:tcPr>
          <w:p>
            <w:pPr>
              <w:pStyle w:val="TableContents"/>
              <w:bidi w:val="0"/>
              <w:spacing w:before="0" w:after="283"/>
              <w:jc w:val="left"/>
              <w:rPr>
                <w:sz w:val="4"/>
                <w:szCs w:val="4"/>
              </w:rPr>
            </w:pPr>
            <w:r>
              <w:rPr>
                <w:sz w:val="4"/>
                <w:szCs w:val="4"/>
              </w:rPr>
            </w:r>
          </w:p>
        </w:tc>
      </w:tr>
      <w:tr>
        <w:trPr/>
        <w:tc>
          <w:tcPr>
            <w:tcW w:w="1742" w:type="dxa"/>
            <w:tcBorders/>
          </w:tcPr>
          <w:p>
            <w:pPr>
              <w:pStyle w:val="TableContents"/>
              <w:bidi w:val="0"/>
              <w:spacing w:before="0" w:after="283"/>
              <w:jc w:val="left"/>
              <w:rPr/>
            </w:pPr>
            <w:r>
              <w:rPr/>
              <w:t>Name:</w:t>
            </w:r>
          </w:p>
        </w:tc>
        <w:tc>
          <w:tcPr>
            <w:tcW w:w="168" w:type="dxa"/>
            <w:tcBorders/>
            <w:vAlign w:val="bottom"/>
          </w:tcPr>
          <w:p>
            <w:pPr>
              <w:pStyle w:val="TableContents"/>
              <w:bidi w:val="0"/>
              <w:spacing w:before="0" w:after="283"/>
              <w:jc w:val="left"/>
              <w:rPr/>
            </w:pPr>
            <w:r>
              <w:rPr/>
              <w:t> </w:t>
            </w:r>
          </w:p>
        </w:tc>
        <w:tc>
          <w:tcPr>
            <w:tcW w:w="2172" w:type="dxa"/>
            <w:tcBorders/>
          </w:tcPr>
          <w:p>
            <w:pPr>
              <w:pStyle w:val="TableContents"/>
              <w:bidi w:val="0"/>
              <w:spacing w:before="0" w:after="283"/>
              <w:jc w:val="left"/>
              <w:rPr>
                <w:sz w:val="4"/>
                <w:szCs w:val="4"/>
              </w:rPr>
            </w:pPr>
            <w:r>
              <w:rPr>
                <w:sz w:val="4"/>
                <w:szCs w:val="4"/>
              </w:rPr>
            </w:r>
          </w:p>
        </w:tc>
      </w:tr>
      <w:tr>
        <w:trPr/>
        <w:tc>
          <w:tcPr>
            <w:tcW w:w="1742" w:type="dxa"/>
            <w:tcBorders/>
          </w:tcPr>
          <w:p>
            <w:pPr>
              <w:pStyle w:val="TableContents"/>
              <w:bidi w:val="0"/>
              <w:spacing w:before="0" w:after="283"/>
              <w:jc w:val="left"/>
              <w:rPr/>
            </w:pPr>
            <w:r>
              <w:rPr/>
              <w:t>Title:</w:t>
            </w:r>
          </w:p>
        </w:tc>
        <w:tc>
          <w:tcPr>
            <w:tcW w:w="168" w:type="dxa"/>
            <w:tcBorders/>
            <w:vAlign w:val="bottom"/>
          </w:tcPr>
          <w:p>
            <w:pPr>
              <w:pStyle w:val="TableContents"/>
              <w:bidi w:val="0"/>
              <w:spacing w:before="0" w:after="283"/>
              <w:jc w:val="left"/>
              <w:rPr/>
            </w:pPr>
            <w:r>
              <w:rPr/>
              <w:t> </w:t>
            </w:r>
          </w:p>
        </w:tc>
        <w:tc>
          <w:tcPr>
            <w:tcW w:w="2172"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1 </w:t>
      </w:r>
    </w:p>
    <w:p>
      <w:pPr>
        <w:pStyle w:val="TextBody"/>
        <w:bidi w:val="0"/>
        <w:spacing w:before="120" w:after="0"/>
        <w:jc w:val="center"/>
        <w:rPr>
          <w:rFonts w:ascii="Times New Roman" w:hAnsi="Times New Roman"/>
          <w:sz w:val="20"/>
        </w:rPr>
      </w:pPr>
      <w:r>
        <w:rPr>
          <w:rFonts w:ascii="Times New Roman" w:hAnsi="Times New Roman"/>
          <w:sz w:val="20"/>
        </w:rPr>
        <w:t xml:space="preserve">FORM OF EXERCISE NOTICE </w:t>
      </w:r>
    </w:p>
    <w:p>
      <w:pPr>
        <w:pStyle w:val="TextBody"/>
        <w:bidi w:val="0"/>
        <w:spacing w:before="120" w:after="0"/>
        <w:jc w:val="center"/>
        <w:rPr>
          <w:rFonts w:ascii="Times New Roman" w:hAnsi="Times New Roman"/>
          <w:sz w:val="20"/>
        </w:rPr>
      </w:pPr>
      <w:r>
        <w:rPr>
          <w:rFonts w:ascii="Times New Roman" w:hAnsi="Times New Roman"/>
          <w:sz w:val="20"/>
        </w:rPr>
        <w:t xml:space="preserve">[To be executed by the Holder to purchase shares of Common Stock under the Warrant]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(1) The undersigned is the Holder of Warrant No. __ (the </w:t>
      </w:r>
      <w:r>
        <w:rPr>
          <w:rFonts w:ascii="Times New Roman" w:hAnsi="Times New Roman"/>
          <w:i/>
          <w:sz w:val="20"/>
        </w:rPr>
        <w:t>Warrant</w:t>
      </w:r>
      <w:r>
        <w:rPr>
          <w:rFonts w:ascii="Times New Roman" w:hAnsi="Times New Roman"/>
          <w:sz w:val="20"/>
        </w:rPr>
        <w:t>) issued by Tenaya Therapeutics, Inc., a Delaware corporation (the </w:t>
      </w:r>
      <w:r>
        <w:rPr>
          <w:rFonts w:ascii="Times New Roman" w:hAnsi="Times New Roman"/>
          <w:i/>
          <w:sz w:val="20"/>
        </w:rPr>
        <w:t>Company</w:t>
      </w:r>
      <w:r>
        <w:rPr>
          <w:rFonts w:ascii="Times New Roman" w:hAnsi="Times New Roman"/>
          <w:sz w:val="20"/>
        </w:rPr>
        <w:t xml:space="preserve">). Capitalized terms used herein and not otherwise defined herein have the respective meanings set forth in the Warrant. </w:t>
      </w:r>
    </w:p>
    <w:p>
      <w:pPr>
        <w:pStyle w:val="TextBody"/>
        <w:bidi w:val="0"/>
        <w:spacing w:before="240" w:after="0"/>
        <w:jc w:val="left"/>
        <w:rPr>
          <w:rFonts w:ascii="Times New Roman" w:hAnsi="Times New Roman"/>
          <w:sz w:val="20"/>
        </w:rPr>
      </w:pPr>
      <w:r>
        <w:rPr>
          <w:rFonts w:ascii="Times New Roman" w:hAnsi="Times New Roman"/>
          <w:sz w:val="20"/>
        </w:rPr>
        <w:t>(2) The undersigned hereby exercises its right to purchase __________ Warrant Shares (the </w:t>
      </w:r>
      <w:r>
        <w:rPr>
          <w:rFonts w:ascii="Times New Roman" w:hAnsi="Times New Roman"/>
          <w:i/>
          <w:sz w:val="20"/>
        </w:rPr>
        <w:t>Exercised Warrant Shares</w:t>
      </w:r>
      <w:r>
        <w:rPr>
          <w:rFonts w:ascii="Times New Roman" w:hAnsi="Times New Roman"/>
          <w:sz w:val="20"/>
        </w:rPr>
        <w:t xml:space="preserve">) pursuant to the Warrant. </w:t>
      </w:r>
    </w:p>
    <w:p>
      <w:pPr>
        <w:pStyle w:val="TextBody"/>
        <w:bidi w:val="0"/>
        <w:spacing w:before="240" w:after="0"/>
        <w:jc w:val="left"/>
        <w:rPr>
          <w:rFonts w:ascii="Times New Roman" w:hAnsi="Times New Roman"/>
          <w:sz w:val="20"/>
        </w:rPr>
      </w:pPr>
      <w:r>
        <w:rPr>
          <w:rFonts w:ascii="Times New Roman" w:hAnsi="Times New Roman"/>
          <w:sz w:val="20"/>
        </w:rPr>
        <w:t xml:space="preserve">(3) The Holder intends that payment of the Exercise Price shall be made as (check one): </w:t>
      </w:r>
    </w:p>
    <w:p>
      <w:pPr>
        <w:pStyle w:val="TextBody"/>
        <w:bidi w:val="0"/>
        <w:spacing w:before="120" w:after="0"/>
        <w:jc w:val="left"/>
        <w:rPr/>
      </w:pPr>
      <w:r>
        <w:rPr/>
        <w:t xml:space="preserve">☐ </w:t>
      </w:r>
      <w:r>
        <w:rPr>
          <w:rFonts w:ascii="Times New Roman" w:hAnsi="Times New Roman"/>
          <w:sz w:val="20"/>
        </w:rPr>
        <w:t xml:space="preserve">Cash Exercise </w:t>
      </w:r>
    </w:p>
    <w:p>
      <w:pPr>
        <w:pStyle w:val="TextBody"/>
        <w:bidi w:val="0"/>
        <w:spacing w:before="120" w:after="0"/>
        <w:jc w:val="left"/>
        <w:rPr/>
      </w:pPr>
      <w:r>
        <w:rPr/>
        <w:t xml:space="preserve">☐ </w:t>
      </w:r>
      <w:r>
        <w:rPr>
          <w:rFonts w:ascii="Times New Roman" w:hAnsi="Times New Roman"/>
          <w:sz w:val="20"/>
        </w:rPr>
        <w:t xml:space="preserve">if permitted in accordance with Section 10 of the Warrant, Cashless Exercise </w:t>
      </w:r>
    </w:p>
    <w:p>
      <w:pPr>
        <w:pStyle w:val="TextBody"/>
        <w:bidi w:val="0"/>
        <w:spacing w:before="240" w:after="0"/>
        <w:jc w:val="left"/>
        <w:rPr>
          <w:rFonts w:ascii="Times New Roman" w:hAnsi="Times New Roman"/>
          <w:sz w:val="20"/>
        </w:rPr>
      </w:pPr>
      <w:r>
        <w:rPr>
          <w:rFonts w:ascii="Times New Roman" w:hAnsi="Times New Roman"/>
          <w:sz w:val="20"/>
        </w:rPr>
        <w:t xml:space="preserve">(4) If the Holder has elected a Cash Exercise, the Holder shall pay the sum of $ __________ in immediately available funds to the Company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(5) Pursuant to this Exercise Notice, the Company shall deliver to the Holder the Exercised Warrant Shares determined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(6) 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w:t>
      </w:r>
      <w:r>
        <w:rPr>
          <w:rFonts w:ascii="Times New Roman" w:hAnsi="Times New Roman"/>
          <w:sz w:val="20"/>
          <w:u w:val="single"/>
        </w:rPr>
        <w:t>Section 11(a)</w:t>
      </w:r>
      <w:r>
        <w:rPr>
          <w:rFonts w:ascii="Times New Roman" w:hAnsi="Times New Roman"/>
          <w:sz w:val="20"/>
        </w:rPr>
        <w:t xml:space="preserve"> of the Warrant to which this notice relates.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23"/>
        <w:gridCol w:w="60"/>
        <w:gridCol w:w="3299"/>
      </w:tblGrid>
      <w:tr>
        <w:trPr/>
        <w:tc>
          <w:tcPr>
            <w:tcW w:w="7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Holder:</w:t>
            </w:r>
          </w:p>
        </w:tc>
      </w:tr>
      <w:tr>
        <w:trPr>
          <w:trHeight w:val="240" w:hRule="atLeast"/>
        </w:trPr>
        <w:tc>
          <w:tcPr>
            <w:tcW w:w="723"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left"/>
              <w:rPr>
                <w:sz w:val="4"/>
                <w:szCs w:val="4"/>
              </w:rPr>
            </w:pPr>
            <w:r>
              <w:rPr>
                <w:sz w:val="4"/>
                <w:szCs w:val="4"/>
              </w:rPr>
            </w:r>
          </w:p>
        </w:tc>
      </w:tr>
      <w:tr>
        <w:trPr/>
        <w:tc>
          <w:tcPr>
            <w:tcW w:w="72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left"/>
              <w:rPr>
                <w:sz w:val="4"/>
                <w:szCs w:val="4"/>
              </w:rPr>
            </w:pPr>
            <w:r>
              <w:rPr>
                <w:sz w:val="4"/>
                <w:szCs w:val="4"/>
              </w:rPr>
            </w:r>
          </w:p>
        </w:tc>
      </w:tr>
      <w:tr>
        <w:trPr/>
        <w:tc>
          <w:tcPr>
            <w:tcW w:w="72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the Warrant)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B-2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Series B Warrant </w:t>
      </w:r>
    </w:p>
    <w:p>
      <w:pPr>
        <w:pStyle w:val="TextBody"/>
        <w:bidi w:val="0"/>
        <w:spacing w:before="120" w:after="0"/>
        <w:jc w:val="center"/>
        <w:rPr>
          <w:rFonts w:ascii="Times New Roman" w:hAnsi="Times New Roman"/>
          <w:b/>
          <w:sz w:val="20"/>
        </w:rPr>
      </w:pPr>
      <w:r>
        <w:rPr>
          <w:rFonts w:ascii="Times New Roman" w:hAnsi="Times New Roman"/>
          <w:b/>
          <w:sz w:val="20"/>
        </w:rPr>
        <w:t xml:space="preserve">TENAYA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SERIES B WARRANT TO PURCHASE COMMON STOCK </w:t>
      </w:r>
    </w:p>
    <w:p>
      <w:pPr>
        <w:pStyle w:val="TextBody"/>
        <w:bidi w:val="0"/>
        <w:spacing w:before="240" w:after="0"/>
        <w:jc w:val="right"/>
        <w:rPr>
          <w:rFonts w:ascii="Times New Roman" w:hAnsi="Times New Roman"/>
          <w:sz w:val="20"/>
        </w:rPr>
      </w:pPr>
      <w:r>
        <w:rPr>
          <w:rFonts w:ascii="Times New Roman" w:hAnsi="Times New Roman"/>
          <w:sz w:val="20"/>
        </w:rPr>
        <w:t xml:space="preserve">Number of Shares: [ ] </w:t>
      </w:r>
    </w:p>
    <w:p>
      <w:pPr>
        <w:pStyle w:val="TextBody"/>
        <w:bidi w:val="0"/>
        <w:spacing w:before="0" w:after="0"/>
        <w:jc w:val="right"/>
        <w:rPr>
          <w:rFonts w:ascii="Times New Roman" w:hAnsi="Times New Roman"/>
          <w:sz w:val="20"/>
        </w:rPr>
      </w:pPr>
      <w:r>
        <w:rPr>
          <w:rFonts w:ascii="Times New Roman" w:hAnsi="Times New Roman"/>
          <w:sz w:val="20"/>
        </w:rPr>
        <w:t xml:space="preserve">(subject to adjustment)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95"/>
        <w:gridCol w:w="121"/>
        <w:gridCol w:w="5289"/>
      </w:tblGrid>
      <w:tr>
        <w:trPr/>
        <w:tc>
          <w:tcPr>
            <w:tcW w:w="47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289" w:type="dxa"/>
            <w:tcBorders/>
            <w:vAlign w:val="center"/>
          </w:tcPr>
          <w:p>
            <w:pPr>
              <w:pStyle w:val="TableContents"/>
              <w:bidi w:val="0"/>
              <w:spacing w:before="0" w:after="283"/>
              <w:jc w:val="left"/>
              <w:rPr>
                <w:sz w:val="4"/>
                <w:szCs w:val="4"/>
              </w:rPr>
            </w:pPr>
            <w:r>
              <w:rPr>
                <w:sz w:val="4"/>
                <w:szCs w:val="4"/>
              </w:rPr>
            </w:r>
          </w:p>
        </w:tc>
      </w:tr>
      <w:tr>
        <w:trPr/>
        <w:tc>
          <w:tcPr>
            <w:tcW w:w="4795" w:type="dxa"/>
            <w:tcBorders/>
          </w:tcPr>
          <w:p>
            <w:pPr>
              <w:pStyle w:val="TableContents"/>
              <w:bidi w:val="0"/>
              <w:spacing w:before="0" w:after="283"/>
              <w:jc w:val="left"/>
              <w:rPr/>
            </w:pPr>
            <w:r>
              <w:rPr/>
              <w:t>Warrant No. B-[ ]</w:t>
            </w:r>
          </w:p>
        </w:tc>
        <w:tc>
          <w:tcPr>
            <w:tcW w:w="121" w:type="dxa"/>
            <w:tcBorders/>
            <w:vAlign w:val="bottom"/>
          </w:tcPr>
          <w:p>
            <w:pPr>
              <w:pStyle w:val="TableContents"/>
              <w:bidi w:val="0"/>
              <w:spacing w:before="0" w:after="283"/>
              <w:jc w:val="left"/>
              <w:rPr/>
            </w:pPr>
            <w:r>
              <w:rPr/>
              <w:t>  </w:t>
            </w:r>
          </w:p>
        </w:tc>
        <w:tc>
          <w:tcPr>
            <w:tcW w:w="5289" w:type="dxa"/>
            <w:tcBorders/>
            <w:vAlign w:val="bottom"/>
          </w:tcPr>
          <w:p>
            <w:pPr>
              <w:pStyle w:val="TableContents"/>
              <w:bidi w:val="0"/>
              <w:spacing w:before="0" w:after="283"/>
              <w:jc w:val="right"/>
              <w:rPr/>
            </w:pPr>
            <w:r>
              <w:rPr/>
              <w:t>Original Issue Date: March [ ], 2025</w:t>
            </w:r>
          </w:p>
        </w:tc>
      </w:tr>
    </w:tbl>
    <w:p>
      <w:pPr>
        <w:pStyle w:val="TextBody"/>
        <w:bidi w:val="0"/>
        <w:spacing w:before="240" w:after="0"/>
        <w:jc w:val="left"/>
        <w:rPr>
          <w:rFonts w:ascii="Times New Roman" w:hAnsi="Times New Roman"/>
          <w:sz w:val="20"/>
        </w:rPr>
      </w:pPr>
      <w:r>
        <w:rPr>
          <w:rFonts w:ascii="Times New Roman" w:hAnsi="Times New Roman"/>
          <w:sz w:val="20"/>
        </w:rPr>
        <w:t>Tenaya Therapeutics, Inc., a Delaware corporation (the </w:t>
      </w:r>
      <w:r>
        <w:rPr>
          <w:rFonts w:ascii="Times New Roman" w:hAnsi="Times New Roman"/>
          <w:i/>
          <w:sz w:val="20"/>
        </w:rPr>
        <w:t>Company</w:t>
      </w:r>
      <w:r>
        <w:rPr>
          <w:rFonts w:ascii="Times New Roman" w:hAnsi="Times New Roman"/>
          <w:sz w:val="20"/>
        </w:rPr>
        <w:t>), hereby certifies that, for good and valuable consideration, the receipt and sufficiency of which are hereby acknowledged, [ ] or its registered assigns (the </w:t>
      </w:r>
      <w:r>
        <w:rPr>
          <w:rFonts w:ascii="Times New Roman" w:hAnsi="Times New Roman"/>
          <w:i/>
          <w:sz w:val="20"/>
        </w:rPr>
        <w:t>Holder</w:t>
      </w:r>
      <w:r>
        <w:rPr>
          <w:rFonts w:ascii="Times New Roman" w:hAnsi="Times New Roman"/>
          <w:sz w:val="20"/>
        </w:rPr>
        <w:t>), is entitled, subject to the terms set forth below, to purchase from the Company up to a total of [ ] shares of common stock, $0.001 par value per share (the </w:t>
      </w:r>
      <w:r>
        <w:rPr>
          <w:rFonts w:ascii="Times New Roman" w:hAnsi="Times New Roman"/>
          <w:i/>
          <w:sz w:val="20"/>
        </w:rPr>
        <w:t>Common Stock</w:t>
      </w:r>
      <w:r>
        <w:rPr>
          <w:rFonts w:ascii="Times New Roman" w:hAnsi="Times New Roman"/>
          <w:sz w:val="20"/>
        </w:rPr>
        <w:t>), of the Company (each such share, a </w:t>
      </w:r>
      <w:r>
        <w:rPr>
          <w:rFonts w:ascii="Times New Roman" w:hAnsi="Times New Roman"/>
          <w:i/>
          <w:sz w:val="20"/>
        </w:rPr>
        <w:t>Warrant Share</w:t>
      </w:r>
      <w:r>
        <w:rPr>
          <w:rFonts w:ascii="Times New Roman" w:hAnsi="Times New Roman"/>
          <w:sz w:val="20"/>
        </w:rPr>
        <w:t> and all such shares, the </w:t>
      </w:r>
      <w:r>
        <w:rPr>
          <w:rFonts w:ascii="Times New Roman" w:hAnsi="Times New Roman"/>
          <w:i/>
          <w:sz w:val="20"/>
        </w:rPr>
        <w:t>Warrant Shares</w:t>
      </w:r>
      <w:r>
        <w:rPr>
          <w:rFonts w:ascii="Times New Roman" w:hAnsi="Times New Roman"/>
          <w:sz w:val="20"/>
        </w:rPr>
        <w:t xml:space="preserve">) at an exercise price per share equal to $0.70 per share (as adjusted from time to time as provided in </w:t>
      </w:r>
      <w:r>
        <w:rPr>
          <w:rFonts w:ascii="Times New Roman" w:hAnsi="Times New Roman"/>
          <w:sz w:val="20"/>
          <w:u w:val="single"/>
        </w:rPr>
        <w:t>Section 9</w:t>
      </w:r>
      <w:r>
        <w:rPr>
          <w:rFonts w:ascii="Times New Roman" w:hAnsi="Times New Roman"/>
          <w:sz w:val="20"/>
        </w:rPr>
        <w:t xml:space="preserve"> herein, the </w:t>
      </w:r>
      <w:r>
        <w:rPr>
          <w:rFonts w:ascii="Times New Roman" w:hAnsi="Times New Roman"/>
          <w:i/>
          <w:sz w:val="20"/>
        </w:rPr>
        <w:t>Exercise Price</w:t>
      </w:r>
      <w:r>
        <w:rPr>
          <w:rFonts w:ascii="Times New Roman" w:hAnsi="Times New Roman"/>
          <w:sz w:val="20"/>
        </w:rPr>
        <w:t xml:space="preserve">), upon surrender of this </w:t>
      </w:r>
      <w:r>
        <w:rPr>
          <w:rFonts w:ascii="Times New Roman" w:hAnsi="Times New Roman"/>
          <w:i/>
          <w:sz w:val="20"/>
        </w:rPr>
        <w:t>Series B Warrant to Purchase Common Stock</w:t>
      </w:r>
      <w:r>
        <w:rPr>
          <w:rFonts w:ascii="Times New Roman" w:hAnsi="Times New Roman"/>
          <w:sz w:val="20"/>
        </w:rPr>
        <w:t xml:space="preserve"> (including any </w:t>
      </w:r>
      <w:r>
        <w:rPr>
          <w:rFonts w:ascii="Times New Roman" w:hAnsi="Times New Roman"/>
          <w:i/>
          <w:sz w:val="20"/>
        </w:rPr>
        <w:t>Warrants to Purchase Common Stock</w:t>
      </w:r>
      <w:r>
        <w:rPr>
          <w:rFonts w:ascii="Times New Roman" w:hAnsi="Times New Roman"/>
          <w:sz w:val="20"/>
        </w:rPr>
        <w:t xml:space="preserve"> issued in exchange, transfer or replacement hereof, the </w:t>
      </w:r>
      <w:r>
        <w:rPr>
          <w:rFonts w:ascii="Times New Roman" w:hAnsi="Times New Roman"/>
          <w:i/>
          <w:sz w:val="20"/>
        </w:rPr>
        <w:t>Warrant</w:t>
      </w:r>
      <w:r>
        <w:rPr>
          <w:rFonts w:ascii="Times New Roman" w:hAnsi="Times New Roman"/>
          <w:sz w:val="20"/>
        </w:rPr>
        <w:t>) at any time and from time to time on or after the date hereof (the </w:t>
      </w:r>
      <w:r>
        <w:rPr>
          <w:rFonts w:ascii="Times New Roman" w:hAnsi="Times New Roman"/>
          <w:i/>
          <w:sz w:val="20"/>
        </w:rPr>
        <w:t>Original Issue Date</w:t>
      </w:r>
      <w:r>
        <w:rPr>
          <w:rFonts w:ascii="Times New Roman" w:hAnsi="Times New Roman"/>
          <w:sz w:val="20"/>
        </w:rPr>
        <w:t>) and on or prior to 5:00 P.M., New York City time on June 30, 2026 (the </w:t>
      </w:r>
      <w:r>
        <w:rPr>
          <w:rFonts w:ascii="Times New Roman" w:hAnsi="Times New Roman"/>
          <w:i/>
          <w:sz w:val="20"/>
        </w:rPr>
        <w:t>Termination Date</w:t>
      </w:r>
      <w:r>
        <w:rPr>
          <w:rFonts w:ascii="Times New Roman" w:hAnsi="Times New Roman"/>
          <w:sz w:val="20"/>
        </w:rPr>
        <w:t xml:space="preserve">), subject to the following terms and conditions: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For purposes of this Warrant,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Affiliate</w:t>
      </w:r>
      <w:r>
        <w:rPr>
          <w:rFonts w:ascii="Times New Roman" w:hAnsi="Times New Roman"/>
          <w:sz w:val="20"/>
        </w:rPr>
        <w:t xml:space="preserve"> means any Person directly or indirectly controlled by, controlling or under common control with, a Holder,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option, warrant or other similar arrangement) or other comparable equity interests.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i/>
          <w:sz w:val="20"/>
        </w:rPr>
        <w:t>Commission</w:t>
      </w:r>
      <w:r>
        <w:rPr>
          <w:rFonts w:ascii="Times New Roman" w:hAnsi="Times New Roman"/>
          <w:sz w:val="20"/>
        </w:rPr>
        <w:t xml:space="preserve"> means the United States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i/>
          <w:sz w:val="20"/>
        </w:rPr>
        <w:t>Closing Sale Price</w:t>
      </w:r>
      <w:r>
        <w:rPr>
          <w:rFonts w:ascii="Times New Roman" w:hAnsi="Times New Roman"/>
          <w:sz w:val="20"/>
        </w:rPr>
        <w:t xml:space="preserve">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pink sheets by Pink Sheets LLC. If the Closing Sale Price cannot be calculated for a security on a particular date on any of the foregoing bases, the Closing Sale Price of such security on such date shall be the fair market value as mutually determined in good faith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i/>
          <w:sz w:val="20"/>
        </w:rPr>
        <w:t>Exchange Act</w:t>
      </w:r>
      <w:r>
        <w:rPr>
          <w:rFonts w:ascii="Times New Roman" w:hAnsi="Times New Roman"/>
          <w:sz w:val="20"/>
        </w:rPr>
        <w:t xml:space="preserve"> means the Securities Exchange Act of 1934, as amended.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w:t>
      </w:r>
      <w:r>
        <w:rPr>
          <w:rFonts w:ascii="Times New Roman" w:hAnsi="Times New Roman"/>
          <w:i/>
          <w:sz w:val="20"/>
        </w:rPr>
        <w:t>Principal Trading Market</w:t>
      </w:r>
      <w:r>
        <w:rPr>
          <w:rFonts w:ascii="Times New Roman" w:hAnsi="Times New Roman"/>
          <w:sz w:val="20"/>
        </w:rPr>
        <w:t xml:space="preserve"> means the national securities exchange or other trading market on which the Common Stock is primarily listed on and quoted for trading, which, as of the Original Issue Date, shall be the Nasdaq Global Select Market.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i/>
          <w:sz w:val="20"/>
        </w:rPr>
        <w:t>Registration Statement</w:t>
      </w:r>
      <w:r>
        <w:rPr>
          <w:rFonts w:ascii="Times New Roman" w:hAnsi="Times New Roman"/>
          <w:sz w:val="20"/>
        </w:rPr>
        <w:t xml:space="preserve"> means the Companys Registration Statement on Form S-3 (File No. 333-266741), declared effective on August 17, 2022.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i/>
          <w:sz w:val="20"/>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i/>
          <w:sz w:val="20"/>
        </w:rPr>
        <w:t>Standard Settlement Period</w:t>
      </w:r>
      <w:r>
        <w:rPr>
          <w:rFonts w:ascii="Times New Roman" w:hAnsi="Times New Roman"/>
          <w:sz w:val="20"/>
        </w:rPr>
        <w:t xml:space="preserve"> means the standard settlement period, expressed in a number of Trading Days, on the Companys Principal Trading Market with respect to the Common Stock as in effect on the date of delivery of the Exercise Notice.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i/>
          <w:sz w:val="20"/>
        </w:rPr>
        <w:t>Trading Day</w:t>
      </w:r>
      <w:r>
        <w:rPr>
          <w:rFonts w:ascii="Times New Roman" w:hAnsi="Times New Roman"/>
          <w:sz w:val="20"/>
        </w:rPr>
        <w:t xml:space="preserve"> means any weekday on which the Principal Trading Market is normally open for trading.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i/>
          <w:sz w:val="20"/>
        </w:rPr>
        <w:t>Transfer Agent</w:t>
      </w:r>
      <w:r>
        <w:rPr>
          <w:rFonts w:ascii="Times New Roman" w:hAnsi="Times New Roman"/>
          <w:sz w:val="20"/>
        </w:rPr>
        <w:t xml:space="preserve"> means Computershare Trust Company, N.A., the Companys transfer agent and registrar for the Common Stock, and any successor appointed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Issuance of Securities; Registration of Warrants</w:t>
      </w:r>
      <w:r>
        <w:rPr>
          <w:rFonts w:ascii="Times New Roman" w:hAnsi="Times New Roman"/>
          <w:sz w:val="20"/>
        </w:rPr>
        <w:t>. The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Securities Act as in effect on the Original Issue Date, the Warrant Shares, are not restricted securities under Rule 144 promulgated under the Securities Act. The Company shall register ownership of this Warrant, upon records to be maintained by the Company for that purpose (the </w:t>
      </w:r>
      <w:r>
        <w:rPr>
          <w:rFonts w:ascii="Times New Roman" w:hAnsi="Times New Roman"/>
          <w:i/>
          <w:sz w:val="20"/>
        </w:rPr>
        <w:t>Warrant Register</w:t>
      </w:r>
      <w:r>
        <w:rPr>
          <w:rFonts w:ascii="Times New Roman" w:hAnsi="Times New Roman"/>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Registration of Transfers</w:t>
      </w:r>
      <w:r>
        <w:rPr>
          <w:rFonts w:ascii="Times New Roman" w:hAnsi="Times New Roman"/>
          <w:sz w:val="20"/>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hAnsi="Times New Roman"/>
          <w:i/>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hAnsi="Times New Roman"/>
          <w:sz w:val="20"/>
          <w:u w:val="single"/>
        </w:rPr>
        <w:t>Section 3</w:t>
      </w:r>
      <w:r>
        <w:rPr>
          <w:rFonts w:ascii="Times New Roman" w:hAnsi="Times New Roman"/>
          <w:sz w:val="20"/>
        </w:rPr>
        <w:t xml:space="preserve">. Until due presentment for registration of transfer, the Company may treat the registered Holder hereof as the owner and holder for all purposes, and the Company shall not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Exercise and Duration of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or any part of this Warrant shall be exercisable by the registered Holder in any manner permitted by this Warrant at any time and from time to time on or after the Original Issue Date and on or before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(b) Exercise of the purchase rights represented by this Warrant may be made, in whole or in part, at any time or times on or after the Original Issue Date and on or before the Termination Date by delivery to the Company of a duly executed facsimile copy or PDF copy submitted by e-mail (or e-mail attachment) of the Exercise Notice in the form attached as </w:t>
      </w:r>
      <w:r>
        <w:rPr>
          <w:rFonts w:ascii="Times New Roman" w:hAnsi="Times New Roman"/>
          <w:sz w:val="20"/>
          <w:u w:val="single"/>
        </w:rPr>
        <w:t>Schedule 1</w:t>
      </w:r>
      <w:r>
        <w:rPr>
          <w:rFonts w:ascii="Times New Roman" w:hAnsi="Times New Roman"/>
          <w:sz w:val="20"/>
        </w:rPr>
        <w:t xml:space="preserve"> hereto (the </w:t>
      </w:r>
      <w:r>
        <w:rPr>
          <w:rFonts w:ascii="Times New Roman" w:hAnsi="Times New Roman"/>
          <w:i/>
          <w:sz w:val="20"/>
        </w:rPr>
        <w:t>Exercise Notice</w:t>
      </w:r>
      <w:r>
        <w:rPr>
          <w:rFonts w:ascii="Times New Roman" w:hAnsi="Times New Roman"/>
          <w:sz w:val="20"/>
        </w:rPr>
        <w:t>, and the date of receipt of such Exercise Notice, the </w:t>
      </w:r>
      <w:r>
        <w:rPr>
          <w:rFonts w:ascii="Times New Roman" w:hAnsi="Times New Roman"/>
          <w:i/>
          <w:sz w:val="20"/>
        </w:rPr>
        <w:t>Exercise Date</w:t>
      </w:r>
      <w:r>
        <w:rPr>
          <w:rFonts w:ascii="Times New Roman" w:hAnsi="Times New Roman"/>
          <w:sz w:val="20"/>
        </w:rPr>
        <w:t xml:space="preserve">). Within the earlier of (i) two (2) Trading Days and (ii) the number of Trading Days comprising the Standard Settlement Period following the date of exercise as aforesaid, the Holder shall deliver the aggregate Exercise Price for the number of Warrant Shares specified in the applicable Exercise Notice by wire transfer or cashiers check drawn on a United States bank unless the cashless exercise procedure specified below is specified in the applicable Exercise Notice. No ink-original Exercise Notice shall be required, nor shall any medallion guarantee (or other type of guarantee or notarization) of any Exercise Notice be required. Notwithstanding anything herein to the contrary,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Exercise Notice within one (1) Trading Day of receipt of such notice. </w:t>
      </w:r>
      <w:r>
        <w:rPr>
          <w:rFonts w:ascii="Times New Roman" w:hAnsi="Times New Roman"/>
          <w:b/>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Delivery of Warrant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exercise of this Warrant, the Company shall or will cause its Transfer Agent to, promptly (but in no event later than two (2) Trading Days after the Exercise Date, provided the Company has received the Exercise Price related to such exercise by such date), upon the request of the Holder, credit such aggregate number of shares of Common Stock to which the Holder is entitled pursuant to such exercise to the Holders or its designees balance account with The Depository Trust Company (</w:t>
      </w:r>
      <w:r>
        <w:rPr>
          <w:rFonts w:ascii="Times New Roman" w:hAnsi="Times New Roman"/>
          <w:i/>
          <w:sz w:val="20"/>
        </w:rPr>
        <w:t>DTC</w:t>
      </w:r>
      <w:r>
        <w:rPr>
          <w:rFonts w:ascii="Times New Roman" w:hAnsi="Times New Roman"/>
          <w:sz w:val="20"/>
        </w:rPr>
        <w:t>) through its Deposit Withdrawal Agent Commission system, or if the Transfer Agent is not participating in the Fast Automated Securities Transfer Program (the </w:t>
      </w:r>
      <w:r>
        <w:rPr>
          <w:rFonts w:ascii="Times New Roman" w:hAnsi="Times New Roman"/>
          <w:i/>
          <w:sz w:val="20"/>
        </w:rPr>
        <w:t>FAST Program</w:t>
      </w:r>
      <w:r>
        <w:rPr>
          <w:rFonts w:ascii="Times New Roman" w:hAnsi="Times New Roman"/>
          <w:sz w:val="20"/>
        </w:rPr>
        <w:t xml:space="preserve">)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DTC (or its nominee) or any natural person or legal entity (each, a Person)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evidencing such Warrant Shares, as the case may be. In addition, solely for purposes of Regulation SHO, the Holder will be deemed to be the holder of record of Warrant Shares upon delivery of the Exercise Notice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(b) If by the close of the second (2nd) Trading Day after the Exercise Date, the Company fails to deliver to the Holder a certificate representing the required number of Warrant Shares in the manner required pursuant to </w:t>
      </w:r>
      <w:r>
        <w:rPr>
          <w:rFonts w:ascii="Times New Roman" w:hAnsi="Times New Roman"/>
          <w:sz w:val="20"/>
          <w:u w:val="single"/>
        </w:rPr>
        <w:t>Section 5(a)</w:t>
      </w:r>
      <w:r>
        <w:rPr>
          <w:rFonts w:ascii="Times New Roman" w:hAnsi="Times New Roman"/>
          <w:sz w:val="20"/>
        </w:rPr>
        <w:t xml:space="preserve"> or fails to or cause the Transfer Agent to credit the Holders balance account with DTC for such number of Warrant Shares to which the Holder is entitled, and if after such second (2nd) Trading Day and prior to the receipt of such Warrant Shares, the Holder purchases (in an open market transaction or otherwise) shares of Common Stock to deliver in satisfaction of a sale by the Holder of the Warrant Shares which the Holder anticipated receiving upon such exercise (a </w:t>
      </w:r>
      <w:r>
        <w:rPr>
          <w:rFonts w:ascii="Times New Roman" w:hAnsi="Times New Roman"/>
          <w:i/>
          <w:sz w:val="20"/>
        </w:rPr>
        <w:t>Buy-In</w:t>
      </w:r>
      <w:r>
        <w:rPr>
          <w:rFonts w:ascii="Times New Roman" w:hAnsi="Times New Roman"/>
          <w:sz w:val="20"/>
        </w:rPr>
        <w:t xml:space="preserve">), then the Company shall, within three (3) Trading Days after the Holders request and in the Holders sole discretion, either (i) pay in cash to the Holder an amount equal to the Holders total purchase price (including brokerage commissions, if any) for the shares of Common Stock so purchased, at which point the Companys obligation to deliver such certificate (and to issue such Warrant Shares) or to cause the Holders DTC account to be credited for such Warrant Shares shall terminate or (ii) promptly honor its obligation to deliver to the Holder a certificate or certificates representing such Warrant Shares or credit the Holders or its designees balance account with DTC for such Warrant Shares and pay cash to the Holder in an amount equal to the excess (if any) of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the extent permitted by law and subject to Section 5(b), the Companys obligations to or to cause the Transfer Agent to issue and deliver Warrant Shares in accordance with and subject to the terms hereof (including the limitations set forth in </w:t>
      </w:r>
      <w:r>
        <w:rPr>
          <w:rFonts w:ascii="Times New Roman" w:hAnsi="Times New Roman"/>
          <w:sz w:val="20"/>
          <w:u w:val="single"/>
        </w:rPr>
        <w:t>Section 11</w:t>
      </w:r>
      <w:r>
        <w:rPr>
          <w:rFonts w:ascii="Times New Roman" w:hAnsi="Times New Roman"/>
          <w:sz w:val="20"/>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Charges, Taxes and Expenses</w:t>
      </w:r>
      <w:r>
        <w:rPr>
          <w:rFonts w:ascii="Times New Roman" w:hAnsi="Times New Roman"/>
          <w:sz w:val="20"/>
        </w:rPr>
        <w:t xml:space="preserve">. Issuance and delivery of certificates for shares of Common Stock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w:t>
      </w:r>
      <w:r>
        <w:rPr>
          <w:rFonts w:ascii="Times New Roman" w:hAnsi="Times New Roman"/>
          <w:i/>
          <w:sz w:val="20"/>
        </w:rPr>
        <w:t>provided, however</w:t>
      </w:r>
      <w:r>
        <w:rPr>
          <w:rFonts w:ascii="Times New Roman" w:hAnsi="Times New Roman"/>
          <w:sz w:val="20"/>
        </w:rPr>
        <w:t xml:space="preserve">,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if requested by the Company (but not the posting of any surety or similar bond).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Reservation of Warrant Shares</w:t>
      </w:r>
      <w:r>
        <w:rPr>
          <w:rFonts w:ascii="Times New Roman" w:hAnsi="Times New Roman"/>
          <w:sz w:val="20"/>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hAnsi="Times New Roman"/>
          <w:sz w:val="20"/>
          <w:u w:val="single"/>
        </w:rPr>
        <w:t>Section 9</w:t>
      </w:r>
      <w:r>
        <w:rPr>
          <w:rFonts w:ascii="Times New Roman" w:hAnsi="Times New Roman"/>
          <w:sz w:val="20"/>
        </w:rPr>
        <w:t xml:space="preserve">).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Certain Adjustments</w:t>
      </w:r>
      <w:r>
        <w:rPr>
          <w:rFonts w:ascii="Times New Roman" w:hAnsi="Times New Roman"/>
          <w:sz w:val="20"/>
        </w:rPr>
        <w:t xml:space="preserve">. The Exercise Price and number of Warrant Shares issuable upon exercise of this Warrant are subject to adjustment from time to time as set forth in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on its Common Stock or otherwise makes a distribution on any class of capital stock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Common Stock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i/>
          <w:sz w:val="20"/>
        </w:rPr>
        <w:t>Distribution</w:t>
      </w:r>
      <w:r>
        <w:rPr>
          <w:rFonts w:ascii="Times New Roman" w:hAnsi="Times New Roman"/>
          <w:sz w:val="20"/>
        </w:rPr>
        <w:t xml:space="preserve">),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Fundamental Transactions</w:t>
      </w:r>
      <w:r>
        <w:rPr>
          <w:rFonts w:ascii="Times New Roman" w:hAnsi="Times New Roman"/>
          <w:sz w:val="20"/>
        </w:rPr>
        <w:t xml:space="preserve">. If, at any time while this Warrant is outstanding (i) the Company, directly or indirectly, in one or more related transactions,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(ii) the Company, directly or indirectly, effects any sale to another Person of all or substantially all of its assets in one transaction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hAnsi="Times New Roman"/>
          <w:sz w:val="20"/>
          <w:u w:val="single"/>
        </w:rPr>
        <w:t>Section 9(a)</w:t>
      </w:r>
      <w:r>
        <w:rPr>
          <w:rFonts w:ascii="Times New Roman" w:hAnsi="Times New Roman"/>
          <w:sz w:val="20"/>
        </w:rPr>
        <w:t xml:space="preserve"> above) (in any such case, a </w:t>
      </w:r>
      <w:r>
        <w:rPr>
          <w:rFonts w:ascii="Times New Roman" w:hAnsi="Times New Roman"/>
          <w:i/>
          <w:sz w:val="20"/>
        </w:rPr>
        <w:t>Fundamental Transaction</w:t>
      </w:r>
      <w:r>
        <w:rPr>
          <w:rFonts w:ascii="Times New Roman" w:hAnsi="Times New Roman"/>
          <w:sz w:val="20"/>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In the event the Holder does not exercise this Warrant as contemplated by the foregoing sentence, this Warrant shall be deemed exercised in full without regard to any limitations on exercise contained herein pursuant to the cashless exercise provision in Section 10 hereof upon the effective date of the consummation of such Fundamental Transaction.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Number of Warrant Shares</w:t>
      </w:r>
      <w:r>
        <w:rPr>
          <w:rFonts w:ascii="Times New Roman" w:hAnsi="Times New Roman"/>
          <w:sz w:val="20"/>
        </w:rPr>
        <w:t xml:space="preserve">. Simultaneously with any adjustment to the Exercise Price pursuant to </w:t>
      </w:r>
      <w:r>
        <w:rPr>
          <w:rFonts w:ascii="Times New Roman" w:hAnsi="Times New Roman"/>
          <w:sz w:val="20"/>
          <w:u w:val="single"/>
        </w:rPr>
        <w:t>Section 9</w:t>
      </w:r>
      <w:r>
        <w:rPr>
          <w:rFonts w:ascii="Times New Roman" w:hAnsi="Times New Roman"/>
          <w:sz w:val="20"/>
        </w:rPr>
        <w:t xml:space="preserve">, (including any adjustment to the Exercise Price that would have been effected but for the final sentence in this paragraph (d))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9</w:t>
      </w:r>
      <w:r>
        <w:rPr>
          <w:rFonts w:ascii="Times New Roman" w:hAnsi="Times New Roman"/>
          <w:sz w:val="20"/>
        </w:rPr>
        <w:t xml:space="preserve"> shall be made to the nearest one-hundredth of one cent or the nearest share,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 of Adjustments</w:t>
      </w:r>
      <w:r>
        <w:rPr>
          <w:rFonts w:ascii="Times New Roman" w:hAnsi="Times New Roman"/>
          <w:sz w:val="20"/>
        </w:rPr>
        <w:t xml:space="preserve">. Upon the occurrence of each adjustment pursuant to this </w:t>
      </w:r>
      <w:r>
        <w:rPr>
          <w:rFonts w:ascii="Times New Roman" w:hAnsi="Times New Roman"/>
          <w:sz w:val="20"/>
          <w:u w:val="single"/>
        </w:rPr>
        <w:t>Section 9</w:t>
      </w:r>
      <w:r>
        <w:rPr>
          <w:rFonts w:ascii="Times New Roman" w:hAnsi="Times New Roman"/>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Common Stock in order to participate in or vote with respect to such transaction; </w:t>
      </w:r>
      <w:r>
        <w:rPr>
          <w:rFonts w:ascii="Times New Roman" w:hAnsi="Times New Roman"/>
          <w:i/>
          <w:sz w:val="20"/>
        </w:rPr>
        <w:t>provided, however</w:t>
      </w:r>
      <w:r>
        <w:rPr>
          <w:rFonts w:ascii="Times New Roman" w:hAnsi="Times New Roman"/>
          <w:sz w:val="20"/>
        </w:rPr>
        <w:t xml:space="preserve">,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hAnsi="Times New Roman"/>
          <w:sz w:val="20"/>
          <w:u w:val="single"/>
        </w:rPr>
        <w:t>Section 9(c)</w:t>
      </w:r>
      <w:r>
        <w:rPr>
          <w:rFonts w:ascii="Times New Roman" w:hAnsi="Times New Roman"/>
          <w:sz w:val="20"/>
        </w:rPr>
        <w:t xml:space="preserve">, other than a Fundamental Transaction under clause (iii) of Section 9(c), then, except if such notice and the contents thereof shall be deemed to constitute material non-public information, the Company shall deliver to the Holder a notice of such Fundamental Transaction at least thirty (30) days prior to the date such Fundamental Transaction is consummated. Holder agrees to maintain any information disclosed pursuant to this Section 9(g) in confidence until such information is publicly available, and shall comply with applicable law with respect to trading in the Companys securities following receipt any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Voluntary Adjustment By Company.</w:t>
      </w:r>
      <w:r>
        <w:rPr>
          <w:rFonts w:ascii="Times New Roman" w:hAnsi="Times New Roman"/>
          <w:sz w:val="20"/>
        </w:rPr>
        <w:t xml:space="preserve"> Subject to the rules and regulations of the Principal Trading Market, the Company may at any time during the term of this Warrant, reduce the then-current Exercise Price to any amount and for any period of time deemed appropriate by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Cashless Exercise</w:t>
      </w:r>
      <w:r>
        <w:rPr>
          <w:rFonts w:ascii="Times New Roman" w:hAnsi="Times New Roman"/>
          <w:sz w:val="20"/>
        </w:rPr>
        <w:t xml:space="preserve">. Notwithstanding anything contained herein to the contrary, if at the time of exercise hereof there is no effective registration statement registering the issuance of the Warrant Shares to the Holder upon exercise of this Warrant, then this Warrant may only be exercised, in whole or in part, at such time by means of a cashless exercise, in which event the Company shall issue to the Holder the number of Warrant Shares in an exchange of securities effected pursuant to Section 3(a)(9) of the Securities Act, as determined as follows: </w:t>
      </w:r>
    </w:p>
    <w:p>
      <w:pPr>
        <w:pStyle w:val="TextBody"/>
        <w:bidi w:val="0"/>
        <w:spacing w:before="120" w:after="0"/>
        <w:jc w:val="center"/>
        <w:rPr>
          <w:rFonts w:ascii="Times New Roman" w:hAnsi="Times New Roman"/>
          <w:sz w:val="20"/>
        </w:rPr>
      </w:pPr>
      <w:r>
        <w:rPr>
          <w:rFonts w:ascii="Times New Roman" w:hAnsi="Times New Roman"/>
          <w:sz w:val="20"/>
        </w:rPr>
        <w:t>X = Y [(A-B)/A]</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rFonts w:ascii="Times New Roman" w:hAnsi="Times New Roman"/>
          <w:sz w:val="20"/>
        </w:rPr>
      </w:pPr>
      <w:r>
        <w:rPr>
          <w:rFonts w:ascii="Times New Roman" w:hAnsi="Times New Roman"/>
          <w:sz w:val="20"/>
        </w:rPr>
        <w:t xml:space="preserve">X equals the number of Warrant Shares to be issued to the Holder; </w:t>
      </w:r>
    </w:p>
    <w:p>
      <w:pPr>
        <w:pStyle w:val="TextBody"/>
        <w:bidi w:val="0"/>
        <w:spacing w:before="240" w:after="0"/>
        <w:jc w:val="left"/>
        <w:rPr>
          <w:rFonts w:ascii="Times New Roman" w:hAnsi="Times New Roman"/>
          <w:sz w:val="20"/>
        </w:rPr>
      </w:pPr>
      <w:r>
        <w:rPr>
          <w:rFonts w:ascii="Times New Roman" w:hAnsi="Times New Roman"/>
          <w:sz w:val="20"/>
        </w:rPr>
        <w:t xml:space="preserve">Y equals the total number of Warrant Shares with respect to which this Warrant is then being exercised;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equals the Closing Sale Price per share of Common Stock (as reported by Bloomberg Financial Markets) as of the Trading Day immediately preceding the Exercise Date; and </w:t>
      </w:r>
    </w:p>
    <w:p>
      <w:pPr>
        <w:pStyle w:val="TextBody"/>
        <w:bidi w:val="0"/>
        <w:spacing w:before="240" w:after="0"/>
        <w:jc w:val="left"/>
        <w:rPr>
          <w:rFonts w:ascii="Times New Roman" w:hAnsi="Times New Roman"/>
          <w:sz w:val="20"/>
        </w:rPr>
      </w:pPr>
      <w:r>
        <w:rPr>
          <w:rFonts w:ascii="Times New Roman" w:hAnsi="Times New Roman"/>
          <w:sz w:val="20"/>
        </w:rPr>
        <w:t xml:space="preserve">B equals the Exercise Price per Warrant Share then in effect on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(provided that the Commission continues to take the position that such treatment is proper at the time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Limitations on 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anything to the contrary contained herein, the Company shall not effect any exercise of this Warrant, and the Holder shall not be entitled to exercise this Warrant for a number of Warrant Shares in excess of that number of Warrant Shares which, upon giving effect or immediately prior to such exercise, would cause (i) the aggregate number of shares of Common Stock beneficially owned by the Holder, its Affiliates and any Persons who are members of a Section 13(d) group with such Holder or its Affiliates to exceed 4.99% (or at the election of the Holder prior to the issuance of this Warrant, 9.99%) (the </w:t>
      </w:r>
      <w:r>
        <w:rPr>
          <w:rFonts w:ascii="Times New Roman" w:hAnsi="Times New Roman"/>
          <w:i/>
          <w:sz w:val="20"/>
        </w:rPr>
        <w:t>Maximum Percentage</w:t>
      </w:r>
      <w:r>
        <w:rPr>
          <w:rFonts w:ascii="Times New Roman" w:hAnsi="Times New Roman"/>
          <w:sz w:val="20"/>
        </w:rPr>
        <w:t xml:space="preserve">) of the total number of issued and outstanding shares of Common Stock of the Company following such exercise, or (ii) the combined voting power of the securities of the Company beneficially owned by the Holder and its Affiliates and any other Persons who are members of a Section 13(d) group with such Holder or its Affiliates to exceed the Maximum Percentage of the combined voting power of all of the securities of the Company then outstanding following such exercise. For purposes of this paragraph, beneficial ownership and whether a holder is a member of a Section 13(d) group shall be calculated and determined in accordance with Section 13(d) of the Exchange Act and the rules promulgated thereunder. For purposes of this Warrant, in determining the number of outstanding shares of Common Stock, the Holder may rely on the number of outstanding shares of Common Stock as reflected in (x) the Companys most recent Quarterly Report on Form 10-Q or Annual Report on Form 10-K, as the case may be, (y) a more recent public announcement by the Company or (z) any other written notice by the Company or the Transfer Agent setting forth the number of shares of Common Stock outstanding. Upon the written request of the Holder, the Company shall within three (3) Trading Days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 other percentage specified in such notice, but not in excess of 19.99% (or at the election of the Holder prior to the issuance of this Warrant, 9.99%) specified in such notice; provided that any such increase will not be effective until the sixty-first (61st) day after such notice is delivered to the Company. For purposes of this Section 11(a), the aggregate number of shares of Common Stock or voting securities beneficially owned by the Holder and its Affiliates and any other Persons who are members of a Section 13(d) group with such Holder or its Affiliates shall include the shares of Common Stock issuable upon (x) the exercise of this Warrant with respect to which such determination is being made, but shall exclude the number of shares of Common Stock which would be issuable upon exercise of the remaining unexercised and non-cancelled portion of this Warrant by the Holder and (y) the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but excluding such shares underlying such instrument which is subject to a limitation on conversion or exercise analogous to the limitation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11</w:t>
      </w:r>
      <w:r>
        <w:rPr>
          <w:rFonts w:ascii="Times New Roman" w:hAnsi="Times New Roman"/>
          <w:sz w:val="20"/>
        </w:rPr>
        <w:t xml:space="preserve"> shall not restrict the number of shares of Common Stock, which a Holder may receive or beneficially own in order to determine the amount of securities or other consideration that such Holder may receive in the event of a Fundamental Transaction as contemplated in </w:t>
      </w:r>
      <w:r>
        <w:rPr>
          <w:rFonts w:ascii="Times New Roman" w:hAnsi="Times New Roman"/>
          <w:sz w:val="20"/>
          <w:u w:val="single"/>
        </w:rPr>
        <w:t>Section 9(c)</w:t>
      </w:r>
      <w:r>
        <w:rPr>
          <w:rFonts w:ascii="Times New Roman" w:hAnsi="Times New Roman"/>
          <w:sz w:val="20"/>
        </w:rPr>
        <w:t xml:space="preserve"> of this Warrant.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and all notices or other communications or deliveries hereunder (including, without limitation, any Exercise Notice) shall be in writing and shall be deemed given and effective on the earliest of (i) the time of transmission, if such notice or communication is delivered via facsimile or e-mail prior to 5:30 P.M., New York City time, on a Trading Day so long as the sender of an e-mail has not received an automated notice of delivery failure from the proposed recipients computer server, (ii) the next Trading Day after the date of transmission, if such notice or communication is delivered via facsimile or e-mail on a day that is not a Trading Day or later than 5:30 P.M., New York City time, on any Trading Day so long as the sender of an e-mail has not received an automated notice of delivery failure from the proposed recipients computer server, (iii) the Trading Day following the date of mailing, if sent by nationally recognized overnight courier service specifying next business day delivery, or (iv) upon actual receipt by the Person to whom such notice is required to be given, if by hand delivery. The addresses, facsimile numbers and e-mail addresses for such communications shall be: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Tenaya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171 Oyster Point Blvd., Suite 500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 94080 </w:t>
      </w:r>
    </w:p>
    <w:p>
      <w:pPr>
        <w:pStyle w:val="TextBody"/>
        <w:bidi w:val="0"/>
        <w:spacing w:before="240" w:after="0"/>
        <w:jc w:val="left"/>
        <w:rPr>
          <w:rFonts w:ascii="Times New Roman" w:hAnsi="Times New Roman"/>
          <w:sz w:val="20"/>
        </w:rPr>
      </w:pPr>
      <w:r>
        <w:rPr>
          <w:rFonts w:ascii="Times New Roman" w:hAnsi="Times New Roman"/>
          <w:sz w:val="20"/>
        </w:rPr>
        <w:t xml:space="preserve">If to the Holder, to its address, facsimile number or e-mail address set forth herein or on the books and records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Or, in each of the above instances, to such other address, facsimile number or e-mail address as the recipient party has specified by written notice given to each other party at least five (5) days prior to the effectiveness of such change.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Warrant Agent</w:t>
      </w:r>
      <w:r>
        <w:rPr>
          <w:rFonts w:ascii="Times New Roman" w:hAnsi="Times New Roman"/>
          <w:sz w:val="20"/>
        </w:rPr>
        <w:t xml:space="preserve">. The Company shall initially serve as warrant agent under this Warrant.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Authorized Shares</w:t>
      </w:r>
      <w:r>
        <w:rPr>
          <w:rFonts w:ascii="Times New Roman" w:hAnsi="Times New Roman"/>
          <w:sz w:val="20"/>
        </w:rPr>
        <w:t xml:space="preserve">. (i)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w:t>
      </w:r>
    </w:p>
    <w:p>
      <w:pPr>
        <w:pStyle w:val="TextBody"/>
        <w:bidi w:val="0"/>
        <w:spacing w:before="240" w:after="0"/>
        <w:jc w:val="left"/>
        <w:rPr>
          <w:rFonts w:ascii="Times New Roman" w:hAnsi="Times New Roman"/>
          <w:sz w:val="20"/>
        </w:rPr>
      </w:pPr>
      <w:r>
        <w:rPr>
          <w:rFonts w:ascii="Times New Roman" w:hAnsi="Times New Roman"/>
          <w:sz w:val="20"/>
        </w:rPr>
        <w:t xml:space="preserve">(ii)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the restrictions on transfer set forth in this Warrant and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Except as otherwise provided herein, the provisions of this Warrant may be amended and the Company may take any action herein prohibited, or omit to perform any act herein required to be performed by it, only if the Company has obtained the written consent of the Holder.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DELAWARE WITHOUT REGARD TO THE PRINCIPLES OF CONFLICTS OF LAW THEREOF. EACH OF THE COMPANY AND THE HOLDER HEREBY IRREVOCABLY SUBMITS TO THE EXCLUSIVE JURISDICTION OF THE STATE AND FEDERAL COURTS SITTING IN THE STATE OF DELAWARE,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TENAYA THERAPEUTICS,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w:t>
            </w:r>
          </w:p>
        </w:tc>
      </w:tr>
      <w:tr>
        <w:trPr/>
        <w:tc>
          <w:tcPr>
            <w:tcW w:w="4082" w:type="dxa"/>
            <w:tcBorders/>
          </w:tcPr>
          <w:p>
            <w:pPr>
              <w:pStyle w:val="TableContents"/>
              <w:bidi w:val="0"/>
              <w:spacing w:before="0" w:after="283"/>
              <w:jc w:val="left"/>
              <w:rPr/>
            </w:pPr>
            <w:r>
              <w:rPr/>
              <w:t>Name:</w:t>
            </w:r>
          </w:p>
        </w:tc>
      </w:tr>
      <w:tr>
        <w:trPr/>
        <w:tc>
          <w:tcPr>
            <w:tcW w:w="4082"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1 </w:t>
      </w:r>
    </w:p>
    <w:p>
      <w:pPr>
        <w:pStyle w:val="TextBody"/>
        <w:bidi w:val="0"/>
        <w:spacing w:before="120" w:after="0"/>
        <w:jc w:val="center"/>
        <w:rPr>
          <w:rFonts w:ascii="Times New Roman" w:hAnsi="Times New Roman"/>
          <w:sz w:val="20"/>
        </w:rPr>
      </w:pPr>
      <w:r>
        <w:rPr>
          <w:rFonts w:ascii="Times New Roman" w:hAnsi="Times New Roman"/>
          <w:sz w:val="20"/>
        </w:rPr>
        <w:t xml:space="preserve">FORM OF EXERCISE NOTICE </w:t>
      </w:r>
    </w:p>
    <w:p>
      <w:pPr>
        <w:pStyle w:val="TextBody"/>
        <w:bidi w:val="0"/>
        <w:spacing w:before="120" w:after="0"/>
        <w:jc w:val="center"/>
        <w:rPr>
          <w:rFonts w:ascii="Times New Roman" w:hAnsi="Times New Roman"/>
          <w:sz w:val="20"/>
        </w:rPr>
      </w:pPr>
      <w:r>
        <w:rPr>
          <w:rFonts w:ascii="Times New Roman" w:hAnsi="Times New Roman"/>
          <w:sz w:val="20"/>
        </w:rPr>
        <w:t xml:space="preserve">[To be executed by the Holder to purchase shares of Common Stock under the Warrant]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(1) The undersigned is the Holder of Warrant No. __ (the </w:t>
      </w:r>
      <w:r>
        <w:rPr>
          <w:rFonts w:ascii="Times New Roman" w:hAnsi="Times New Roman"/>
          <w:i/>
          <w:sz w:val="20"/>
        </w:rPr>
        <w:t>Warrant</w:t>
      </w:r>
      <w:r>
        <w:rPr>
          <w:rFonts w:ascii="Times New Roman" w:hAnsi="Times New Roman"/>
          <w:sz w:val="20"/>
        </w:rPr>
        <w:t>) issued by Tenaya Therapeutics, Inc., a Delaware corporation (the </w:t>
      </w:r>
      <w:r>
        <w:rPr>
          <w:rFonts w:ascii="Times New Roman" w:hAnsi="Times New Roman"/>
          <w:i/>
          <w:sz w:val="20"/>
        </w:rPr>
        <w:t>Company</w:t>
      </w:r>
      <w:r>
        <w:rPr>
          <w:rFonts w:ascii="Times New Roman" w:hAnsi="Times New Roman"/>
          <w:sz w:val="20"/>
        </w:rPr>
        <w:t xml:space="preserve">). Capitalized terms used herein and not otherwise defined herein have the respective meanings set forth in the Warrant. </w:t>
      </w:r>
    </w:p>
    <w:p>
      <w:pPr>
        <w:pStyle w:val="TextBody"/>
        <w:bidi w:val="0"/>
        <w:spacing w:before="240" w:after="0"/>
        <w:jc w:val="left"/>
        <w:rPr>
          <w:rFonts w:ascii="Times New Roman" w:hAnsi="Times New Roman"/>
          <w:sz w:val="20"/>
        </w:rPr>
      </w:pPr>
      <w:r>
        <w:rPr>
          <w:rFonts w:ascii="Times New Roman" w:hAnsi="Times New Roman"/>
          <w:sz w:val="20"/>
        </w:rPr>
        <w:t>(2) The undersigned hereby exercises its right to purchase __________ Warrant Shares (the </w:t>
      </w:r>
      <w:r>
        <w:rPr>
          <w:rFonts w:ascii="Times New Roman" w:hAnsi="Times New Roman"/>
          <w:i/>
          <w:sz w:val="20"/>
        </w:rPr>
        <w:t>Exercised Warrant Shares</w:t>
      </w:r>
      <w:r>
        <w:rPr>
          <w:rFonts w:ascii="Times New Roman" w:hAnsi="Times New Roman"/>
          <w:sz w:val="20"/>
        </w:rPr>
        <w:t xml:space="preserve">) pursuant to the Warrant. </w:t>
      </w:r>
    </w:p>
    <w:p>
      <w:pPr>
        <w:pStyle w:val="TextBody"/>
        <w:bidi w:val="0"/>
        <w:spacing w:before="240" w:after="0"/>
        <w:jc w:val="left"/>
        <w:rPr>
          <w:rFonts w:ascii="Times New Roman" w:hAnsi="Times New Roman"/>
          <w:sz w:val="20"/>
        </w:rPr>
      </w:pPr>
      <w:r>
        <w:rPr>
          <w:rFonts w:ascii="Times New Roman" w:hAnsi="Times New Roman"/>
          <w:sz w:val="20"/>
        </w:rPr>
        <w:t xml:space="preserve">(3) The Holder intends that payment of the Exercise Price shall be made as (check one): </w:t>
      </w:r>
    </w:p>
    <w:p>
      <w:pPr>
        <w:pStyle w:val="TextBody"/>
        <w:bidi w:val="0"/>
        <w:spacing w:before="120" w:after="0"/>
        <w:jc w:val="left"/>
        <w:rPr/>
      </w:pPr>
      <w:r>
        <w:rPr/>
        <w:t xml:space="preserve">☐ </w:t>
      </w:r>
      <w:r>
        <w:rPr>
          <w:rFonts w:ascii="Times New Roman" w:hAnsi="Times New Roman"/>
          <w:sz w:val="20"/>
        </w:rPr>
        <w:t xml:space="preserve">Cash Exercise </w:t>
      </w:r>
    </w:p>
    <w:p>
      <w:pPr>
        <w:pStyle w:val="TextBody"/>
        <w:bidi w:val="0"/>
        <w:spacing w:before="120" w:after="0"/>
        <w:jc w:val="left"/>
        <w:rPr/>
      </w:pPr>
      <w:r>
        <w:rPr/>
        <w:t xml:space="preserve">☐ </w:t>
      </w:r>
      <w:r>
        <w:rPr>
          <w:rFonts w:ascii="Times New Roman" w:hAnsi="Times New Roman"/>
          <w:sz w:val="20"/>
        </w:rPr>
        <w:t xml:space="preserve">if permitted in accordance with Section 10 of the Warrant, Cashless Exercise </w:t>
      </w:r>
    </w:p>
    <w:p>
      <w:pPr>
        <w:pStyle w:val="TextBody"/>
        <w:bidi w:val="0"/>
        <w:spacing w:before="240" w:after="0"/>
        <w:jc w:val="left"/>
        <w:rPr>
          <w:rFonts w:ascii="Times New Roman" w:hAnsi="Times New Roman"/>
          <w:sz w:val="20"/>
        </w:rPr>
      </w:pPr>
      <w:r>
        <w:rPr>
          <w:rFonts w:ascii="Times New Roman" w:hAnsi="Times New Roman"/>
          <w:sz w:val="20"/>
        </w:rPr>
        <w:t xml:space="preserve">(4) If the Holder has elected a Cash Exercise, the Holder shall pay the sum of $ __________ in immediately available funds to the Company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(5) Pursuant to this Exercise Notice, the Company shall deliver to the Holder the Exercised Warrant Shares determined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(6) 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w:t>
      </w:r>
      <w:r>
        <w:rPr>
          <w:rFonts w:ascii="Times New Roman" w:hAnsi="Times New Roman"/>
          <w:sz w:val="20"/>
          <w:u w:val="single"/>
        </w:rPr>
        <w:t>Section 11(a)</w:t>
      </w:r>
      <w:r>
        <w:rPr>
          <w:rFonts w:ascii="Times New Roman" w:hAnsi="Times New Roman"/>
          <w:sz w:val="20"/>
        </w:rPr>
        <w:t xml:space="preserve"> of the Warrant to which this notice relates.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Dated: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 of 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right"/>
        <w:rPr>
          <w:rFonts w:ascii="Times New Roman" w:hAnsi="Times New Roman"/>
          <w:b/>
          <w:sz w:val="20"/>
        </w:rPr>
      </w:pPr>
      <w:bookmarkStart w:id="4" w:name="d878268dex41.htm"/>
      <w:bookmarkStart w:id="5" w:name="ksd878268dex41"/>
      <w:bookmarkEnd w:id="4"/>
      <w:bookmarkEnd w:id="5"/>
      <w:r>
        <w:rPr>
          <w:rFonts w:ascii="Times New Roman" w:hAnsi="Times New Roman"/>
          <w:b/>
          <w:sz w:val="20"/>
        </w:rPr>
        <w:t xml:space="preserve">Exhibit 4.1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TENAYA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SERIES A WARRANT TO PURCHASE COMMON STOCK </w:t>
      </w:r>
    </w:p>
    <w:p>
      <w:pPr>
        <w:pStyle w:val="TextBody"/>
        <w:bidi w:val="0"/>
        <w:spacing w:before="240" w:after="0"/>
        <w:jc w:val="right"/>
        <w:rPr>
          <w:rFonts w:ascii="Times New Roman" w:hAnsi="Times New Roman"/>
          <w:sz w:val="20"/>
        </w:rPr>
      </w:pPr>
      <w:r>
        <w:rPr>
          <w:rFonts w:ascii="Times New Roman" w:hAnsi="Times New Roman"/>
          <w:sz w:val="20"/>
        </w:rPr>
        <w:t xml:space="preserve">Number of Shares: [ ] </w:t>
      </w:r>
    </w:p>
    <w:p>
      <w:pPr>
        <w:pStyle w:val="TextBody"/>
        <w:bidi w:val="0"/>
        <w:spacing w:before="0" w:after="0"/>
        <w:jc w:val="right"/>
        <w:rPr>
          <w:rFonts w:ascii="Times New Roman" w:hAnsi="Times New Roman"/>
          <w:sz w:val="20"/>
        </w:rPr>
      </w:pPr>
      <w:r>
        <w:rPr>
          <w:rFonts w:ascii="Times New Roman" w:hAnsi="Times New Roman"/>
          <w:sz w:val="20"/>
        </w:rPr>
        <w:t xml:space="preserve">(subject to adjustment)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8"/>
        <w:gridCol w:w="125"/>
        <w:gridCol w:w="4922"/>
      </w:tblGrid>
      <w:tr>
        <w:trPr/>
        <w:tc>
          <w:tcPr>
            <w:tcW w:w="515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922" w:type="dxa"/>
            <w:tcBorders/>
            <w:vAlign w:val="center"/>
          </w:tcPr>
          <w:p>
            <w:pPr>
              <w:pStyle w:val="TableContents"/>
              <w:bidi w:val="0"/>
              <w:spacing w:before="0" w:after="283"/>
              <w:jc w:val="left"/>
              <w:rPr>
                <w:sz w:val="4"/>
                <w:szCs w:val="4"/>
              </w:rPr>
            </w:pPr>
            <w:r>
              <w:rPr>
                <w:sz w:val="4"/>
                <w:szCs w:val="4"/>
              </w:rPr>
            </w:r>
          </w:p>
        </w:tc>
      </w:tr>
      <w:tr>
        <w:trPr/>
        <w:tc>
          <w:tcPr>
            <w:tcW w:w="5158" w:type="dxa"/>
            <w:tcBorders/>
          </w:tcPr>
          <w:p>
            <w:pPr>
              <w:pStyle w:val="TableContents"/>
              <w:bidi w:val="0"/>
              <w:spacing w:before="0" w:after="283"/>
              <w:jc w:val="left"/>
              <w:rPr/>
            </w:pPr>
            <w:r>
              <w:rPr/>
              <w:t>Warrant No. A-[ ]</w:t>
            </w:r>
          </w:p>
        </w:tc>
        <w:tc>
          <w:tcPr>
            <w:tcW w:w="125"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right"/>
              <w:rPr/>
            </w:pPr>
            <w:r>
              <w:rPr/>
              <w:t>Original Issue Date: March [ ], 2025</w:t>
            </w:r>
          </w:p>
        </w:tc>
      </w:tr>
    </w:tbl>
    <w:p>
      <w:pPr>
        <w:pStyle w:val="TextBody"/>
        <w:bidi w:val="0"/>
        <w:spacing w:before="240" w:after="0"/>
        <w:jc w:val="left"/>
        <w:rPr>
          <w:rFonts w:ascii="Times New Roman" w:hAnsi="Times New Roman"/>
          <w:sz w:val="20"/>
        </w:rPr>
      </w:pPr>
      <w:r>
        <w:rPr>
          <w:rFonts w:ascii="Times New Roman" w:hAnsi="Times New Roman"/>
          <w:sz w:val="20"/>
        </w:rPr>
        <w:t>Tenaya Therapeutics, Inc., a Delaware corporation (the </w:t>
      </w:r>
      <w:r>
        <w:rPr>
          <w:rFonts w:ascii="Times New Roman" w:hAnsi="Times New Roman"/>
          <w:i/>
          <w:sz w:val="20"/>
        </w:rPr>
        <w:t>Company</w:t>
      </w:r>
      <w:r>
        <w:rPr>
          <w:rFonts w:ascii="Times New Roman" w:hAnsi="Times New Roman"/>
          <w:sz w:val="20"/>
        </w:rPr>
        <w:t>), hereby certifies that, for good and valuable consideration, the receipt and sufficiency of which are hereby acknowledged, [ ] or its registered assigns (the </w:t>
      </w:r>
      <w:r>
        <w:rPr>
          <w:rFonts w:ascii="Times New Roman" w:hAnsi="Times New Roman"/>
          <w:i/>
          <w:sz w:val="20"/>
        </w:rPr>
        <w:t>Holder</w:t>
      </w:r>
      <w:r>
        <w:rPr>
          <w:rFonts w:ascii="Times New Roman" w:hAnsi="Times New Roman"/>
          <w:sz w:val="20"/>
        </w:rPr>
        <w:t>), is entitled, subject to the terms set forth below, to purchase from the Company up to a total of [ ] shares of common stock, $0.001 par value per share (the </w:t>
      </w:r>
      <w:r>
        <w:rPr>
          <w:rFonts w:ascii="Times New Roman" w:hAnsi="Times New Roman"/>
          <w:i/>
          <w:sz w:val="20"/>
        </w:rPr>
        <w:t>Common Stock</w:t>
      </w:r>
      <w:r>
        <w:rPr>
          <w:rFonts w:ascii="Times New Roman" w:hAnsi="Times New Roman"/>
          <w:sz w:val="20"/>
        </w:rPr>
        <w:t>), of the Company (each such share, a </w:t>
      </w:r>
      <w:r>
        <w:rPr>
          <w:rFonts w:ascii="Times New Roman" w:hAnsi="Times New Roman"/>
          <w:i/>
          <w:sz w:val="20"/>
        </w:rPr>
        <w:t>Warrant Share</w:t>
      </w:r>
      <w:r>
        <w:rPr>
          <w:rFonts w:ascii="Times New Roman" w:hAnsi="Times New Roman"/>
          <w:sz w:val="20"/>
        </w:rPr>
        <w:t> and all such shares, the </w:t>
      </w:r>
      <w:r>
        <w:rPr>
          <w:rFonts w:ascii="Times New Roman" w:hAnsi="Times New Roman"/>
          <w:i/>
          <w:sz w:val="20"/>
        </w:rPr>
        <w:t>Warrant Shares</w:t>
      </w:r>
      <w:r>
        <w:rPr>
          <w:rFonts w:ascii="Times New Roman" w:hAnsi="Times New Roman"/>
          <w:sz w:val="20"/>
        </w:rPr>
        <w:t xml:space="preserve">) at an exercise price per share equal to $0.80 per share (as adjusted from time to time as provided in </w:t>
      </w:r>
      <w:r>
        <w:rPr>
          <w:rFonts w:ascii="Times New Roman" w:hAnsi="Times New Roman"/>
          <w:sz w:val="20"/>
          <w:u w:val="single"/>
        </w:rPr>
        <w:t>Section 9</w:t>
      </w:r>
      <w:r>
        <w:rPr>
          <w:rFonts w:ascii="Times New Roman" w:hAnsi="Times New Roman"/>
          <w:sz w:val="20"/>
        </w:rPr>
        <w:t xml:space="preserve"> herein, the </w:t>
      </w:r>
      <w:r>
        <w:rPr>
          <w:rFonts w:ascii="Times New Roman" w:hAnsi="Times New Roman"/>
          <w:i/>
          <w:sz w:val="20"/>
        </w:rPr>
        <w:t>Exercise Price</w:t>
      </w:r>
      <w:r>
        <w:rPr>
          <w:rFonts w:ascii="Times New Roman" w:hAnsi="Times New Roman"/>
          <w:sz w:val="20"/>
        </w:rPr>
        <w:t xml:space="preserve">), upon surrender of this </w:t>
      </w:r>
      <w:r>
        <w:rPr>
          <w:rFonts w:ascii="Times New Roman" w:hAnsi="Times New Roman"/>
          <w:i/>
          <w:sz w:val="20"/>
        </w:rPr>
        <w:t>Series A Warrant to Purchase Common Stock</w:t>
      </w:r>
      <w:r>
        <w:rPr>
          <w:rFonts w:ascii="Times New Roman" w:hAnsi="Times New Roman"/>
          <w:sz w:val="20"/>
        </w:rPr>
        <w:t xml:space="preserve"> (including any </w:t>
      </w:r>
      <w:r>
        <w:rPr>
          <w:rFonts w:ascii="Times New Roman" w:hAnsi="Times New Roman"/>
          <w:i/>
          <w:sz w:val="20"/>
        </w:rPr>
        <w:t>Warrants to Purchase Common Stock</w:t>
      </w:r>
      <w:r>
        <w:rPr>
          <w:rFonts w:ascii="Times New Roman" w:hAnsi="Times New Roman"/>
          <w:sz w:val="20"/>
        </w:rPr>
        <w:t xml:space="preserve"> issued in exchange, transfer or replacement hereof, the </w:t>
      </w:r>
      <w:r>
        <w:rPr>
          <w:rFonts w:ascii="Times New Roman" w:hAnsi="Times New Roman"/>
          <w:i/>
          <w:sz w:val="20"/>
        </w:rPr>
        <w:t>Warrant</w:t>
      </w:r>
      <w:r>
        <w:rPr>
          <w:rFonts w:ascii="Times New Roman" w:hAnsi="Times New Roman"/>
          <w:sz w:val="20"/>
        </w:rPr>
        <w:t>) at any time and from time to time on or after the date hereof (the </w:t>
      </w:r>
      <w:r>
        <w:rPr>
          <w:rFonts w:ascii="Times New Roman" w:hAnsi="Times New Roman"/>
          <w:i/>
          <w:sz w:val="20"/>
        </w:rPr>
        <w:t>Original Issue Date</w:t>
      </w:r>
      <w:r>
        <w:rPr>
          <w:rFonts w:ascii="Times New Roman" w:hAnsi="Times New Roman"/>
          <w:sz w:val="20"/>
        </w:rPr>
        <w:t>) and on or prior to 5:00 P.M., New York City time on the five year anniversary of the Original Issue Date (the </w:t>
      </w:r>
      <w:r>
        <w:rPr>
          <w:rFonts w:ascii="Times New Roman" w:hAnsi="Times New Roman"/>
          <w:i/>
          <w:sz w:val="20"/>
        </w:rPr>
        <w:t>Termination Date</w:t>
      </w:r>
      <w:r>
        <w:rPr>
          <w:rFonts w:ascii="Times New Roman" w:hAnsi="Times New Roman"/>
          <w:sz w:val="20"/>
        </w:rPr>
        <w:t xml:space="preserve">), subject to the following terms and conditions: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For purposes of this Warrant,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Affiliate</w:t>
      </w:r>
      <w:r>
        <w:rPr>
          <w:rFonts w:ascii="Times New Roman" w:hAnsi="Times New Roman"/>
          <w:sz w:val="20"/>
        </w:rPr>
        <w:t xml:space="preserve"> means any Person directly or indirectly controlled by, controlling or under common control with, a Holder,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option, warrant or other similar arrangement) or other comparable equity interests.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i/>
          <w:sz w:val="20"/>
        </w:rPr>
        <w:t>Commission</w:t>
      </w:r>
      <w:r>
        <w:rPr>
          <w:rFonts w:ascii="Times New Roman" w:hAnsi="Times New Roman"/>
          <w:sz w:val="20"/>
        </w:rPr>
        <w:t xml:space="preserve"> means the United States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i/>
          <w:sz w:val="20"/>
        </w:rPr>
        <w:t>Closing Sale Price</w:t>
      </w:r>
      <w:r>
        <w:rPr>
          <w:rFonts w:ascii="Times New Roman" w:hAnsi="Times New Roman"/>
          <w:sz w:val="20"/>
        </w:rPr>
        <w:t xml:space="preserve">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pink sheets by Pink Sheets LLC. If the Closing Sale Price cannot be calculated for a security on a particular date on any of the foregoing bases, the Closing Sale Price of such security on such date shall be the fair market value as mutually determined in good faith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i/>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i/>
          <w:sz w:val="20"/>
        </w:rPr>
        <w:t>Principal Trading Market</w:t>
      </w:r>
      <w:r>
        <w:rPr>
          <w:rFonts w:ascii="Times New Roman" w:hAnsi="Times New Roman"/>
          <w:sz w:val="20"/>
        </w:rPr>
        <w:t xml:space="preserve"> means the national securities exchange or other trading market on which the Common Stock is primarily listed on and quoted for trading, which, as of the Original Issue Date, shall be the Nasdaq Global Select Market.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i/>
          <w:sz w:val="20"/>
        </w:rPr>
        <w:t>Registration Statement</w:t>
      </w:r>
      <w:r>
        <w:rPr>
          <w:rFonts w:ascii="Times New Roman" w:hAnsi="Times New Roman"/>
          <w:sz w:val="20"/>
        </w:rPr>
        <w:t xml:space="preserve"> means the Companys Registration Statement on Form S-3 (File No. 333-266741), declared effective on August 17, 2022.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i/>
          <w:sz w:val="20"/>
        </w:rPr>
        <w:t>Securities Act</w:t>
      </w:r>
      <w:r>
        <w:rPr>
          <w:rFonts w:ascii="Times New Roman" w:hAnsi="Times New Roman"/>
          <w:sz w:val="20"/>
        </w:rPr>
        <w:t xml:space="preserve"> means the Securities Act of 1933, as amended.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 </w:t>
      </w:r>
      <w:r>
        <w:rPr>
          <w:rFonts w:ascii="Times New Roman" w:hAnsi="Times New Roman"/>
          <w:i/>
          <w:sz w:val="20"/>
        </w:rPr>
        <w:t>Standard Settlement Period</w:t>
      </w:r>
      <w:r>
        <w:rPr>
          <w:rFonts w:ascii="Times New Roman" w:hAnsi="Times New Roman"/>
          <w:sz w:val="20"/>
        </w:rPr>
        <w:t xml:space="preserve"> means the standard settlement period, expressed in a number of Trading Days, on the Companys Principal Trading Market with respect to the Common Stock as in effect on the date of delivery of the Exercise Notice.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i/>
          <w:sz w:val="20"/>
        </w:rPr>
        <w:t>Trading Day</w:t>
      </w:r>
      <w:r>
        <w:rPr>
          <w:rFonts w:ascii="Times New Roman" w:hAnsi="Times New Roman"/>
          <w:sz w:val="20"/>
        </w:rPr>
        <w:t xml:space="preserve"> means any weekday on which the Principal Trading Market is normally open for trading.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i/>
          <w:sz w:val="20"/>
        </w:rPr>
        <w:t>Transfer Agent</w:t>
      </w:r>
      <w:r>
        <w:rPr>
          <w:rFonts w:ascii="Times New Roman" w:hAnsi="Times New Roman"/>
          <w:sz w:val="20"/>
        </w:rPr>
        <w:t xml:space="preserve"> means Computershare Trust Company, N.A., the Companys transfer agent and registrar for the Common Stock, and any successor appointed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Issuance of Securities; Registration of Warrants</w:t>
      </w:r>
      <w:r>
        <w:rPr>
          <w:rFonts w:ascii="Times New Roman" w:hAnsi="Times New Roman"/>
          <w:sz w:val="20"/>
        </w:rPr>
        <w:t>. The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Securities Act as in effect on the Original Issue Date, the Warrant Shares, are not restricted securities under Rule 144 promulgated under the Securities Act. The Company shall register ownership of this Warrant, upon records to be maintained by the Company for that purpose (the </w:t>
      </w:r>
      <w:r>
        <w:rPr>
          <w:rFonts w:ascii="Times New Roman" w:hAnsi="Times New Roman"/>
          <w:i/>
          <w:sz w:val="20"/>
        </w:rPr>
        <w:t>Warrant Register</w:t>
      </w:r>
      <w:r>
        <w:rPr>
          <w:rFonts w:ascii="Times New Roman" w:hAnsi="Times New Roman"/>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Registration of Transfers</w:t>
      </w:r>
      <w:r>
        <w:rPr>
          <w:rFonts w:ascii="Times New Roman" w:hAnsi="Times New Roman"/>
          <w:sz w:val="20"/>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hAnsi="Times New Roman"/>
          <w:i/>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hAnsi="Times New Roman"/>
          <w:sz w:val="20"/>
          <w:u w:val="single"/>
        </w:rPr>
        <w:t>Section 3</w:t>
      </w:r>
      <w:r>
        <w:rPr>
          <w:rFonts w:ascii="Times New Roman" w:hAnsi="Times New Roman"/>
          <w:sz w:val="20"/>
        </w:rPr>
        <w:t xml:space="preserve">. Until due presentment for registration of transfer, the Company may treat the registered Holder hereof as the owner and holder for all purposes, and the Company shall not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Exercise and Duration of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or any part of this Warrant shall be exercisable by the registered Holder in any manner permitted by this Warrant at any time and from time to time on or after the Original Issue Date and on or before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(b) Exercise of the purchase rights represented by this Warrant may be made, in whole or in part, at any time or times on or after the Original Issue Date and on or before the Termination Date by delivery to the Company of a duly executed facsimile copy or PDF copy submitted by e-mail (or e-mail attachment) of the Exercise Notice in the form attached as </w:t>
      </w:r>
      <w:r>
        <w:rPr>
          <w:rFonts w:ascii="Times New Roman" w:hAnsi="Times New Roman"/>
          <w:sz w:val="20"/>
          <w:u w:val="single"/>
        </w:rPr>
        <w:t>Schedule 1</w:t>
      </w:r>
      <w:r>
        <w:rPr>
          <w:rFonts w:ascii="Times New Roman" w:hAnsi="Times New Roman"/>
          <w:sz w:val="20"/>
        </w:rPr>
        <w:t xml:space="preserve"> hereto (the </w:t>
      </w:r>
      <w:r>
        <w:rPr>
          <w:rFonts w:ascii="Times New Roman" w:hAnsi="Times New Roman"/>
          <w:i/>
          <w:sz w:val="20"/>
        </w:rPr>
        <w:t>Exercise Notice</w:t>
      </w:r>
      <w:r>
        <w:rPr>
          <w:rFonts w:ascii="Times New Roman" w:hAnsi="Times New Roman"/>
          <w:sz w:val="20"/>
        </w:rPr>
        <w:t>, and the date of receipt of such Exercise Notice, the </w:t>
      </w:r>
      <w:r>
        <w:rPr>
          <w:rFonts w:ascii="Times New Roman" w:hAnsi="Times New Roman"/>
          <w:i/>
          <w:sz w:val="20"/>
        </w:rPr>
        <w:t>Exercise Date</w:t>
      </w:r>
      <w:r>
        <w:rPr>
          <w:rFonts w:ascii="Times New Roman" w:hAnsi="Times New Roman"/>
          <w:sz w:val="20"/>
        </w:rPr>
        <w:t xml:space="preserve">). Within the earlier of (i) two (2) Trading Days and (ii) the number of Trading Days comprising the Standard Settlement Period following the date of exercise as aforesaid, the Holder shall deliver the aggregate Exercise Price for the number of Warrant Shares specified in the applicable Exercise Notice by wire transfer or cashiers check drawn on a United States bank unless the cashless exercise procedure specified below is specified in the applicable Exercise Notice. No ink-original Exercise Notice shall be required, nor shall any medallion guarantee (or other type of guarantee or notarization) of any Exercise Notice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Exercise Notice within one (1) Trading Day of receipt of such notice. </w:t>
      </w:r>
      <w:r>
        <w:rPr>
          <w:rFonts w:ascii="Times New Roman" w:hAnsi="Times New Roman"/>
          <w:b/>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Delivery of Warrant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exercise of this Warrant, the Company shall or will cause its Transfer Agent to, promptly (but in no event later than two (2) Trading Days after the Exercise Date, provided the Company has received the Exercise Price related to such exercise by such date), upon the request of the Holder, credit such aggregate number of shares of Common Stock to which the Holder is entitled pursuant to such exercise to the Holders or its designees balance account with The Depository Trust Company (</w:t>
      </w:r>
      <w:r>
        <w:rPr>
          <w:rFonts w:ascii="Times New Roman" w:hAnsi="Times New Roman"/>
          <w:i/>
          <w:sz w:val="20"/>
        </w:rPr>
        <w:t>DTC</w:t>
      </w:r>
      <w:r>
        <w:rPr>
          <w:rFonts w:ascii="Times New Roman" w:hAnsi="Times New Roman"/>
          <w:sz w:val="20"/>
        </w:rPr>
        <w:t>) through its Deposit Withdrawal Agent Commission system, or if the Transfer Agent is not participating in the Fast Automated Securities Transfer Program (the </w:t>
      </w:r>
      <w:r>
        <w:rPr>
          <w:rFonts w:ascii="Times New Roman" w:hAnsi="Times New Roman"/>
          <w:i/>
          <w:sz w:val="20"/>
        </w:rPr>
        <w:t>FAST Program</w:t>
      </w:r>
      <w:r>
        <w:rPr>
          <w:rFonts w:ascii="Times New Roman" w:hAnsi="Times New Roman"/>
          <w:sz w:val="20"/>
        </w:rPr>
        <w:t xml:space="preserve">)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DTC (or its nominee) or any natural person or legal entity (each, a Person)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evidencing such Warrant Shares, as the case may be. In addition, solely for purposes of Regulation SHO, the Holder will be deemed to be the holder of record of Warrant Shares upon delivery of the Exercise Notice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(b) If by the close of the second (2nd) Trading Day after the Exercise Date, the Company fails to deliver to the Holder a certificate representing the required number of Warrant Shares in the manner required pursuant to </w:t>
      </w:r>
      <w:r>
        <w:rPr>
          <w:rFonts w:ascii="Times New Roman" w:hAnsi="Times New Roman"/>
          <w:sz w:val="20"/>
          <w:u w:val="single"/>
        </w:rPr>
        <w:t>Section 5(a)</w:t>
      </w:r>
      <w:r>
        <w:rPr>
          <w:rFonts w:ascii="Times New Roman" w:hAnsi="Times New Roman"/>
          <w:sz w:val="20"/>
        </w:rPr>
        <w:t xml:space="preserve"> or fails to or cause the Transfer Agent to credit the Holders balance account with DTC for such number of Warrant Shares to which the Holder is entitled, and if after such second (2nd) Trading Day and prior to the receipt of such Warrant Shares, the Holder purchases (in an open market transaction or otherwise) shares of Common Stock to deliver in satisfaction of a sale by the Holder of the Warrant Shares which the Holder anticipated receiving upon such exercise (a </w:t>
      </w:r>
      <w:r>
        <w:rPr>
          <w:rFonts w:ascii="Times New Roman" w:hAnsi="Times New Roman"/>
          <w:i/>
          <w:sz w:val="20"/>
        </w:rPr>
        <w:t>Buy-In</w:t>
      </w:r>
      <w:r>
        <w:rPr>
          <w:rFonts w:ascii="Times New Roman" w:hAnsi="Times New Roman"/>
          <w:sz w:val="20"/>
        </w:rPr>
        <w:t xml:space="preserve">), then the Company shall, within three (3) Trading Days after the Holders request and in the Holders sole discretion, either (i) pay in cash to the Holder an amount equal to the Holders total purchase price (including brokerage commissions, if any) for the shares of Common Stock so purchased, at which point the Companys obligation to deliver such certificate (and to issue such Warrant Shares) or to cause the Holders DTC account to be credited for such Warrant Shares shall terminate or (ii) promptly honor its obligation to deliver to the Holder a certificate or certificates representing such Warrant Shares or credit the Holders or its designees balance account with DTC for such Warrant Shares and pay cash to the Holder in an amount equal to the excess (if any) of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permitted by law and subject to Section 5(b), the Companys obligations to or to cause the Transfer Agent to issue and deliver Warrant Shares in accordance with and subject to the terms hereof (including the limitations set forth in </w:t>
      </w:r>
      <w:r>
        <w:rPr>
          <w:rFonts w:ascii="Times New Roman" w:hAnsi="Times New Roman"/>
          <w:sz w:val="20"/>
          <w:u w:val="single"/>
        </w:rPr>
        <w:t>Section 11</w:t>
      </w:r>
      <w:r>
        <w:rPr>
          <w:rFonts w:ascii="Times New Roman" w:hAnsi="Times New Roman"/>
          <w:sz w:val="20"/>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Charges, Taxes and Expenses</w:t>
      </w:r>
      <w:r>
        <w:rPr>
          <w:rFonts w:ascii="Times New Roman" w:hAnsi="Times New Roman"/>
          <w:sz w:val="20"/>
        </w:rPr>
        <w:t xml:space="preserve">. Issuance and delivery of certificates for shares of Common Stock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w:t>
      </w:r>
      <w:r>
        <w:rPr>
          <w:rFonts w:ascii="Times New Roman" w:hAnsi="Times New Roman"/>
          <w:i/>
          <w:sz w:val="20"/>
        </w:rPr>
        <w:t>provided, however</w:t>
      </w:r>
      <w:r>
        <w:rPr>
          <w:rFonts w:ascii="Times New Roman" w:hAnsi="Times New Roman"/>
          <w:sz w:val="20"/>
        </w:rPr>
        <w:t xml:space="preserve">,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if requested by the Company (but not the posting of any surety or similar bond).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Reservation of Warrant Shares</w:t>
      </w:r>
      <w:r>
        <w:rPr>
          <w:rFonts w:ascii="Times New Roman" w:hAnsi="Times New Roman"/>
          <w:sz w:val="20"/>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hAnsi="Times New Roman"/>
          <w:sz w:val="20"/>
          <w:u w:val="single"/>
        </w:rPr>
        <w:t>Section 9</w:t>
      </w:r>
      <w:r>
        <w:rPr>
          <w:rFonts w:ascii="Times New Roman" w:hAnsi="Times New Roman"/>
          <w:sz w:val="20"/>
        </w:rPr>
        <w:t xml:space="preserve">).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Certain Adjustments</w:t>
      </w:r>
      <w:r>
        <w:rPr>
          <w:rFonts w:ascii="Times New Roman" w:hAnsi="Times New Roman"/>
          <w:sz w:val="20"/>
        </w:rPr>
        <w:t xml:space="preserve">. The Exercise Price and number of Warrant Shares issuable upon exercise of this Warrant are subject to adjustment from time to time as set forth in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on its Common Stock or otherwise makes a distribution on any class of capital stock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i/>
          <w:sz w:val="20"/>
        </w:rPr>
        <w:t>Distribution</w:t>
      </w:r>
      <w:r>
        <w:rPr>
          <w:rFonts w:ascii="Times New Roman" w:hAnsi="Times New Roman"/>
          <w:sz w:val="20"/>
        </w:rPr>
        <w:t xml:space="preserve">),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Fundamental Transactions</w:t>
      </w:r>
      <w:r>
        <w:rPr>
          <w:rFonts w:ascii="Times New Roman" w:hAnsi="Times New Roman"/>
          <w:sz w:val="20"/>
        </w:rPr>
        <w:t xml:space="preserve">. If, at any time while this Warrant is outstanding (i) the Company, directly or indirectly, in one or more related transactions,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(ii) the Company, directly or indirectly, effects any sale to another Person of all or substantially all of its assets in one transaction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hAnsi="Times New Roman"/>
          <w:sz w:val="20"/>
          <w:u w:val="single"/>
        </w:rPr>
        <w:t>Section 9(a)</w:t>
      </w:r>
      <w:r>
        <w:rPr>
          <w:rFonts w:ascii="Times New Roman" w:hAnsi="Times New Roman"/>
          <w:sz w:val="20"/>
        </w:rPr>
        <w:t xml:space="preserve"> above) (in any such case, a </w:t>
      </w:r>
      <w:r>
        <w:rPr>
          <w:rFonts w:ascii="Times New Roman" w:hAnsi="Times New Roman"/>
          <w:i/>
          <w:sz w:val="20"/>
        </w:rPr>
        <w:t>Fundamental Transaction</w:t>
      </w:r>
      <w:r>
        <w:rPr>
          <w:rFonts w:ascii="Times New Roman" w:hAnsi="Times New Roman"/>
          <w:sz w:val="20"/>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w:t>
      </w:r>
    </w:p>
    <w:p>
      <w:pPr>
        <w:pStyle w:val="TextBody"/>
        <w:bidi w:val="0"/>
        <w:spacing w:before="240" w:after="0"/>
        <w:jc w:val="left"/>
        <w:rPr>
          <w:rFonts w:ascii="Times New Roman" w:hAnsi="Times New Roman"/>
          <w:sz w:val="20"/>
        </w:rPr>
      </w:pPr>
      <w:r>
        <w:rPr>
          <w:rFonts w:ascii="Times New Roman" w:hAnsi="Times New Roman"/>
          <w:sz w:val="20"/>
        </w:rPr>
        <w:t>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as described below,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valued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cash payment right shall not apply. </w:t>
      </w:r>
      <w:r>
        <w:rPr>
          <w:rFonts w:ascii="Times New Roman" w:hAnsi="Times New Roman"/>
          <w:i/>
          <w:sz w:val="20"/>
        </w:rPr>
        <w:t>Black Scholes Value</w:t>
      </w:r>
      <w:r>
        <w:rPr>
          <w:rFonts w:ascii="Times New Roman" w:hAnsi="Times New Roman"/>
          <w:sz w:val="20"/>
        </w:rPr>
        <w:t> means the value of this Warrant based on the Black-Scholes Option Pricing Model obtained from the OV function on Bloomberg, L.P. (</w:t>
      </w:r>
      <w:r>
        <w:rPr>
          <w:rFonts w:ascii="Times New Roman" w:hAnsi="Times New Roman"/>
          <w:i/>
          <w:sz w:val="20"/>
        </w:rPr>
        <w:t>Bloomberg</w:t>
      </w:r>
      <w:r>
        <w:rPr>
          <w:rFonts w:ascii="Times New Roman" w:hAnsi="Times New Roman"/>
          <w:sz w:val="20"/>
        </w:rPr>
        <w:t xml:space="preserve">)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lesser of 100% and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five (5) Trading Days immediately prior to such Fundamental Transaction, (D) a remaining option time equal to the time between the date of the public announcement of the applicable contemplated Fundamental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to the extent the Fundamental Transaction is within the Companys control, any successor entity in a Fundamental Transaction in which the Company is not the survivor (the </w:t>
      </w:r>
      <w:r>
        <w:rPr>
          <w:rFonts w:ascii="Times New Roman" w:hAnsi="Times New Roman"/>
          <w:i/>
          <w:sz w:val="20"/>
        </w:rPr>
        <w:t>Successor Entity</w:t>
      </w:r>
      <w:r>
        <w:rPr>
          <w:rFonts w:ascii="Times New Roman" w:hAnsi="Times New Roman"/>
          <w:sz w:val="20"/>
        </w:rPr>
        <w:t xml:space="preserve">) to assume in writing all of the obligations of the Company under this Warrant in accordance with the provisions of this Section 9(c)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Number of Warrant Shares</w:t>
      </w:r>
      <w:r>
        <w:rPr>
          <w:rFonts w:ascii="Times New Roman" w:hAnsi="Times New Roman"/>
          <w:sz w:val="20"/>
        </w:rPr>
        <w:t xml:space="preserve">. Simultaneously with any adjustment to the Exercise Price pursuant to </w:t>
      </w:r>
      <w:r>
        <w:rPr>
          <w:rFonts w:ascii="Times New Roman" w:hAnsi="Times New Roman"/>
          <w:sz w:val="20"/>
          <w:u w:val="single"/>
        </w:rPr>
        <w:t>Section 9</w:t>
      </w:r>
      <w:r>
        <w:rPr>
          <w:rFonts w:ascii="Times New Roman" w:hAnsi="Times New Roman"/>
          <w:sz w:val="20"/>
        </w:rPr>
        <w:t xml:space="preserve">, (including any adjustment to the Exercise Price that would have been effected but for the final sentence in this paragraph (d))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9</w:t>
      </w:r>
      <w:r>
        <w:rPr>
          <w:rFonts w:ascii="Times New Roman" w:hAnsi="Times New Roman"/>
          <w:sz w:val="20"/>
        </w:rPr>
        <w:t xml:space="preserve"> shall be made to the nearest one-hundredth of one cent or the nearest share,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 of Adjustments</w:t>
      </w:r>
      <w:r>
        <w:rPr>
          <w:rFonts w:ascii="Times New Roman" w:hAnsi="Times New Roman"/>
          <w:sz w:val="20"/>
        </w:rPr>
        <w:t xml:space="preserve">. Upon the occurrence of each adjustment pursuant to this </w:t>
      </w:r>
      <w:r>
        <w:rPr>
          <w:rFonts w:ascii="Times New Roman" w:hAnsi="Times New Roman"/>
          <w:sz w:val="20"/>
          <w:u w:val="single"/>
        </w:rPr>
        <w:t>Section 9</w:t>
      </w:r>
      <w:r>
        <w:rPr>
          <w:rFonts w:ascii="Times New Roman" w:hAnsi="Times New Roman"/>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Common Stock in order to participate in or vote with respect to such transaction; </w:t>
      </w:r>
      <w:r>
        <w:rPr>
          <w:rFonts w:ascii="Times New Roman" w:hAnsi="Times New Roman"/>
          <w:i/>
          <w:sz w:val="20"/>
        </w:rPr>
        <w:t>provided, however</w:t>
      </w:r>
      <w:r>
        <w:rPr>
          <w:rFonts w:ascii="Times New Roman" w:hAnsi="Times New Roman"/>
          <w:sz w:val="20"/>
        </w:rPr>
        <w:t xml:space="preserve">,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hAnsi="Times New Roman"/>
          <w:sz w:val="20"/>
          <w:u w:val="single"/>
        </w:rPr>
        <w:t>Section 9(c)</w:t>
      </w:r>
      <w:r>
        <w:rPr>
          <w:rFonts w:ascii="Times New Roman" w:hAnsi="Times New Roman"/>
          <w:sz w:val="20"/>
        </w:rPr>
        <w:t xml:space="preserve">, other than a Fundamental Transaction under clause (iii) of Section 9(c), then, except if such notice and the contents thereof shall be deemed 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constitute material non-public information, the Company shall deliver to the Holder a notice of such Fundamental Transaction at least thirty (30) days prior to the date such Fundamental Transaction is consummated. Holder agrees to maintain any information disclosed pursuant to this Section 9(g) in confidence until such information is publicly available, and shall comply with applicable law with respect to trading in the Companys securities following receipt any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Voluntary Adjustment By Company.</w:t>
      </w:r>
      <w:r>
        <w:rPr>
          <w:rFonts w:ascii="Times New Roman" w:hAnsi="Times New Roman"/>
          <w:sz w:val="20"/>
        </w:rPr>
        <w:t xml:space="preserve"> Subject to the rules and regulations of the Principal Trading Market, the Company may at any time during the term of this Warrant, reduce the then-current Exercise Price to any amount and for any period of time deemed appropriate by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Cashless Exercise</w:t>
      </w:r>
      <w:r>
        <w:rPr>
          <w:rFonts w:ascii="Times New Roman" w:hAnsi="Times New Roman"/>
          <w:sz w:val="20"/>
        </w:rPr>
        <w:t xml:space="preserve">. Notwithstanding anything contained herein to the contrary, if at the time of exercise hereof there is no effective registration statement registering the issuance of the Warrant Shares to the Holder upon exercise of this Warrant, then this Warrant may only be exercised, in whole or in part, at such time by means of a cashless exercise, in which event the Company shall issue to the Holder the number of Warrant Shares in an exchange of securities effected pursuant to Section 3(a)(9) of the Securities Act, as determined as follows: </w:t>
      </w:r>
    </w:p>
    <w:p>
      <w:pPr>
        <w:pStyle w:val="TextBody"/>
        <w:bidi w:val="0"/>
        <w:spacing w:before="120" w:after="0"/>
        <w:jc w:val="center"/>
        <w:rPr>
          <w:rFonts w:ascii="Times New Roman" w:hAnsi="Times New Roman"/>
          <w:sz w:val="20"/>
        </w:rPr>
      </w:pPr>
      <w:r>
        <w:rPr>
          <w:rFonts w:ascii="Times New Roman" w:hAnsi="Times New Roman"/>
          <w:sz w:val="20"/>
        </w:rPr>
        <w:t>X = Y [(A-B)/A]</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rFonts w:ascii="Times New Roman" w:hAnsi="Times New Roman"/>
          <w:sz w:val="20"/>
        </w:rPr>
      </w:pPr>
      <w:r>
        <w:rPr>
          <w:rFonts w:ascii="Times New Roman" w:hAnsi="Times New Roman"/>
          <w:sz w:val="20"/>
        </w:rPr>
        <w:t xml:space="preserve">X equals the number of Warrant Shares to be issued to the Holder; </w:t>
      </w:r>
    </w:p>
    <w:p>
      <w:pPr>
        <w:pStyle w:val="TextBody"/>
        <w:bidi w:val="0"/>
        <w:spacing w:before="240" w:after="0"/>
        <w:jc w:val="left"/>
        <w:rPr>
          <w:rFonts w:ascii="Times New Roman" w:hAnsi="Times New Roman"/>
          <w:sz w:val="20"/>
        </w:rPr>
      </w:pPr>
      <w:r>
        <w:rPr>
          <w:rFonts w:ascii="Times New Roman" w:hAnsi="Times New Roman"/>
          <w:sz w:val="20"/>
        </w:rPr>
        <w:t xml:space="preserve">Y equals the total number of Warrant Shares with respect to which this Warrant is then being exercised; </w:t>
      </w:r>
    </w:p>
    <w:p>
      <w:pPr>
        <w:pStyle w:val="TextBody"/>
        <w:bidi w:val="0"/>
        <w:spacing w:before="240" w:after="0"/>
        <w:jc w:val="left"/>
        <w:rPr>
          <w:rFonts w:ascii="Times New Roman" w:hAnsi="Times New Roman"/>
          <w:sz w:val="20"/>
        </w:rPr>
      </w:pPr>
      <w:r>
        <w:rPr>
          <w:rFonts w:ascii="Times New Roman" w:hAnsi="Times New Roman"/>
          <w:sz w:val="20"/>
        </w:rPr>
        <w:t xml:space="preserve">A equals the Closing Sale Price per share of Common Stock (as reported by Bloomberg Financial Markets) as of the Trading Day immediately preceding the Exercise Date; and </w:t>
      </w:r>
    </w:p>
    <w:p>
      <w:pPr>
        <w:pStyle w:val="TextBody"/>
        <w:bidi w:val="0"/>
        <w:spacing w:before="240" w:after="0"/>
        <w:jc w:val="left"/>
        <w:rPr>
          <w:rFonts w:ascii="Times New Roman" w:hAnsi="Times New Roman"/>
          <w:sz w:val="20"/>
        </w:rPr>
      </w:pPr>
      <w:r>
        <w:rPr>
          <w:rFonts w:ascii="Times New Roman" w:hAnsi="Times New Roman"/>
          <w:sz w:val="20"/>
        </w:rPr>
        <w:t xml:space="preserve">B equals the Exercise Price per Warrant Share then in effect on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(provided that the Commission continues to take the position that such treatment is proper at the time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Limitations on 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anything to the contrary contained herein, the Company shall not effect any exercise of this Warrant, and the Holder shall not be entitled to exercise this Warrant for a number of Warrant Shares in excess of that number of Warrant Shares which, upon giving effect or immediately prior to such exercise, would cause (i) the aggregate number of shares of Common Stock beneficially owned by the Holder, its Affiliates and any Persons who are members of a Section 13(d) group with such Holder or its Affiliates to exceed 4.99% (or at the election of the Holder prior to the issuance of this Warrant, 9.99%) (the </w:t>
      </w:r>
      <w:r>
        <w:rPr>
          <w:rFonts w:ascii="Times New Roman" w:hAnsi="Times New Roman"/>
          <w:i/>
          <w:sz w:val="20"/>
        </w:rPr>
        <w:t>Maximum Percentage</w:t>
      </w:r>
      <w:r>
        <w:rPr>
          <w:rFonts w:ascii="Times New Roman" w:hAnsi="Times New Roman"/>
          <w:sz w:val="20"/>
        </w:rPr>
        <w:t xml:space="preserve">) of the total number of issued and outstanding shares of Common Stock of the Company following such exercise, or (ii) the combined voting power of the securities of the Company beneficially owned by the Holder and its Affiliates and any other Persons who are members of a Section 13(d) group with such Holder or its Affiliates to exceed the Maximum Percentage of the combined voting power of all of the securities of the Company then outstanding following such exercise. For purposes of this paragraph, beneficial ownership and whether a holder is a member of a Section 13(d) group shall be calculated and determined in accordance with Section 13(d) of the Exchange Act and the rules promulgated thereunder. For purposes of this Warrant, in determining the number of outstanding shares of Common Stock, the Holder may rely on the number of outstanding shares of Common Stock as reflected in (x) the Companys most recent Quarterly Report on Form 10-Q or Annual Report on Form 10-K, as the case may be, (y) a more recent public announcement by the Company or (z) any other written notice by the Company or the Transfer Agent setting forth the number of shares of Common Stock outstanding. Upon the written request of the Holder, the Company shall within three (3) Trading Days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percentage specified in such notice, but not in excess of 19.99% (or at the election of the Holder prior to the issuance of this Warrant, 9.99%) specified in such notice; provided that any such increase will not be effective until the sixty-first (61st) day after such notice is delivered to the Company. For purposes of this Section 11(a), the aggregate number of shares of Common Stock or voting securities beneficially owned by the Holder and its Affiliates and any other Persons who are members of a Section 13(d) group with such Holder or its Affiliates shall include the shares of Common Stock issuable upon (x) the exercise of this Warrant with respect to which such determination is being made, but shall exclude the number of shares of Common Stock which would be issuable upon exercise of the remaining unexercised and non-cancelled portion of this Warrant by the Holder and (y) the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but excluding such shares underlying such instrument which is subject to a limitation on conversion or exercise analogous to the limitation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11</w:t>
      </w:r>
      <w:r>
        <w:rPr>
          <w:rFonts w:ascii="Times New Roman" w:hAnsi="Times New Roman"/>
          <w:sz w:val="20"/>
        </w:rPr>
        <w:t xml:space="preserve"> shall not restrict the number of shares of Common Stock, which a Holder may receive or beneficially own in order to determine the amount of securities or other consideration that such Holder may receive in the event of a Fundamental Transaction as contemplated in </w:t>
      </w:r>
      <w:r>
        <w:rPr>
          <w:rFonts w:ascii="Times New Roman" w:hAnsi="Times New Roman"/>
          <w:sz w:val="20"/>
          <w:u w:val="single"/>
        </w:rPr>
        <w:t>Section 9(c)</w:t>
      </w:r>
      <w:r>
        <w:rPr>
          <w:rFonts w:ascii="Times New Roman" w:hAnsi="Times New Roman"/>
          <w:sz w:val="20"/>
        </w:rPr>
        <w:t xml:space="preserve">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and all notices or other communications or deliveries hereunder (including, without limitation, any Exercise Notice) shall be in writing and shall be deemed given and effective on the earliest of (i) the time of transmission, if such notice or communication is delivered via facsimile or e-mail prior to 5:30 P.M., New York City time, on a Trading Day so long as the sender of an e-mail has not received an automated notice of delivery failure from the proposed recipients computer server, (ii) the next Trading Day after the date of transmission, if such notice or communication is delivered via facsimile or e-mail on a day that is not a Trading Day or later than 5:30 P.M., New York City time, on any Trading Day so long as the sender of an e-mail has not received an automated notice of delivery failure from the proposed recipients computer server, (iii) the Trading Day following the date of mailing, if sent by nationally recognized overnight courier service specifying next business day delivery, or (iv) upon actual receipt by the Person to whom such notice is required to be given, if by hand delivery. The addresses, facsimile numbers and e-mail addresses for such communications shall be: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Tenaya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171 Oyster Point Blvd., Suite 500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 94080 </w:t>
      </w:r>
    </w:p>
    <w:p>
      <w:pPr>
        <w:pStyle w:val="TextBody"/>
        <w:bidi w:val="0"/>
        <w:spacing w:before="240" w:after="0"/>
        <w:jc w:val="left"/>
        <w:rPr>
          <w:rFonts w:ascii="Times New Roman" w:hAnsi="Times New Roman"/>
          <w:sz w:val="20"/>
        </w:rPr>
      </w:pPr>
      <w:r>
        <w:rPr>
          <w:rFonts w:ascii="Times New Roman" w:hAnsi="Times New Roman"/>
          <w:sz w:val="20"/>
        </w:rPr>
        <w:t xml:space="preserve">If to the Holder, to its address, facsimile number or e-mail address set forth herein or on the books and records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Or, in each of the above instances, to such other address, facsimile number or e-mail address as the recipient party has specified by written notice given to each other party at least five (5) days prior to the effectiveness of such change.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Warrant Agent</w:t>
      </w:r>
      <w:r>
        <w:rPr>
          <w:rFonts w:ascii="Times New Roman" w:hAnsi="Times New Roman"/>
          <w:sz w:val="20"/>
        </w:rPr>
        <w:t xml:space="preserve">. The Company shall initially serve as warrant agent under this Warrant.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Authorized Shares</w:t>
      </w:r>
      <w:r>
        <w:rPr>
          <w:rFonts w:ascii="Times New Roman" w:hAnsi="Times New Roman"/>
          <w:sz w:val="20"/>
        </w:rPr>
        <w:t xml:space="preserve">. (i)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w:t>
      </w:r>
    </w:p>
    <w:p>
      <w:pPr>
        <w:pStyle w:val="TextBody"/>
        <w:bidi w:val="0"/>
        <w:spacing w:before="240" w:after="0"/>
        <w:jc w:val="left"/>
        <w:rPr>
          <w:rFonts w:ascii="Times New Roman" w:hAnsi="Times New Roman"/>
          <w:sz w:val="20"/>
        </w:rPr>
      </w:pPr>
      <w:r>
        <w:rPr>
          <w:rFonts w:ascii="Times New Roman" w:hAnsi="Times New Roman"/>
          <w:sz w:val="20"/>
        </w:rPr>
        <w:t xml:space="preserve">(ii)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the restrictions on transfer set forth in this Warrant and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Except as otherwise provided herein, the provisions of this Warrant may be amended and the Company may take any action herein prohibited, or omit to perform any act herein required to be performed by it, only if the Company has obtained the written consent of the Holder.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DELAWARE WITHOUT REGARD TO THE PRINCIPLES OF CONFLICTS OF LAW THEREOF. EACH OF THE COMPANY AND THE HOLDER HEREBY IRREVOCABLY SUBMITS TO THE EXCLUSIVE JURISDICTION OF THE STATE AND FEDERAL COURTS SITTING IN THE STATE OF DELAWARE, FOR THE ADJUDICATION OF ANY DISPUTE HEREUNDER OR IN CONNECTION HEREWITH OR WITH ANY TRANSACTION CONTEMPLATED HEREBY OR DISCUSSED HEREIN (INCLUDING WITH RESPECT 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TENAYA THERAPEUTICS,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w:t>
            </w:r>
          </w:p>
        </w:tc>
      </w:tr>
      <w:tr>
        <w:trPr/>
        <w:tc>
          <w:tcPr>
            <w:tcW w:w="4082" w:type="dxa"/>
            <w:tcBorders/>
          </w:tcPr>
          <w:p>
            <w:pPr>
              <w:pStyle w:val="TableContents"/>
              <w:bidi w:val="0"/>
              <w:spacing w:before="0" w:after="283"/>
              <w:jc w:val="left"/>
              <w:rPr/>
            </w:pPr>
            <w:r>
              <w:rPr/>
              <w:t>Name:</w:t>
            </w:r>
          </w:p>
        </w:tc>
      </w:tr>
      <w:tr>
        <w:trPr/>
        <w:tc>
          <w:tcPr>
            <w:tcW w:w="4082"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1 </w:t>
      </w:r>
    </w:p>
    <w:p>
      <w:pPr>
        <w:pStyle w:val="TextBody"/>
        <w:bidi w:val="0"/>
        <w:spacing w:before="120" w:after="0"/>
        <w:jc w:val="center"/>
        <w:rPr>
          <w:rFonts w:ascii="Times New Roman" w:hAnsi="Times New Roman"/>
          <w:sz w:val="20"/>
        </w:rPr>
      </w:pPr>
      <w:r>
        <w:rPr>
          <w:rFonts w:ascii="Times New Roman" w:hAnsi="Times New Roman"/>
          <w:sz w:val="20"/>
        </w:rPr>
        <w:t xml:space="preserve">FORM OF EXERCISE NOTICE </w:t>
      </w:r>
    </w:p>
    <w:p>
      <w:pPr>
        <w:pStyle w:val="TextBody"/>
        <w:bidi w:val="0"/>
        <w:spacing w:before="120" w:after="0"/>
        <w:jc w:val="center"/>
        <w:rPr>
          <w:rFonts w:ascii="Times New Roman" w:hAnsi="Times New Roman"/>
          <w:sz w:val="20"/>
        </w:rPr>
      </w:pPr>
      <w:r>
        <w:rPr>
          <w:rFonts w:ascii="Times New Roman" w:hAnsi="Times New Roman"/>
          <w:sz w:val="20"/>
        </w:rPr>
        <w:t xml:space="preserve">[To be executed by the Holder to purchase shares of Common Stock under the Warrant]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(1) The undersigned is the Holder of Warrant No. __ (the </w:t>
      </w:r>
      <w:r>
        <w:rPr>
          <w:rFonts w:ascii="Times New Roman" w:hAnsi="Times New Roman"/>
          <w:i/>
          <w:sz w:val="20"/>
        </w:rPr>
        <w:t>Warrant</w:t>
      </w:r>
      <w:r>
        <w:rPr>
          <w:rFonts w:ascii="Times New Roman" w:hAnsi="Times New Roman"/>
          <w:sz w:val="20"/>
        </w:rPr>
        <w:t>) issued by Tenaya Therapeutics, Inc., a Delaware corporation (the </w:t>
      </w:r>
      <w:r>
        <w:rPr>
          <w:rFonts w:ascii="Times New Roman" w:hAnsi="Times New Roman"/>
          <w:i/>
          <w:sz w:val="20"/>
        </w:rPr>
        <w:t>Company</w:t>
      </w:r>
      <w:r>
        <w:rPr>
          <w:rFonts w:ascii="Times New Roman" w:hAnsi="Times New Roman"/>
          <w:sz w:val="20"/>
        </w:rPr>
        <w:t xml:space="preserve">). Capitalized terms used herein and not otherwise defined herein have the respective meanings set forth in the Warrant. </w:t>
      </w:r>
    </w:p>
    <w:p>
      <w:pPr>
        <w:pStyle w:val="TextBody"/>
        <w:bidi w:val="0"/>
        <w:spacing w:before="240" w:after="0"/>
        <w:jc w:val="left"/>
        <w:rPr>
          <w:rFonts w:ascii="Times New Roman" w:hAnsi="Times New Roman"/>
          <w:sz w:val="20"/>
        </w:rPr>
      </w:pPr>
      <w:r>
        <w:rPr>
          <w:rFonts w:ascii="Times New Roman" w:hAnsi="Times New Roman"/>
          <w:sz w:val="20"/>
        </w:rPr>
        <w:t>(2) The undersigned hereby exercises its right to purchase __________ Warrant Shares (the </w:t>
      </w:r>
      <w:r>
        <w:rPr>
          <w:rFonts w:ascii="Times New Roman" w:hAnsi="Times New Roman"/>
          <w:i/>
          <w:sz w:val="20"/>
        </w:rPr>
        <w:t>Exercised Warrant Shares</w:t>
      </w:r>
      <w:r>
        <w:rPr>
          <w:rFonts w:ascii="Times New Roman" w:hAnsi="Times New Roman"/>
          <w:sz w:val="20"/>
        </w:rPr>
        <w:t xml:space="preserve">) pursuant to the Warrant. </w:t>
      </w:r>
    </w:p>
    <w:p>
      <w:pPr>
        <w:pStyle w:val="TextBody"/>
        <w:bidi w:val="0"/>
        <w:spacing w:before="240" w:after="0"/>
        <w:jc w:val="left"/>
        <w:rPr>
          <w:rFonts w:ascii="Times New Roman" w:hAnsi="Times New Roman"/>
          <w:sz w:val="20"/>
        </w:rPr>
      </w:pPr>
      <w:r>
        <w:rPr>
          <w:rFonts w:ascii="Times New Roman" w:hAnsi="Times New Roman"/>
          <w:sz w:val="20"/>
        </w:rPr>
        <w:t xml:space="preserve">(3) The Holder intends that payment of the Exercise Price shall be made as (check one): </w:t>
      </w:r>
    </w:p>
    <w:p>
      <w:pPr>
        <w:pStyle w:val="TextBody"/>
        <w:bidi w:val="0"/>
        <w:spacing w:before="120" w:after="0"/>
        <w:jc w:val="left"/>
        <w:rPr/>
      </w:pPr>
      <w:r>
        <w:rPr/>
        <w:t xml:space="preserve">☐ </w:t>
      </w:r>
      <w:r>
        <w:rPr>
          <w:rFonts w:ascii="Times New Roman" w:hAnsi="Times New Roman"/>
          <w:sz w:val="20"/>
        </w:rPr>
        <w:t xml:space="preserve">Cash Exercise </w:t>
      </w:r>
    </w:p>
    <w:p>
      <w:pPr>
        <w:pStyle w:val="TextBody"/>
        <w:bidi w:val="0"/>
        <w:spacing w:before="120" w:after="0"/>
        <w:jc w:val="left"/>
        <w:rPr/>
      </w:pPr>
      <w:r>
        <w:rPr/>
        <w:t xml:space="preserve">☐ </w:t>
      </w:r>
      <w:r>
        <w:rPr>
          <w:rFonts w:ascii="Times New Roman" w:hAnsi="Times New Roman"/>
          <w:sz w:val="20"/>
        </w:rPr>
        <w:t xml:space="preserve">if permitted in accordance with Section 10 of the Warrant, Cashless Exercise </w:t>
      </w:r>
    </w:p>
    <w:p>
      <w:pPr>
        <w:pStyle w:val="TextBody"/>
        <w:bidi w:val="0"/>
        <w:spacing w:before="240" w:after="0"/>
        <w:jc w:val="left"/>
        <w:rPr>
          <w:rFonts w:ascii="Times New Roman" w:hAnsi="Times New Roman"/>
          <w:sz w:val="20"/>
        </w:rPr>
      </w:pPr>
      <w:r>
        <w:rPr>
          <w:rFonts w:ascii="Times New Roman" w:hAnsi="Times New Roman"/>
          <w:sz w:val="20"/>
        </w:rPr>
        <w:t xml:space="preserve">(4) If the Holder has elected a Cash Exercise, the Holder shall pay the sum of $ __________ in immediately available funds to the Company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(5) Pursuant to this Exercise Notice, the Company shall deliver to the Holder the Exercised Warrant Shares determined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(6) 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w:t>
      </w:r>
      <w:r>
        <w:rPr>
          <w:rFonts w:ascii="Times New Roman" w:hAnsi="Times New Roman"/>
          <w:sz w:val="20"/>
          <w:u w:val="single"/>
        </w:rPr>
        <w:t>Section 11(a)</w:t>
      </w:r>
      <w:r>
        <w:rPr>
          <w:rFonts w:ascii="Times New Roman" w:hAnsi="Times New Roman"/>
          <w:sz w:val="20"/>
        </w:rPr>
        <w:t xml:space="preserve"> of the Warrant to which this notice relates.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Dated: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 of 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right"/>
        <w:rPr>
          <w:rFonts w:ascii="Times New Roman" w:hAnsi="Times New Roman"/>
          <w:b/>
          <w:sz w:val="20"/>
        </w:rPr>
      </w:pPr>
      <w:bookmarkStart w:id="6" w:name="d878268dex42.htm"/>
      <w:bookmarkStart w:id="7" w:name="ksd878268dex42"/>
      <w:bookmarkEnd w:id="6"/>
      <w:bookmarkEnd w:id="7"/>
      <w:r>
        <w:rPr>
          <w:rFonts w:ascii="Times New Roman" w:hAnsi="Times New Roman"/>
          <w:b/>
          <w:sz w:val="20"/>
        </w:rPr>
        <w:t xml:space="preserve">Exhibit 4.2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TENAYA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SERIES B WARRANT TO PURCHASE COMMON STOCK </w:t>
      </w:r>
    </w:p>
    <w:p>
      <w:pPr>
        <w:pStyle w:val="TextBody"/>
        <w:bidi w:val="0"/>
        <w:spacing w:before="240" w:after="0"/>
        <w:jc w:val="right"/>
        <w:rPr>
          <w:rFonts w:ascii="Times New Roman" w:hAnsi="Times New Roman"/>
          <w:sz w:val="20"/>
        </w:rPr>
      </w:pPr>
      <w:r>
        <w:rPr>
          <w:rFonts w:ascii="Times New Roman" w:hAnsi="Times New Roman"/>
          <w:sz w:val="20"/>
        </w:rPr>
        <w:t xml:space="preserve">Number of Shares: [ ] </w:t>
      </w:r>
    </w:p>
    <w:p>
      <w:pPr>
        <w:pStyle w:val="TextBody"/>
        <w:bidi w:val="0"/>
        <w:spacing w:before="0" w:after="0"/>
        <w:jc w:val="right"/>
        <w:rPr>
          <w:rFonts w:ascii="Times New Roman" w:hAnsi="Times New Roman"/>
          <w:sz w:val="20"/>
        </w:rPr>
      </w:pPr>
      <w:r>
        <w:rPr>
          <w:rFonts w:ascii="Times New Roman" w:hAnsi="Times New Roman"/>
          <w:sz w:val="20"/>
        </w:rPr>
        <w:t xml:space="preserve">(subject to adjustment)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95"/>
        <w:gridCol w:w="121"/>
        <w:gridCol w:w="5289"/>
      </w:tblGrid>
      <w:tr>
        <w:trPr/>
        <w:tc>
          <w:tcPr>
            <w:tcW w:w="47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289" w:type="dxa"/>
            <w:tcBorders/>
            <w:vAlign w:val="center"/>
          </w:tcPr>
          <w:p>
            <w:pPr>
              <w:pStyle w:val="TableContents"/>
              <w:bidi w:val="0"/>
              <w:spacing w:before="0" w:after="283"/>
              <w:jc w:val="left"/>
              <w:rPr>
                <w:sz w:val="4"/>
                <w:szCs w:val="4"/>
              </w:rPr>
            </w:pPr>
            <w:r>
              <w:rPr>
                <w:sz w:val="4"/>
                <w:szCs w:val="4"/>
              </w:rPr>
            </w:r>
          </w:p>
        </w:tc>
      </w:tr>
      <w:tr>
        <w:trPr/>
        <w:tc>
          <w:tcPr>
            <w:tcW w:w="4795" w:type="dxa"/>
            <w:tcBorders/>
          </w:tcPr>
          <w:p>
            <w:pPr>
              <w:pStyle w:val="TableContents"/>
              <w:bidi w:val="0"/>
              <w:spacing w:before="0" w:after="283"/>
              <w:jc w:val="left"/>
              <w:rPr/>
            </w:pPr>
            <w:r>
              <w:rPr/>
              <w:t>Warrant No. B-[ ]</w:t>
            </w:r>
          </w:p>
        </w:tc>
        <w:tc>
          <w:tcPr>
            <w:tcW w:w="121" w:type="dxa"/>
            <w:tcBorders/>
            <w:vAlign w:val="bottom"/>
          </w:tcPr>
          <w:p>
            <w:pPr>
              <w:pStyle w:val="TableContents"/>
              <w:bidi w:val="0"/>
              <w:spacing w:before="0" w:after="283"/>
              <w:jc w:val="left"/>
              <w:rPr/>
            </w:pPr>
            <w:r>
              <w:rPr/>
              <w:t>  </w:t>
            </w:r>
          </w:p>
        </w:tc>
        <w:tc>
          <w:tcPr>
            <w:tcW w:w="5289" w:type="dxa"/>
            <w:tcBorders/>
            <w:vAlign w:val="bottom"/>
          </w:tcPr>
          <w:p>
            <w:pPr>
              <w:pStyle w:val="TableContents"/>
              <w:bidi w:val="0"/>
              <w:spacing w:before="0" w:after="283"/>
              <w:jc w:val="right"/>
              <w:rPr/>
            </w:pPr>
            <w:r>
              <w:rPr/>
              <w:t>Original Issue Date: March [ ], 2025</w:t>
            </w:r>
          </w:p>
        </w:tc>
      </w:tr>
    </w:tbl>
    <w:p>
      <w:pPr>
        <w:pStyle w:val="TextBody"/>
        <w:bidi w:val="0"/>
        <w:spacing w:before="240" w:after="0"/>
        <w:jc w:val="left"/>
        <w:rPr>
          <w:rFonts w:ascii="Times New Roman" w:hAnsi="Times New Roman"/>
          <w:sz w:val="20"/>
        </w:rPr>
      </w:pPr>
      <w:r>
        <w:rPr>
          <w:rFonts w:ascii="Times New Roman" w:hAnsi="Times New Roman"/>
          <w:sz w:val="20"/>
        </w:rPr>
        <w:t>Tenaya Therapeutics, Inc., a Delaware corporation (the </w:t>
      </w:r>
      <w:r>
        <w:rPr>
          <w:rFonts w:ascii="Times New Roman" w:hAnsi="Times New Roman"/>
          <w:i/>
          <w:sz w:val="20"/>
        </w:rPr>
        <w:t>Company</w:t>
      </w:r>
      <w:r>
        <w:rPr>
          <w:rFonts w:ascii="Times New Roman" w:hAnsi="Times New Roman"/>
          <w:sz w:val="20"/>
        </w:rPr>
        <w:t>), hereby certifies that, for good and valuable consideration, the receipt and sufficiency of which are hereby acknowledged, [ ] or its registered assigns (the </w:t>
      </w:r>
      <w:r>
        <w:rPr>
          <w:rFonts w:ascii="Times New Roman" w:hAnsi="Times New Roman"/>
          <w:i/>
          <w:sz w:val="20"/>
        </w:rPr>
        <w:t>Holder</w:t>
      </w:r>
      <w:r>
        <w:rPr>
          <w:rFonts w:ascii="Times New Roman" w:hAnsi="Times New Roman"/>
          <w:sz w:val="20"/>
        </w:rPr>
        <w:t>), is entitled, subject to the terms set forth below, to purchase from the Company up to a total of [ ] shares of common stock, $0.001 par value per share (the </w:t>
      </w:r>
      <w:r>
        <w:rPr>
          <w:rFonts w:ascii="Times New Roman" w:hAnsi="Times New Roman"/>
          <w:i/>
          <w:sz w:val="20"/>
        </w:rPr>
        <w:t>Common Stock</w:t>
      </w:r>
      <w:r>
        <w:rPr>
          <w:rFonts w:ascii="Times New Roman" w:hAnsi="Times New Roman"/>
          <w:sz w:val="20"/>
        </w:rPr>
        <w:t>), of the Company (each such share, a </w:t>
      </w:r>
      <w:r>
        <w:rPr>
          <w:rFonts w:ascii="Times New Roman" w:hAnsi="Times New Roman"/>
          <w:i/>
          <w:sz w:val="20"/>
        </w:rPr>
        <w:t>Warrant Share</w:t>
      </w:r>
      <w:r>
        <w:rPr>
          <w:rFonts w:ascii="Times New Roman" w:hAnsi="Times New Roman"/>
          <w:sz w:val="20"/>
        </w:rPr>
        <w:t> and all such shares, the </w:t>
      </w:r>
      <w:r>
        <w:rPr>
          <w:rFonts w:ascii="Times New Roman" w:hAnsi="Times New Roman"/>
          <w:i/>
          <w:sz w:val="20"/>
        </w:rPr>
        <w:t>Warrant Shares</w:t>
      </w:r>
      <w:r>
        <w:rPr>
          <w:rFonts w:ascii="Times New Roman" w:hAnsi="Times New Roman"/>
          <w:sz w:val="20"/>
        </w:rPr>
        <w:t xml:space="preserve">) at an exercise price per share equal to $0.70 per share (as adjusted from time to time as provided in </w:t>
      </w:r>
      <w:r>
        <w:rPr>
          <w:rFonts w:ascii="Times New Roman" w:hAnsi="Times New Roman"/>
          <w:sz w:val="20"/>
          <w:u w:val="single"/>
        </w:rPr>
        <w:t>Section 9</w:t>
      </w:r>
      <w:r>
        <w:rPr>
          <w:rFonts w:ascii="Times New Roman" w:hAnsi="Times New Roman"/>
          <w:sz w:val="20"/>
        </w:rPr>
        <w:t xml:space="preserve"> herein, the </w:t>
      </w:r>
      <w:r>
        <w:rPr>
          <w:rFonts w:ascii="Times New Roman" w:hAnsi="Times New Roman"/>
          <w:i/>
          <w:sz w:val="20"/>
        </w:rPr>
        <w:t>Exercise Price</w:t>
      </w:r>
      <w:r>
        <w:rPr>
          <w:rFonts w:ascii="Times New Roman" w:hAnsi="Times New Roman"/>
          <w:sz w:val="20"/>
        </w:rPr>
        <w:t xml:space="preserve">), upon surrender of this </w:t>
      </w:r>
      <w:r>
        <w:rPr>
          <w:rFonts w:ascii="Times New Roman" w:hAnsi="Times New Roman"/>
          <w:i/>
          <w:sz w:val="20"/>
        </w:rPr>
        <w:t>Series B Warrant to Purchase Common Stock</w:t>
      </w:r>
      <w:r>
        <w:rPr>
          <w:rFonts w:ascii="Times New Roman" w:hAnsi="Times New Roman"/>
          <w:sz w:val="20"/>
        </w:rPr>
        <w:t xml:space="preserve"> (including any </w:t>
      </w:r>
      <w:r>
        <w:rPr>
          <w:rFonts w:ascii="Times New Roman" w:hAnsi="Times New Roman"/>
          <w:i/>
          <w:sz w:val="20"/>
        </w:rPr>
        <w:t>Warrants to Purchase Common Stock</w:t>
      </w:r>
      <w:r>
        <w:rPr>
          <w:rFonts w:ascii="Times New Roman" w:hAnsi="Times New Roman"/>
          <w:sz w:val="20"/>
        </w:rPr>
        <w:t xml:space="preserve"> issued in exchange, transfer or replacement hereof, the </w:t>
      </w:r>
      <w:r>
        <w:rPr>
          <w:rFonts w:ascii="Times New Roman" w:hAnsi="Times New Roman"/>
          <w:i/>
          <w:sz w:val="20"/>
        </w:rPr>
        <w:t>Warrant</w:t>
      </w:r>
      <w:r>
        <w:rPr>
          <w:rFonts w:ascii="Times New Roman" w:hAnsi="Times New Roman"/>
          <w:sz w:val="20"/>
        </w:rPr>
        <w:t>) at any time and from time to time on or after the date hereof (the </w:t>
      </w:r>
      <w:r>
        <w:rPr>
          <w:rFonts w:ascii="Times New Roman" w:hAnsi="Times New Roman"/>
          <w:i/>
          <w:sz w:val="20"/>
        </w:rPr>
        <w:t>Original Issue Date</w:t>
      </w:r>
      <w:r>
        <w:rPr>
          <w:rFonts w:ascii="Times New Roman" w:hAnsi="Times New Roman"/>
          <w:sz w:val="20"/>
        </w:rPr>
        <w:t>) and on or prior to 5:00 P.M., New York City time on June 30, 2026 (the </w:t>
      </w:r>
      <w:r>
        <w:rPr>
          <w:rFonts w:ascii="Times New Roman" w:hAnsi="Times New Roman"/>
          <w:i/>
          <w:sz w:val="20"/>
        </w:rPr>
        <w:t>Termination Date</w:t>
      </w:r>
      <w:r>
        <w:rPr>
          <w:rFonts w:ascii="Times New Roman" w:hAnsi="Times New Roman"/>
          <w:sz w:val="20"/>
        </w:rPr>
        <w:t xml:space="preserve">), subject to the following terms and conditions: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For purposes of this Warrant,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Affiliate</w:t>
      </w:r>
      <w:r>
        <w:rPr>
          <w:rFonts w:ascii="Times New Roman" w:hAnsi="Times New Roman"/>
          <w:sz w:val="20"/>
        </w:rPr>
        <w:t xml:space="preserve"> means any Person directly or indirectly controlled by, controlling or under common control with, a Holder,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option, warrant or other similar arrangement) or other comparable equity interests.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i/>
          <w:sz w:val="20"/>
        </w:rPr>
        <w:t>Commission</w:t>
      </w:r>
      <w:r>
        <w:rPr>
          <w:rFonts w:ascii="Times New Roman" w:hAnsi="Times New Roman"/>
          <w:sz w:val="20"/>
        </w:rPr>
        <w:t xml:space="preserve"> means the United States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i/>
          <w:sz w:val="20"/>
        </w:rPr>
        <w:t>Closing Sale Price</w:t>
      </w:r>
      <w:r>
        <w:rPr>
          <w:rFonts w:ascii="Times New Roman" w:hAnsi="Times New Roman"/>
          <w:sz w:val="20"/>
        </w:rPr>
        <w:t xml:space="preserve">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pink sheets by Pink Sheets LLC. If the Closing Sale Price cannot be calculated for a security on a particular date on any of the foregoing bases, the Closing Sale Price of such security on such date shall be the fair market value as mutually determined in good faith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i/>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i/>
          <w:sz w:val="20"/>
        </w:rPr>
        <w:t>Principal Trading Market</w:t>
      </w:r>
      <w:r>
        <w:rPr>
          <w:rFonts w:ascii="Times New Roman" w:hAnsi="Times New Roman"/>
          <w:sz w:val="20"/>
        </w:rPr>
        <w:t xml:space="preserve"> means the national securities exchange or other trading market on which the Common Stock is primarily listed on and quoted for trading, which, as of the Original Issue Date, shall be the Nasdaq Global Select Market.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i/>
          <w:sz w:val="20"/>
        </w:rPr>
        <w:t>Registration Statement</w:t>
      </w:r>
      <w:r>
        <w:rPr>
          <w:rFonts w:ascii="Times New Roman" w:hAnsi="Times New Roman"/>
          <w:sz w:val="20"/>
        </w:rPr>
        <w:t xml:space="preserve"> means the Companys Registration Statement on Form S-3 (File No. 333-266741), declared effective on August 17, 2022.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i/>
          <w:sz w:val="20"/>
        </w:rPr>
        <w:t>Securities Act</w:t>
      </w:r>
      <w:r>
        <w:rPr>
          <w:rFonts w:ascii="Times New Roman" w:hAnsi="Times New Roman"/>
          <w:sz w:val="20"/>
        </w:rPr>
        <w:t xml:space="preserve"> means the Securities Act of 1933, as amended.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 </w:t>
      </w:r>
      <w:r>
        <w:rPr>
          <w:rFonts w:ascii="Times New Roman" w:hAnsi="Times New Roman"/>
          <w:i/>
          <w:sz w:val="20"/>
        </w:rPr>
        <w:t>Standard Settlement Period</w:t>
      </w:r>
      <w:r>
        <w:rPr>
          <w:rFonts w:ascii="Times New Roman" w:hAnsi="Times New Roman"/>
          <w:sz w:val="20"/>
        </w:rPr>
        <w:t xml:space="preserve"> means the standard settlement period, expressed in a number of Trading Days, on the Companys Principal Trading Market with respect to the Common Stock as in effect on the date of delivery of the Exercise Notice.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i/>
          <w:sz w:val="20"/>
        </w:rPr>
        <w:t>Trading Day</w:t>
      </w:r>
      <w:r>
        <w:rPr>
          <w:rFonts w:ascii="Times New Roman" w:hAnsi="Times New Roman"/>
          <w:sz w:val="20"/>
        </w:rPr>
        <w:t xml:space="preserve"> means any weekday on which the Principal Trading Market is normally open for trading.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i/>
          <w:sz w:val="20"/>
        </w:rPr>
        <w:t>Transfer Agent</w:t>
      </w:r>
      <w:r>
        <w:rPr>
          <w:rFonts w:ascii="Times New Roman" w:hAnsi="Times New Roman"/>
          <w:sz w:val="20"/>
        </w:rPr>
        <w:t xml:space="preserve"> means Computershare Trust Company, N.A., the Companys transfer agent and registrar for the Common Stock, and any successor appointed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Issuance of Securities; Registration of Warrants</w:t>
      </w:r>
      <w:r>
        <w:rPr>
          <w:rFonts w:ascii="Times New Roman" w:hAnsi="Times New Roman"/>
          <w:sz w:val="20"/>
        </w:rPr>
        <w:t>. The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Securities Act as in effect on the Original Issue Date, the Warrant Shares, are not restricted securities under Rule 144 promulgated under the Securities Act. The Company shall register ownership of this Warrant, upon records to be maintained by the Company for that purpose (the </w:t>
      </w:r>
      <w:r>
        <w:rPr>
          <w:rFonts w:ascii="Times New Roman" w:hAnsi="Times New Roman"/>
          <w:i/>
          <w:sz w:val="20"/>
        </w:rPr>
        <w:t>Warrant Register</w:t>
      </w:r>
      <w:r>
        <w:rPr>
          <w:rFonts w:ascii="Times New Roman" w:hAnsi="Times New Roman"/>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Registration of Transfers</w:t>
      </w:r>
      <w:r>
        <w:rPr>
          <w:rFonts w:ascii="Times New Roman" w:hAnsi="Times New Roman"/>
          <w:sz w:val="20"/>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hAnsi="Times New Roman"/>
          <w:i/>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hAnsi="Times New Roman"/>
          <w:sz w:val="20"/>
          <w:u w:val="single"/>
        </w:rPr>
        <w:t>Section 3</w:t>
      </w:r>
      <w:r>
        <w:rPr>
          <w:rFonts w:ascii="Times New Roman" w:hAnsi="Times New Roman"/>
          <w:sz w:val="20"/>
        </w:rPr>
        <w:t xml:space="preserve">. Until due presentment for registration of transfer, the Company may treat the registered Holder hereof as the owner and holder for all purposes, and the Company shall not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Exercise and Duration of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or any part of this Warrant shall be exercisable by the registered Holder in any manner permitted by this Warrant at any time and from time to time on or after the Original Issue Date and on or before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(b) Exercise of the purchase rights represented by this Warrant may be made, in whole or in part, at any time or times on or after the Original Issue Date and on or before the Termination Date by delivery to the Company of a duly executed facsimile copy or PDF copy submitted by e-mail (or e-mail attachment) of the Exercise Notice in the form attached as </w:t>
      </w:r>
      <w:r>
        <w:rPr>
          <w:rFonts w:ascii="Times New Roman" w:hAnsi="Times New Roman"/>
          <w:sz w:val="20"/>
          <w:u w:val="single"/>
        </w:rPr>
        <w:t>Schedule 1</w:t>
      </w:r>
      <w:r>
        <w:rPr>
          <w:rFonts w:ascii="Times New Roman" w:hAnsi="Times New Roman"/>
          <w:sz w:val="20"/>
        </w:rPr>
        <w:t xml:space="preserve"> hereto (the </w:t>
      </w:r>
      <w:r>
        <w:rPr>
          <w:rFonts w:ascii="Times New Roman" w:hAnsi="Times New Roman"/>
          <w:i/>
          <w:sz w:val="20"/>
        </w:rPr>
        <w:t>Exercise Notice</w:t>
      </w:r>
      <w:r>
        <w:rPr>
          <w:rFonts w:ascii="Times New Roman" w:hAnsi="Times New Roman"/>
          <w:sz w:val="20"/>
        </w:rPr>
        <w:t>, and the date of receipt of such Exercise Notice, the </w:t>
      </w:r>
      <w:r>
        <w:rPr>
          <w:rFonts w:ascii="Times New Roman" w:hAnsi="Times New Roman"/>
          <w:i/>
          <w:sz w:val="20"/>
        </w:rPr>
        <w:t>Exercise Date</w:t>
      </w:r>
      <w:r>
        <w:rPr>
          <w:rFonts w:ascii="Times New Roman" w:hAnsi="Times New Roman"/>
          <w:sz w:val="20"/>
        </w:rPr>
        <w:t xml:space="preserve">). Within the earlier of (i) two (2) Trading Days and (ii) the number of Trading Days comprising the Standard Settlement Period following the date of exercise as aforesaid, the Holder shall deliver the aggregate Exercise Price for the number of Warrant Shares specified in the applicable Exercise Notice by wire transfer or cashiers check drawn on a United States bank unless the cashless exercise procedure specified below is specified in the applicable Exercise Notice. No ink-original Exercise Notice shall be required, nor shall any medallion guarantee (or other type of guarantee or notarization) of any Exercise Notice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Exercise Notice within one (1) Trading Day of receipt of such notice. </w:t>
      </w:r>
      <w:r>
        <w:rPr>
          <w:rFonts w:ascii="Times New Roman" w:hAnsi="Times New Roman"/>
          <w:b/>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Delivery of Warrant Shares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(a) Upon exercise of this Warrant, the Company shall or will cause its Transfer Agent to, promptly (but in no event later than two (2) Trading Days after the Exercise Date, provided the Company has received the Exercise Price related to such exercise by such date), upon the request of the Holder, credit such aggregate number of shares of Common Stock to which the Holder is entitled pursuant to such exercise to the Holders or its designees balance account with The Depository Trust Company (</w:t>
      </w:r>
      <w:r>
        <w:rPr>
          <w:rFonts w:ascii="Times New Roman" w:hAnsi="Times New Roman"/>
          <w:i/>
          <w:sz w:val="20"/>
        </w:rPr>
        <w:t>DTC</w:t>
      </w:r>
      <w:r>
        <w:rPr>
          <w:rFonts w:ascii="Times New Roman" w:hAnsi="Times New Roman"/>
          <w:sz w:val="20"/>
        </w:rPr>
        <w:t>) through its Deposit Withdrawal Agent Commission system, or if the Transfer Agent is not participating in the Fast Automated Securities Transfer Program (the </w:t>
      </w:r>
      <w:r>
        <w:rPr>
          <w:rFonts w:ascii="Times New Roman" w:hAnsi="Times New Roman"/>
          <w:i/>
          <w:sz w:val="20"/>
        </w:rPr>
        <w:t>FAST Program</w:t>
      </w:r>
      <w:r>
        <w:rPr>
          <w:rFonts w:ascii="Times New Roman" w:hAnsi="Times New Roman"/>
          <w:sz w:val="20"/>
        </w:rPr>
        <w:t xml:space="preserve">)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DTC (or its nominee) or any natural person or legal entity (each, a Person)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evidencing such Warrant Shares, as the case may be. In addition, solely for purposes of Regulation SHO, the Holder will be deemed to be the holder of record of Warrant Shares upon delivery of the Exercise Notice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(b) If by the close of the second (2nd) Trading Day after the Exercise Date, the Company fails to deliver to the Holder a certificate representing the required number of Warrant Shares in the manner required pursuant to </w:t>
      </w:r>
      <w:r>
        <w:rPr>
          <w:rFonts w:ascii="Times New Roman" w:hAnsi="Times New Roman"/>
          <w:sz w:val="20"/>
          <w:u w:val="single"/>
        </w:rPr>
        <w:t>Section 5(a)</w:t>
      </w:r>
      <w:r>
        <w:rPr>
          <w:rFonts w:ascii="Times New Roman" w:hAnsi="Times New Roman"/>
          <w:sz w:val="20"/>
        </w:rPr>
        <w:t xml:space="preserve"> or fails to or cause the Transfer Agent to credit the Holders balance account with DTC for such number of Warrant Shares to which the Holder is entitled, and if after such second (2nd) Trading Day and prior to the receipt of such Warrant Shares, the Holder purchases (in an open market transaction or otherwise) shares of Common Stock to deliver in satisfaction of a sale by the Holder of the Warrant Shares which the Holder anticipated receiving upon such exercise (a </w:t>
      </w:r>
      <w:r>
        <w:rPr>
          <w:rFonts w:ascii="Times New Roman" w:hAnsi="Times New Roman"/>
          <w:i/>
          <w:sz w:val="20"/>
        </w:rPr>
        <w:t>Buy-In</w:t>
      </w:r>
      <w:r>
        <w:rPr>
          <w:rFonts w:ascii="Times New Roman" w:hAnsi="Times New Roman"/>
          <w:sz w:val="20"/>
        </w:rPr>
        <w:t xml:space="preserve">), then the Company shall, within three (3) Trading Days after the Holders request and in the Holders sole discretion, either (i) pay in cash to the Holder an amount equal to the Holders total purchase price (including brokerage commissions, if any) for the shares of Common Stock so purchased, at which point the Companys obligation to deliver such certificate (and to issue such Warrant Shares) or to cause the Holders DTC account to be credited for such Warrant Shares shall terminate or (ii) promptly honor its obligation to deliver to the Holder a certificate or certificates representing such Warrant Shares or credit the Holders or its designees balance account with DTC for such Warrant Shares and pay cash to the Holder in an amount equal to the excess (if any) of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permitted by law and subject to Section 5(b), the Companys obligations to or to cause the Transfer Agent to issue and deliver Warrant Shares in accordance with and subject to the terms hereof (including the limitations set forth in </w:t>
      </w:r>
      <w:r>
        <w:rPr>
          <w:rFonts w:ascii="Times New Roman" w:hAnsi="Times New Roman"/>
          <w:sz w:val="20"/>
          <w:u w:val="single"/>
        </w:rPr>
        <w:t>Section 11</w:t>
      </w:r>
      <w:r>
        <w:rPr>
          <w:rFonts w:ascii="Times New Roman" w:hAnsi="Times New Roman"/>
          <w:sz w:val="20"/>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Charges, Taxes and Expenses</w:t>
      </w:r>
      <w:r>
        <w:rPr>
          <w:rFonts w:ascii="Times New Roman" w:hAnsi="Times New Roman"/>
          <w:sz w:val="20"/>
        </w:rPr>
        <w:t xml:space="preserve">. Issuance and delivery of certificates for shares of Common Stock upon exercise of this Warrant shall be made without charge to the Holder for any issue or transfer tax, transfer agent fee or other incidental tax or expense (excluding any applicable stamp duties) in respect of the issuance of such certificates, all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which taxes and expenses shall be paid by the Company; </w:t>
      </w:r>
      <w:r>
        <w:rPr>
          <w:rFonts w:ascii="Times New Roman" w:hAnsi="Times New Roman"/>
          <w:i/>
          <w:sz w:val="20"/>
        </w:rPr>
        <w:t>provided, however</w:t>
      </w:r>
      <w:r>
        <w:rPr>
          <w:rFonts w:ascii="Times New Roman" w:hAnsi="Times New Roman"/>
          <w:sz w:val="20"/>
        </w:rPr>
        <w:t xml:space="preserve">,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if requested by the Company (but not the posting of any surety or similar bond).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Reservation of Warrant Shares</w:t>
      </w:r>
      <w:r>
        <w:rPr>
          <w:rFonts w:ascii="Times New Roman" w:hAnsi="Times New Roman"/>
          <w:sz w:val="20"/>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hAnsi="Times New Roman"/>
          <w:sz w:val="20"/>
          <w:u w:val="single"/>
        </w:rPr>
        <w:t>Section 9</w:t>
      </w:r>
      <w:r>
        <w:rPr>
          <w:rFonts w:ascii="Times New Roman" w:hAnsi="Times New Roman"/>
          <w:sz w:val="20"/>
        </w:rPr>
        <w:t xml:space="preserve">).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Certain Adjustments</w:t>
      </w:r>
      <w:r>
        <w:rPr>
          <w:rFonts w:ascii="Times New Roman" w:hAnsi="Times New Roman"/>
          <w:sz w:val="20"/>
        </w:rPr>
        <w:t xml:space="preserve">. The Exercise Price and number of Warrant Shares issuable upon exercise of this Warrant are subject to adjustment from time to time as set forth in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on its Common Stock or otherwise makes a distribution on any class of capital stock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i/>
          <w:sz w:val="20"/>
        </w:rPr>
        <w:t>Distribution</w:t>
      </w:r>
      <w:r>
        <w:rPr>
          <w:rFonts w:ascii="Times New Roman" w:hAnsi="Times New Roman"/>
          <w:sz w:val="20"/>
        </w:rPr>
        <w:t xml:space="preserve">),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Fundamental Transactions</w:t>
      </w:r>
      <w:r>
        <w:rPr>
          <w:rFonts w:ascii="Times New Roman" w:hAnsi="Times New Roman"/>
          <w:sz w:val="20"/>
        </w:rPr>
        <w:t xml:space="preserve">. If, at any time while this Warrant is outstanding (i) the Company, directly or indirectly, in one or more related transactions,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(ii) the Company, directly or indirectly, effects any sale to another Person of all or substantially all of its assets in one transaction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hAnsi="Times New Roman"/>
          <w:sz w:val="20"/>
          <w:u w:val="single"/>
        </w:rPr>
        <w:t>Section 9(a)</w:t>
      </w:r>
      <w:r>
        <w:rPr>
          <w:rFonts w:ascii="Times New Roman" w:hAnsi="Times New Roman"/>
          <w:sz w:val="20"/>
        </w:rPr>
        <w:t xml:space="preserve"> above) (in any such case, a </w:t>
      </w:r>
      <w:r>
        <w:rPr>
          <w:rFonts w:ascii="Times New Roman" w:hAnsi="Times New Roman"/>
          <w:i/>
          <w:sz w:val="20"/>
        </w:rPr>
        <w:t>Fundamental Transaction</w:t>
      </w:r>
      <w:r>
        <w:rPr>
          <w:rFonts w:ascii="Times New Roman" w:hAnsi="Times New Roman"/>
          <w:sz w:val="20"/>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In the event the Holder does not exercise this Warrant as contemplated by the foregoing sentence, this Warrant shall be deemed exercised in full without regard to any limitations on exercise contained herein pursuant to the cashless exercise provision in Section 10 hereof upon the effective date of the consummation of such Fundamental Transaction.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Number of Warrant Shares</w:t>
      </w:r>
      <w:r>
        <w:rPr>
          <w:rFonts w:ascii="Times New Roman" w:hAnsi="Times New Roman"/>
          <w:sz w:val="20"/>
        </w:rPr>
        <w:t xml:space="preserve">. Simultaneously with any adjustment to the Exercise Price pursuant to </w:t>
      </w:r>
      <w:r>
        <w:rPr>
          <w:rFonts w:ascii="Times New Roman" w:hAnsi="Times New Roman"/>
          <w:sz w:val="20"/>
          <w:u w:val="single"/>
        </w:rPr>
        <w:t>Section 9</w:t>
      </w:r>
      <w:r>
        <w:rPr>
          <w:rFonts w:ascii="Times New Roman" w:hAnsi="Times New Roman"/>
          <w:sz w:val="20"/>
        </w:rPr>
        <w:t xml:space="preserve">, (including any adjustment to the Exercise Price that would have been effected but for the final sentence in this paragraph (d))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9</w:t>
      </w:r>
      <w:r>
        <w:rPr>
          <w:rFonts w:ascii="Times New Roman" w:hAnsi="Times New Roman"/>
          <w:sz w:val="20"/>
        </w:rPr>
        <w:t xml:space="preserve"> shall be made to the nearest one-hundredth of one cent or the nearest share,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 of Adjustments</w:t>
      </w:r>
      <w:r>
        <w:rPr>
          <w:rFonts w:ascii="Times New Roman" w:hAnsi="Times New Roman"/>
          <w:sz w:val="20"/>
        </w:rPr>
        <w:t xml:space="preserve">. Upon the occurrence of each adjustment pursuant to this </w:t>
      </w:r>
      <w:r>
        <w:rPr>
          <w:rFonts w:ascii="Times New Roman" w:hAnsi="Times New Roman"/>
          <w:sz w:val="20"/>
          <w:u w:val="single"/>
        </w:rPr>
        <w:t>Section 9</w:t>
      </w:r>
      <w:r>
        <w:rPr>
          <w:rFonts w:ascii="Times New Roman" w:hAnsi="Times New Roman"/>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Common Stock in order to participate in or vote with respect to such transaction; </w:t>
      </w:r>
      <w:r>
        <w:rPr>
          <w:rFonts w:ascii="Times New Roman" w:hAnsi="Times New Roman"/>
          <w:i/>
          <w:sz w:val="20"/>
        </w:rPr>
        <w:t>provided, however</w:t>
      </w:r>
      <w:r>
        <w:rPr>
          <w:rFonts w:ascii="Times New Roman" w:hAnsi="Times New Roman"/>
          <w:sz w:val="20"/>
        </w:rPr>
        <w:t xml:space="preserve">,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hAnsi="Times New Roman"/>
          <w:sz w:val="20"/>
          <w:u w:val="single"/>
        </w:rPr>
        <w:t>Section 9(c)</w:t>
      </w:r>
      <w:r>
        <w:rPr>
          <w:rFonts w:ascii="Times New Roman" w:hAnsi="Times New Roman"/>
          <w:sz w:val="20"/>
        </w:rPr>
        <w:t xml:space="preserve">, other than a Fundamental Transaction under clause (iii) of Section 9(c), then, except if such notice and the contents thereof shall be deemed to constitute material non-public information, the Company shall deliver to the Holder a notice of such Fundamental Transaction at least thirty (30) days prior to the date such Fundamental Transaction is consummated. Holder agrees to maintain any information disclosed pursuant to this Section 9(g) in confidence until such information is publicly available, and shall comply with applicable law with respect to trading in the Companys securities following receipt any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Voluntary Adjustment By Company.</w:t>
      </w:r>
      <w:r>
        <w:rPr>
          <w:rFonts w:ascii="Times New Roman" w:hAnsi="Times New Roman"/>
          <w:sz w:val="20"/>
        </w:rPr>
        <w:t xml:space="preserve"> Subject to the rules and regulations of the Principal Trading Market, the Company may at any time during the term of this Warrant, reduce the then-current Exercise Price to any amount and for any period of time deemed appropriate by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Cashless Exercise</w:t>
      </w:r>
      <w:r>
        <w:rPr>
          <w:rFonts w:ascii="Times New Roman" w:hAnsi="Times New Roman"/>
          <w:sz w:val="20"/>
        </w:rPr>
        <w:t xml:space="preserve">. Notwithstanding anything contained herein to the contrary, if at the time of exercise hereof there is no effective registration statement registering the issuance of the Warrant Shares to the Holder upon exercise of this Warrant, then this Warrant may only be exercised, in whole or in part, at such time by means of a cashless exercise, in which event the Company shall issue to the Holder the number of Warrant Shares in an exchange of securities effected pursuant to Section 3(a)(9) of the Securities Act, as determined as follows: </w:t>
      </w:r>
    </w:p>
    <w:p>
      <w:pPr>
        <w:pStyle w:val="TextBody"/>
        <w:bidi w:val="0"/>
        <w:spacing w:before="120" w:after="0"/>
        <w:jc w:val="center"/>
        <w:rPr>
          <w:rFonts w:ascii="Times New Roman" w:hAnsi="Times New Roman"/>
          <w:sz w:val="20"/>
        </w:rPr>
      </w:pPr>
      <w:r>
        <w:rPr>
          <w:rFonts w:ascii="Times New Roman" w:hAnsi="Times New Roman"/>
          <w:sz w:val="20"/>
        </w:rPr>
        <w:t>X = Y [(A-B)/A]</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rFonts w:ascii="Times New Roman" w:hAnsi="Times New Roman"/>
          <w:sz w:val="20"/>
        </w:rPr>
      </w:pPr>
      <w:r>
        <w:rPr>
          <w:rFonts w:ascii="Times New Roman" w:hAnsi="Times New Roman"/>
          <w:sz w:val="20"/>
        </w:rPr>
        <w:t xml:space="preserve">X equals the number of Warrant Shares to be issued to the Holder; </w:t>
      </w:r>
    </w:p>
    <w:p>
      <w:pPr>
        <w:pStyle w:val="TextBody"/>
        <w:bidi w:val="0"/>
        <w:spacing w:before="240" w:after="0"/>
        <w:jc w:val="left"/>
        <w:rPr>
          <w:rFonts w:ascii="Times New Roman" w:hAnsi="Times New Roman"/>
          <w:sz w:val="20"/>
        </w:rPr>
      </w:pPr>
      <w:r>
        <w:rPr>
          <w:rFonts w:ascii="Times New Roman" w:hAnsi="Times New Roman"/>
          <w:sz w:val="20"/>
        </w:rPr>
        <w:t xml:space="preserve">Y equals the total number of Warrant Shares with respect to which this Warrant is then being exercised; </w:t>
      </w:r>
    </w:p>
    <w:p>
      <w:pPr>
        <w:pStyle w:val="TextBody"/>
        <w:bidi w:val="0"/>
        <w:spacing w:before="240" w:after="0"/>
        <w:jc w:val="left"/>
        <w:rPr>
          <w:rFonts w:ascii="Times New Roman" w:hAnsi="Times New Roman"/>
          <w:sz w:val="20"/>
        </w:rPr>
      </w:pPr>
      <w:r>
        <w:rPr>
          <w:rFonts w:ascii="Times New Roman" w:hAnsi="Times New Roman"/>
          <w:sz w:val="20"/>
        </w:rPr>
        <w:t xml:space="preserve">A equals the Closing Sale Price per share of Common Stock (as reported by Bloomberg Financial Markets) as of the Trading Day immediately preceding the Exercise Date; and </w:t>
      </w:r>
    </w:p>
    <w:p>
      <w:pPr>
        <w:pStyle w:val="TextBody"/>
        <w:bidi w:val="0"/>
        <w:spacing w:before="240" w:after="0"/>
        <w:jc w:val="left"/>
        <w:rPr>
          <w:rFonts w:ascii="Times New Roman" w:hAnsi="Times New Roman"/>
          <w:sz w:val="20"/>
        </w:rPr>
      </w:pPr>
      <w:r>
        <w:rPr>
          <w:rFonts w:ascii="Times New Roman" w:hAnsi="Times New Roman"/>
          <w:sz w:val="20"/>
        </w:rPr>
        <w:t xml:space="preserve">B equals the Exercise Price per Warrant Share then in effect on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(provided that the Commission continues to take the position that such treatment is proper at the time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Limitations on 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anything to the contrary contained herein, the Company shall not effect any exercise of this Warrant, and the Holder shall not be entitled to exercise this Warrant for a number of Warrant Shares in excess of that number of Warrant Shares which, upon giving effect or immediately prior to such exercise, would cause (i) the aggregate number of shares of Common Stock beneficially owned by the Holder, its Affiliates and any Persons who are members of a Section 13(d) group with such Holder or its Affiliates to exceed 4.99% (or at the election of the Holder prior to the issuance of this Warrant, 9.99%) (the </w:t>
      </w:r>
      <w:r>
        <w:rPr>
          <w:rFonts w:ascii="Times New Roman" w:hAnsi="Times New Roman"/>
          <w:i/>
          <w:sz w:val="20"/>
        </w:rPr>
        <w:t>Maximum Percentage</w:t>
      </w:r>
      <w:r>
        <w:rPr>
          <w:rFonts w:ascii="Times New Roman" w:hAnsi="Times New Roman"/>
          <w:sz w:val="20"/>
        </w:rPr>
        <w:t xml:space="preserve">) of the total number of issued and outstanding shares of Common Stock of the Company following such exercise, or (ii) the combined voting power of the securities of the Company beneficially owned by the Holder and its Affiliates and any other Persons who are members of a Section 13(d) group with such Holder or its Affiliates to exceed the Maximum Percentage of the combined voting power of all of the securities of the Company then outstanding following such exercise. For purposes of this paragraph, beneficial ownership and whether a holder is a member of a Section 13(d) group shall be calculated and determined in accordance with Section 13(d) of the Exchange Act and the rules promulgated thereunder. For purposes of this Warrant, in determining the number of outstanding shares of Common Stock, the Holder may rely on the number of outstanding shares of Common Stock as reflected in (x) the Companys most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recent Quarterly Report on Form 10-Q or Annual Report on Form 10-K, as the case may be, (y) a more recent public announcement by the Company or (z) any other written notice by the Company or the Transfer Agent setting forth the number of shares of Common Stock outstanding. Upon the written request of the Holder, the Company shall within three (3) Trading Days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 other percentage specified in such notice, but not in excess of 19.99% (or at the election of the Holder prior to the issuance of this Warrant, 9.99%) specified in such notice; provided that any such increase will not be effective until the sixty-first (61st) day after such notice is delivered to the Company. For purposes of this Section 11(a), the aggregate number of shares of Common Stock or voting securities beneficially owned by the Holder and its Affiliates and any other Persons who are members of a Section 13(d) group with such Holder or its Affiliates shall include the shares of Common Stock issuable upon (x) the exercise of this Warrant with respect to which such determination is being made, but shall exclude the number of shares of Common Stock which would be issuable upon exercise of the remaining unexercised and non-cancelled portion of this Warrant by the Holder and (y) the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but excluding such shares underlying such instrument which is subject to a limitation on conversion or exercise analogous to the limitation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11</w:t>
      </w:r>
      <w:r>
        <w:rPr>
          <w:rFonts w:ascii="Times New Roman" w:hAnsi="Times New Roman"/>
          <w:sz w:val="20"/>
        </w:rPr>
        <w:t xml:space="preserve"> shall not restrict the number of shares of Common Stock, which a Holder may receive or beneficially own in order to determine the amount of securities or other consideration that such Holder may receive in the event of a Fundamental Transaction as contemplated in </w:t>
      </w:r>
      <w:r>
        <w:rPr>
          <w:rFonts w:ascii="Times New Roman" w:hAnsi="Times New Roman"/>
          <w:sz w:val="20"/>
          <w:u w:val="single"/>
        </w:rPr>
        <w:t>Section 9(c)</w:t>
      </w:r>
      <w:r>
        <w:rPr>
          <w:rFonts w:ascii="Times New Roman" w:hAnsi="Times New Roman"/>
          <w:sz w:val="20"/>
        </w:rPr>
        <w:t xml:space="preserve">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and all notices or other communications or deliveries hereunder (including, without limitation, any Exercise Notice) shall be in writing and shall be deemed given and effective on the earliest of (i) the time of transmission, if such notice or communication is delivered via facsimile or e-mail prior to 5:30 P.M., New York City time, on a Trading Day so long as the sender of an e-mail has not received an automated notice of delivery failure from the proposed recipients computer server, (ii) the next Trading Day after the date of transmission, if such notice or communication is delivered via facsimile or e-mail on a day that is not a Trading Day or later than 5:30 P.M., New York City time, on any Trading Day so long as the sender of an e-mail has not received an automated notice of delivery failure from the proposed recipients computer server, (iii) the Trading Day following the date of mailing, if sent by nationally recognized overnight courier service specifying next business day delivery, or (iv) upon actual receipt by the Person to whom such notice is required to be given, if by hand delivery. The addresses, facsimile numbers and e-mail addresses for such communications shall be: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Tenaya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171 Oyster Point Blvd., Suite 500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 94080 </w:t>
      </w:r>
    </w:p>
    <w:p>
      <w:pPr>
        <w:pStyle w:val="TextBody"/>
        <w:bidi w:val="0"/>
        <w:spacing w:before="240" w:after="0"/>
        <w:jc w:val="left"/>
        <w:rPr>
          <w:rFonts w:ascii="Times New Roman" w:hAnsi="Times New Roman"/>
          <w:sz w:val="20"/>
        </w:rPr>
      </w:pPr>
      <w:r>
        <w:rPr>
          <w:rFonts w:ascii="Times New Roman" w:hAnsi="Times New Roman"/>
          <w:sz w:val="20"/>
        </w:rPr>
        <w:t xml:space="preserve">If to the Holder, to its address, facsimile number or e-mail address set forth herein or on the books and records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Or, in each of the above instances, to such other address, facsimile number or e-mail address as the recipient party has specified by written notice given to each other party at least five (5) days prior to the effectiveness of such change.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Warrant Agent</w:t>
      </w:r>
      <w:r>
        <w:rPr>
          <w:rFonts w:ascii="Times New Roman" w:hAnsi="Times New Roman"/>
          <w:sz w:val="20"/>
        </w:rPr>
        <w:t xml:space="preserve">. The Company shall initially serve as warrant agent under this Warrant.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Authorized Shares</w:t>
      </w:r>
      <w:r>
        <w:rPr>
          <w:rFonts w:ascii="Times New Roman" w:hAnsi="Times New Roman"/>
          <w:sz w:val="20"/>
        </w:rPr>
        <w:t xml:space="preserve">. (i)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w:t>
      </w:r>
    </w:p>
    <w:p>
      <w:pPr>
        <w:pStyle w:val="TextBody"/>
        <w:bidi w:val="0"/>
        <w:spacing w:before="240" w:after="0"/>
        <w:jc w:val="left"/>
        <w:rPr>
          <w:rFonts w:ascii="Times New Roman" w:hAnsi="Times New Roman"/>
          <w:sz w:val="20"/>
        </w:rPr>
      </w:pPr>
      <w:r>
        <w:rPr>
          <w:rFonts w:ascii="Times New Roman" w:hAnsi="Times New Roman"/>
          <w:sz w:val="20"/>
        </w:rPr>
        <w:t xml:space="preserve">(ii)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the restrictions on transfer set forth in this Warrant and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Except as otherwise provided herein, the provisions of this Warrant may be amended and the Company may take any action herein prohibited, or omit to perform any act herein required to be performed by it, only if the Company has obtained the written consent of the Holder.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DELAWARE WITHOUT REGARD TO THE PRINCIPLES OF CONFLICTS OF LAW THEREOF. EACH OF THE COMPANY AND THE HOLDER HEREBY IRREVOCABLY SUBMITS TO THE EXCLUSIVE JURISDICTION OF THE STATE AND FEDERAL COURTS SITTING IN THE STATE OF DELAWARE,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TENAYA THERAPEUTICS,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1 </w:t>
      </w:r>
    </w:p>
    <w:p>
      <w:pPr>
        <w:pStyle w:val="TextBody"/>
        <w:bidi w:val="0"/>
        <w:spacing w:before="120" w:after="0"/>
        <w:jc w:val="center"/>
        <w:rPr>
          <w:rFonts w:ascii="Times New Roman" w:hAnsi="Times New Roman"/>
          <w:sz w:val="20"/>
        </w:rPr>
      </w:pPr>
      <w:r>
        <w:rPr>
          <w:rFonts w:ascii="Times New Roman" w:hAnsi="Times New Roman"/>
          <w:sz w:val="20"/>
        </w:rPr>
        <w:t xml:space="preserve">FORM OF EXERCISE NOTICE </w:t>
      </w:r>
    </w:p>
    <w:p>
      <w:pPr>
        <w:pStyle w:val="TextBody"/>
        <w:bidi w:val="0"/>
        <w:spacing w:before="120" w:after="0"/>
        <w:jc w:val="center"/>
        <w:rPr>
          <w:rFonts w:ascii="Times New Roman" w:hAnsi="Times New Roman"/>
          <w:sz w:val="20"/>
        </w:rPr>
      </w:pPr>
      <w:r>
        <w:rPr>
          <w:rFonts w:ascii="Times New Roman" w:hAnsi="Times New Roman"/>
          <w:sz w:val="20"/>
        </w:rPr>
        <w:t xml:space="preserve">[To be executed by the Holder to purchase shares of Common Stock under the Warrant]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(1) The undersigned is the Holder of Warrant No. </w:t>
      </w:r>
      <w:r>
        <w:rPr>
          <w:rFonts w:ascii="Times New Roman" w:hAnsi="Times New Roman"/>
          <w:sz w:val="20"/>
          <w:u w:val="single"/>
        </w:rPr>
        <w:t>  </w:t>
      </w:r>
      <w:r>
        <w:rPr>
          <w:rFonts w:ascii="Times New Roman" w:hAnsi="Times New Roman"/>
          <w:sz w:val="20"/>
        </w:rPr>
        <w:t xml:space="preserve"> (the </w:t>
      </w:r>
      <w:r>
        <w:rPr>
          <w:rFonts w:ascii="Times New Roman" w:hAnsi="Times New Roman"/>
          <w:i/>
          <w:sz w:val="20"/>
        </w:rPr>
        <w:t>Warrant</w:t>
      </w:r>
      <w:r>
        <w:rPr>
          <w:rFonts w:ascii="Times New Roman" w:hAnsi="Times New Roman"/>
          <w:sz w:val="20"/>
        </w:rPr>
        <w:t>) issued by Tenaya Therapeutics, Inc., a Delaware corporation (the </w:t>
      </w:r>
      <w:r>
        <w:rPr>
          <w:rFonts w:ascii="Times New Roman" w:hAnsi="Times New Roman"/>
          <w:i/>
          <w:sz w:val="20"/>
        </w:rPr>
        <w:t>Company</w:t>
      </w:r>
      <w:r>
        <w:rPr>
          <w:rFonts w:ascii="Times New Roman" w:hAnsi="Times New Roman"/>
          <w:sz w:val="20"/>
        </w:rPr>
        <w:t xml:space="preserve">). Capitalized terms used herein and not otherwise defined herein have the respective meanings set forth in the Warrant. </w:t>
      </w:r>
    </w:p>
    <w:p>
      <w:pPr>
        <w:pStyle w:val="TextBody"/>
        <w:bidi w:val="0"/>
        <w:spacing w:before="240" w:after="0"/>
        <w:jc w:val="left"/>
        <w:rPr>
          <w:rFonts w:ascii="Times New Roman" w:hAnsi="Times New Roman"/>
          <w:sz w:val="20"/>
        </w:rPr>
      </w:pPr>
      <w:r>
        <w:rPr>
          <w:rFonts w:ascii="Times New Roman" w:hAnsi="Times New Roman"/>
          <w:sz w:val="20"/>
        </w:rPr>
        <w:t xml:space="preserve">(2) The undersigned hereby exercises its right to purchase </w:t>
      </w:r>
      <w:r>
        <w:rPr>
          <w:rFonts w:ascii="Times New Roman" w:hAnsi="Times New Roman"/>
          <w:sz w:val="20"/>
          <w:u w:val="single"/>
        </w:rPr>
        <w:t>     </w:t>
      </w:r>
      <w:r>
        <w:rPr>
          <w:rFonts w:ascii="Times New Roman" w:hAnsi="Times New Roman"/>
          <w:sz w:val="20"/>
        </w:rPr>
        <w:t xml:space="preserve"> Warrant Shares (the </w:t>
      </w:r>
      <w:r>
        <w:rPr>
          <w:rFonts w:ascii="Times New Roman" w:hAnsi="Times New Roman"/>
          <w:i/>
          <w:sz w:val="20"/>
        </w:rPr>
        <w:t>Exercised Warrant Shares</w:t>
      </w:r>
      <w:r>
        <w:rPr>
          <w:rFonts w:ascii="Times New Roman" w:hAnsi="Times New Roman"/>
          <w:sz w:val="20"/>
        </w:rPr>
        <w:t xml:space="preserve">) pursuant to the Warrant. </w:t>
      </w:r>
    </w:p>
    <w:p>
      <w:pPr>
        <w:pStyle w:val="TextBody"/>
        <w:bidi w:val="0"/>
        <w:spacing w:before="240" w:after="0"/>
        <w:jc w:val="left"/>
        <w:rPr>
          <w:rFonts w:ascii="Times New Roman" w:hAnsi="Times New Roman"/>
          <w:sz w:val="20"/>
        </w:rPr>
      </w:pPr>
      <w:r>
        <w:rPr>
          <w:rFonts w:ascii="Times New Roman" w:hAnsi="Times New Roman"/>
          <w:sz w:val="20"/>
        </w:rPr>
        <w:t xml:space="preserve">(3) The Holder intends that payment of the Exercise Price shall be made as (check one): </w:t>
      </w:r>
    </w:p>
    <w:p>
      <w:pPr>
        <w:pStyle w:val="TextBody"/>
        <w:bidi w:val="0"/>
        <w:spacing w:before="120" w:after="0"/>
        <w:jc w:val="left"/>
        <w:rPr/>
      </w:pPr>
      <w:r>
        <w:rPr/>
        <w:t xml:space="preserve">☐ </w:t>
      </w:r>
      <w:r>
        <w:rPr>
          <w:rFonts w:ascii="Times New Roman" w:hAnsi="Times New Roman"/>
          <w:sz w:val="20"/>
        </w:rPr>
        <w:t xml:space="preserve">Cash Exercise </w:t>
      </w:r>
    </w:p>
    <w:p>
      <w:pPr>
        <w:pStyle w:val="TextBody"/>
        <w:bidi w:val="0"/>
        <w:spacing w:before="120" w:after="0"/>
        <w:jc w:val="left"/>
        <w:rPr/>
      </w:pPr>
      <w:r>
        <w:rPr/>
        <w:t xml:space="preserve">☐ </w:t>
      </w:r>
      <w:r>
        <w:rPr>
          <w:rFonts w:ascii="Times New Roman" w:hAnsi="Times New Roman"/>
          <w:sz w:val="20"/>
        </w:rPr>
        <w:t xml:space="preserve">if permitted in accordance with Section 10 of the Warrant, Cashless Exercise </w:t>
      </w:r>
    </w:p>
    <w:p>
      <w:pPr>
        <w:pStyle w:val="TextBody"/>
        <w:bidi w:val="0"/>
        <w:spacing w:before="240" w:after="0"/>
        <w:jc w:val="left"/>
        <w:rPr>
          <w:rFonts w:ascii="Times New Roman" w:hAnsi="Times New Roman"/>
          <w:sz w:val="20"/>
        </w:rPr>
      </w:pPr>
      <w:r>
        <w:rPr>
          <w:rFonts w:ascii="Times New Roman" w:hAnsi="Times New Roman"/>
          <w:sz w:val="20"/>
        </w:rPr>
        <w:t xml:space="preserve">(4) If the Holder has elected a Cash Exercise, the Holder shall pay the sum of $ </w:t>
      </w:r>
      <w:r>
        <w:rPr>
          <w:rFonts w:ascii="Times New Roman" w:hAnsi="Times New Roman"/>
          <w:sz w:val="20"/>
          <w:u w:val="single"/>
        </w:rPr>
        <w:t>     </w:t>
      </w:r>
      <w:r>
        <w:rPr>
          <w:rFonts w:ascii="Times New Roman" w:hAnsi="Times New Roman"/>
          <w:sz w:val="20"/>
        </w:rPr>
        <w:t xml:space="preserve"> in immediately available funds to the Company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(5) Pursuant to this Exercise Notice, the Company shall deliver to the Holder the Exercised Warrant Shares determined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(6) 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w:t>
      </w:r>
      <w:r>
        <w:rPr>
          <w:rFonts w:ascii="Times New Roman" w:hAnsi="Times New Roman"/>
          <w:sz w:val="20"/>
          <w:u w:val="single"/>
        </w:rPr>
        <w:t>Section 11(a)</w:t>
      </w:r>
      <w:r>
        <w:rPr>
          <w:rFonts w:ascii="Times New Roman" w:hAnsi="Times New Roman"/>
          <w:sz w:val="20"/>
        </w:rPr>
        <w:t xml:space="preserve"> of the Warrant to which this notice relates.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Dated: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 of 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right"/>
        <w:rPr>
          <w:rFonts w:ascii="Times New Roman" w:hAnsi="Times New Roman"/>
          <w:b/>
          <w:sz w:val="20"/>
        </w:rPr>
      </w:pPr>
      <w:bookmarkStart w:id="8" w:name="d878268dex51.htm"/>
      <w:bookmarkStart w:id="9" w:name="ksd878268dex51"/>
      <w:bookmarkEnd w:id="8"/>
      <w:bookmarkEnd w:id="9"/>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35"/>
        <w:gridCol w:w="107"/>
        <w:gridCol w:w="3178"/>
        <w:gridCol w:w="121"/>
        <w:gridCol w:w="3264"/>
      </w:tblGrid>
      <w:tr>
        <w:trPr/>
        <w:tc>
          <w:tcPr>
            <w:tcW w:w="353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17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64" w:type="dxa"/>
            <w:tcBorders/>
            <w:vAlign w:val="center"/>
          </w:tcPr>
          <w:p>
            <w:pPr>
              <w:pStyle w:val="TableContents"/>
              <w:bidi w:val="0"/>
              <w:spacing w:before="0" w:after="283"/>
              <w:jc w:val="left"/>
              <w:rPr>
                <w:sz w:val="4"/>
                <w:szCs w:val="4"/>
              </w:rPr>
            </w:pPr>
            <w:r>
              <w:rPr>
                <w:sz w:val="4"/>
                <w:szCs w:val="4"/>
              </w:rPr>
            </w:r>
          </w:p>
        </w:tc>
      </w:tr>
      <w:tr>
        <w:trPr/>
        <w:tc>
          <w:tcPr>
            <w:tcW w:w="3535" w:type="dxa"/>
            <w:tcBorders/>
          </w:tcPr>
          <w:p>
            <w:pPr>
              <w:pStyle w:val="TableContents"/>
              <w:bidi w:val="0"/>
              <w:spacing w:before="0" w:after="283"/>
              <w:jc w:val="left"/>
              <w:rPr/>
            </w:pPr>
            <w:r>
              <w:rPr/>
              <w:drawing>
                <wp:inline distT="0" distB="0" distL="0" distR="0">
                  <wp:extent cx="12192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 cy="457200"/>
                          </a:xfrm>
                          <a:prstGeom prst="rect">
                            <a:avLst/>
                          </a:prstGeom>
                        </pic:spPr>
                      </pic:pic>
                    </a:graphicData>
                  </a:graphic>
                </wp:inline>
              </w:drawing>
            </w:r>
            <w:r>
              <w:rPr/>
              <w:t xml:space="preserve"> </w:t>
            </w:r>
          </w:p>
        </w:tc>
        <w:tc>
          <w:tcPr>
            <w:tcW w:w="107" w:type="dxa"/>
            <w:tcBorders/>
            <w:vAlign w:val="bottom"/>
          </w:tcPr>
          <w:p>
            <w:pPr>
              <w:pStyle w:val="TableContents"/>
              <w:bidi w:val="0"/>
              <w:spacing w:before="0" w:after="283"/>
              <w:jc w:val="left"/>
              <w:rPr/>
            </w:pPr>
            <w:r>
              <w:rPr/>
              <w:t> </w:t>
            </w:r>
          </w:p>
        </w:tc>
        <w:tc>
          <w:tcPr>
            <w:tcW w:w="317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Wilson Sonsini Goodrich &amp; Rosati </w:t>
              <w:br/>
              <w:t>Professional Corporation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650 Page Mill Road </w:t>
              <w:br/>
              <w:t>Palo Alto, California 94304-1050</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O: 650.493.9300 </w:t>
              <w:br/>
              <w:t>F: 866.974.7329</w:t>
            </w:r>
          </w:p>
        </w:tc>
      </w:tr>
    </w:tbl>
    <w:p>
      <w:pPr>
        <w:pStyle w:val="TextBody"/>
        <w:bidi w:val="0"/>
        <w:spacing w:before="240" w:after="0"/>
        <w:jc w:val="center"/>
        <w:rPr>
          <w:rFonts w:ascii="Times New Roman" w:hAnsi="Times New Roman"/>
          <w:sz w:val="20"/>
        </w:rPr>
      </w:pPr>
      <w:r>
        <w:rPr>
          <w:rFonts w:ascii="Times New Roman" w:hAnsi="Times New Roman"/>
          <w:sz w:val="20"/>
        </w:rPr>
        <w:t xml:space="preserve">March 4, 2025 </w:t>
      </w:r>
    </w:p>
    <w:p>
      <w:pPr>
        <w:pStyle w:val="TextBody"/>
        <w:bidi w:val="0"/>
        <w:spacing w:before="240" w:after="0"/>
        <w:jc w:val="left"/>
        <w:rPr>
          <w:rFonts w:ascii="Times New Roman" w:hAnsi="Times New Roman"/>
          <w:sz w:val="20"/>
        </w:rPr>
      </w:pPr>
      <w:r>
        <w:rPr>
          <w:rFonts w:ascii="Times New Roman" w:hAnsi="Times New Roman"/>
          <w:sz w:val="20"/>
        </w:rPr>
        <w:t xml:space="preserve">Tenaya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171 Oyster Point Boulevard, Suite 500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 84080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Re:</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Follow-On Public Offering of Tenaya Therapeutics, Inc.</w:t>
            </w:r>
            <w:r>
              <w:rPr>
                <w:rFonts w:ascii="Times New Roman" w:hAnsi="Times New Roman"/>
                <w:b/>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Tenaya Therapeutics, Inc., a Delaware corporation (the </w:t>
      </w:r>
      <w:r>
        <w:rPr>
          <w:rFonts w:ascii="Times New Roman" w:hAnsi="Times New Roman"/>
          <w:b/>
          <w:sz w:val="20"/>
        </w:rPr>
        <w:t>Company</w:t>
      </w:r>
      <w:r>
        <w:rPr>
          <w:rFonts w:ascii="Times New Roman" w:hAnsi="Times New Roman"/>
          <w:sz w:val="20"/>
        </w:rPr>
        <w:t>), in connection with the filing by the Company with the Securities and Exchange Commission (the </w:t>
      </w:r>
      <w:r>
        <w:rPr>
          <w:rFonts w:ascii="Times New Roman" w:hAnsi="Times New Roman"/>
          <w:b/>
          <w:sz w:val="20"/>
        </w:rPr>
        <w:t>Commission</w:t>
      </w:r>
      <w:r>
        <w:rPr>
          <w:rFonts w:ascii="Times New Roman" w:hAnsi="Times New Roman"/>
          <w:sz w:val="20"/>
        </w:rPr>
        <w:t>) on August 10, 2022 of a Registration Statement on Form S-3 (Registration No. 333- 266741), under the Securities Act of 1933, as amended, and declared effective on August 17, 2022 (the </w:t>
      </w:r>
      <w:r>
        <w:rPr>
          <w:rFonts w:ascii="Times New Roman" w:hAnsi="Times New Roman"/>
          <w:b/>
          <w:sz w:val="20"/>
        </w:rPr>
        <w:t>Registration Statement</w:t>
      </w:r>
      <w:r>
        <w:rPr>
          <w:rFonts w:ascii="Times New Roman" w:hAnsi="Times New Roman"/>
          <w:sz w:val="20"/>
        </w:rPr>
        <w:t>), the prospectus contained within the Registration Statement (the </w:t>
      </w:r>
      <w:r>
        <w:rPr>
          <w:rFonts w:ascii="Times New Roman" w:hAnsi="Times New Roman"/>
          <w:b/>
          <w:sz w:val="20"/>
        </w:rPr>
        <w:t>Base Prospectus</w:t>
      </w:r>
      <w:r>
        <w:rPr>
          <w:rFonts w:ascii="Times New Roman" w:hAnsi="Times New Roman"/>
          <w:sz w:val="20"/>
        </w:rPr>
        <w:t>), and the prospectus supplement to the Registration Statement dated March , 2025 (the </w:t>
      </w:r>
      <w:r>
        <w:rPr>
          <w:rFonts w:ascii="Times New Roman" w:hAnsi="Times New Roman"/>
          <w:b/>
          <w:sz w:val="20"/>
        </w:rPr>
        <w:t>Prospectus Supplement</w:t>
      </w:r>
      <w:r>
        <w:rPr>
          <w:rFonts w:ascii="Times New Roman" w:hAnsi="Times New Roman"/>
          <w:sz w:val="20"/>
        </w:rPr>
        <w:t> and together with the Base Prospectus, the </w:t>
      </w:r>
      <w:r>
        <w:rPr>
          <w:rFonts w:ascii="Times New Roman" w:hAnsi="Times New Roman"/>
          <w:b/>
          <w:sz w:val="20"/>
        </w:rPr>
        <w:t>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Prospectus Supplement relates to the offering of the Company of an aggregate of 75,000,000 units of the Company (the </w:t>
      </w:r>
      <w:r>
        <w:rPr>
          <w:rFonts w:ascii="Times New Roman" w:hAnsi="Times New Roman"/>
          <w:b/>
          <w:sz w:val="20"/>
        </w:rPr>
        <w:t>Units</w:t>
      </w:r>
      <w:r>
        <w:rPr>
          <w:rFonts w:ascii="Times New Roman" w:hAnsi="Times New Roman"/>
          <w:sz w:val="20"/>
        </w:rPr>
        <w:t>), each consisting of one share of the Companys common stock, par value $0.0001 per share (the </w:t>
      </w:r>
      <w:r>
        <w:rPr>
          <w:rFonts w:ascii="Times New Roman" w:hAnsi="Times New Roman"/>
          <w:b/>
          <w:sz w:val="20"/>
        </w:rPr>
        <w:t>Common Stock</w:t>
      </w:r>
      <w:r>
        <w:rPr>
          <w:rFonts w:ascii="Times New Roman" w:hAnsi="Times New Roman"/>
          <w:sz w:val="20"/>
        </w:rPr>
        <w:t> and such shares, the </w:t>
      </w:r>
      <w:r>
        <w:rPr>
          <w:rFonts w:ascii="Times New Roman" w:hAnsi="Times New Roman"/>
          <w:b/>
          <w:sz w:val="20"/>
        </w:rPr>
        <w:t>Shares</w:t>
      </w:r>
      <w:r>
        <w:rPr>
          <w:rFonts w:ascii="Times New Roman" w:hAnsi="Times New Roman"/>
          <w:sz w:val="20"/>
        </w:rPr>
        <w:t>), one (1) warrant to purchase one share of Common Stock at an exercise price of $0.80 per share, which will expire five (5) years from the date of issuance (a </w:t>
      </w:r>
      <w:r>
        <w:rPr>
          <w:rFonts w:ascii="Times New Roman" w:hAnsi="Times New Roman"/>
          <w:b/>
          <w:sz w:val="20"/>
        </w:rPr>
        <w:t>Series A Warrant</w:t>
      </w:r>
      <w:r>
        <w:rPr>
          <w:rFonts w:ascii="Times New Roman" w:hAnsi="Times New Roman"/>
          <w:sz w:val="20"/>
        </w:rPr>
        <w:t>), and one (1) warrant to purchase one half of a share of Common Stock at an exercise price of $0.70 per share, which will expire on June 30, 2026 (a </w:t>
      </w:r>
      <w:r>
        <w:rPr>
          <w:rFonts w:ascii="Times New Roman" w:hAnsi="Times New Roman"/>
          <w:b/>
          <w:sz w:val="20"/>
        </w:rPr>
        <w:t>Series B Warrant</w:t>
      </w:r>
      <w:r>
        <w:rPr>
          <w:rFonts w:ascii="Times New Roman" w:hAnsi="Times New Roman"/>
          <w:sz w:val="20"/>
        </w:rPr>
        <w:t>, and together with the Series A Warrants, the </w:t>
      </w:r>
      <w:r>
        <w:rPr>
          <w:rFonts w:ascii="Times New Roman" w:hAnsi="Times New Roman"/>
          <w:b/>
          <w:sz w:val="20"/>
        </w:rPr>
        <w:t>Warrants</w:t>
      </w:r>
      <w:r>
        <w:rPr>
          <w:rFonts w:ascii="Times New Roman" w:hAnsi="Times New Roman"/>
          <w:sz w:val="20"/>
        </w:rPr>
        <w:t>). The shares issuable upon exercise of the Warrants are herein collectively referred to herein as the </w:t>
      </w:r>
      <w:r>
        <w:rPr>
          <w:rFonts w:ascii="Times New Roman" w:hAnsi="Times New Roman"/>
          <w:b/>
          <w:sz w:val="20"/>
        </w:rPr>
        <w:t>Warrant Shares</w:t>
      </w:r>
      <w:r>
        <w:rPr>
          <w:rFonts w:ascii="Times New Roman" w:hAnsi="Times New Roman"/>
          <w:sz w:val="20"/>
        </w:rPr>
        <w:t>. The offering of the Units is being made pursuant to that certain underwriting agreement, dated March 3, 2025, by and among the Company and Leerink Partners LLC and Piper Sandler &amp; Co., as representatives of the several underwriters named therein (the </w:t>
      </w:r>
      <w:r>
        <w:rPr>
          <w:rFonts w:ascii="Times New Roman" w:hAnsi="Times New Roman"/>
          <w:b/>
          <w:sz w:val="20"/>
        </w:rPr>
        <w:t>Underwriting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have examined copies of the Registration Statement, together with the documents incorporated by reference therein, and the Prospectus. In addition, we have examined originals or copies, certified or otherwise identified to our satisfaction, of such other instruments, documents, certificates and records which we have deemed relevant and necessary for the basis of our opinion hereinafter expressed. 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records, documents, instruments and certificates we have reviewed; (iv) that the Underwriting Agreement has been duly authorized and validly executed and delivered by the parties thereto (other than the Company); (v) that the Units, the Shares, the Warrants and the Warrant Shares will be issued and sold in compliance with applicable U.S. federal and state securities laws and in the manner stated in the Registration Statement and the Prospectus; and (vi) the legal capacity of all natural persons. </w:t>
      </w:r>
    </w:p>
    <w:p>
      <w:pPr>
        <w:pStyle w:val="TextBody"/>
        <w:bidi w:val="0"/>
        <w:spacing w:before="0" w:after="0"/>
        <w:jc w:val="left"/>
        <w:rPr/>
      </w:pPr>
      <w:r>
        <w:rPr/>
        <w:t> </w:t>
      </w:r>
    </w:p>
    <w:p>
      <w:pPr>
        <w:pStyle w:val="TextBody"/>
        <w:bidi w:val="0"/>
        <w:spacing w:before="0" w:after="0"/>
        <w:jc w:val="center"/>
        <w:rPr>
          <w:rFonts w:ascii="Times New Roman" w:hAnsi="Times New Roman"/>
          <w:sz w:val="18"/>
        </w:rPr>
      </w:pPr>
      <w:r>
        <w:rPr>
          <w:rFonts w:ascii="Times New Roman" w:hAnsi="Times New Roman"/>
          <w:sz w:val="18"/>
        </w:rPr>
        <w:t xml:space="preserve">AUSTIN BEIJING BOSTON BOULDER BRUSSELS HONG KONG LONDON LOS ANGELES NEW YORK PALO ALTO </w:t>
      </w:r>
    </w:p>
    <w:p>
      <w:pPr>
        <w:pStyle w:val="TextBody"/>
        <w:bidi w:val="0"/>
        <w:spacing w:before="0" w:after="0"/>
        <w:jc w:val="center"/>
        <w:rPr>
          <w:rFonts w:ascii="Times New Roman" w:hAnsi="Times New Roman"/>
          <w:sz w:val="18"/>
        </w:rPr>
      </w:pPr>
      <w:r>
        <w:rPr>
          <w:rFonts w:ascii="Times New Roman" w:hAnsi="Times New Roman"/>
          <w:sz w:val="18"/>
        </w:rPr>
        <w:t xml:space="preserve">SALT LAKE CITY SAN DIEGO SAN FRANCISCO SEATTLE SHANGHAI WASHINGTON, DC WILMINGTON, DE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609600" cy="228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9600" cy="2286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Tenaya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March 4, 2025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Based on and subject to the foregoing, we are of the opinion that (i) the Shares have been duly authorized and, when issued and delivered by the Company against payment therefor in accordance with the terms of the Underwriting Agreement, will be validly issued, fully paid and non-assessable; (ii) the Series A Warrants have been duly authorized and, when executed and delivered by the Company against payment therefor in accordance with the terms of the Underwriting Agreement, will constitute valid and binding obligations of the Company, enforceable against the Company in accordance with their terms; (iii) the Series B Warrants have been duly authorized and, when executed and delivered by the Company against payment therefor in accordance with the terms of the Underwriting Agreement, will constitute valid and binding obligations of the Company, enforceable against the Company in accordance with their terms; and (iv) the Warrant Shares have been duly authorized and, when issued and delivered by the Company upon exercise of the Series A Warrants and the Series B Warrants in accordance with the terms of such Warrants, as applicable,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herein as to the laws of any state or jurisdiction other than the General Corporation Law of the State of Delaware (including the statutory provisions and all applicable judicial decisions interpreting those laws) and the federal laws of the United States of America.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as to (i) the effect of any bankruptcy, insolvency, reorganization, arrangement, fraudulent conveyance, moratorium or other similar laws relating to or affecting the rights of creditors generally, (ii) rights to indemnification and contribution which may be limited by applicable law or equitable principles, or (iii) the effect of general principles of equity, including, without limitation, concepts of materiality, reasonableness, good faith and fair dealing, the effect of judicial discretion and the possible unavailability of specific performance, injunctive relief or other equitable relief, and the limitations on rights of acceleration, whether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Companys Current Report on Form 8-K filed on or about the date hereof for incorporation by reference into the Registration Statement and to the use of our name wherever it appears in the Registration Statement, the Prospectus and in any amendment or supplement thereto. In giving such consent, we do not believe that we are experts within the meaning of such term as used in the Securities Act of 1933, as amended, or the rules and regulations of the Commission issued thereunder with respect to any part of the Registration Statement, including this opinion as an exhibit or otherwise.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Wilson Sonsini Goodrich &amp; Rosati, P.C.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WILSON SONSINI GOODRICH &amp; ROSATI</w:t>
            </w:r>
          </w:p>
          <w:p>
            <w:pPr>
              <w:pStyle w:val="TableContents"/>
              <w:bidi w:val="0"/>
              <w:spacing w:before="0" w:after="20"/>
              <w:jc w:val="left"/>
              <w:rPr>
                <w:rFonts w:ascii="Times New Roman" w:hAnsi="Times New Roman"/>
                <w:sz w:val="20"/>
              </w:rPr>
            </w:pPr>
            <w:r>
              <w:rPr>
                <w:rFonts w:ascii="Times New Roman" w:hAnsi="Times New Roman"/>
                <w:sz w:val="20"/>
              </w:rPr>
              <w:t>Professional Corporation</w:t>
            </w:r>
          </w:p>
        </w:tc>
      </w:tr>
    </w:tbl>
    <w:p>
      <w:pPr>
        <w:pStyle w:val="TextBody"/>
        <w:bidi w:val="0"/>
        <w:spacing w:before="0" w:after="0"/>
        <w:jc w:val="right"/>
        <w:rPr>
          <w:rFonts w:ascii="Times New Roman" w:hAnsi="Times New Roman"/>
          <w:b/>
          <w:sz w:val="20"/>
        </w:rPr>
      </w:pPr>
      <w:bookmarkStart w:id="10" w:name="d878268dex991.htm"/>
      <w:bookmarkStart w:id="11" w:name="ksd878268dex991"/>
      <w:bookmarkEnd w:id="10"/>
      <w:bookmarkEnd w:id="11"/>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Tenaya Therapeutics Announces Pricing of Public Offering </w:t>
      </w:r>
    </w:p>
    <w:p>
      <w:pPr>
        <w:pStyle w:val="TextBody"/>
        <w:bidi w:val="0"/>
        <w:spacing w:before="240" w:after="0"/>
        <w:jc w:val="left"/>
        <w:rPr>
          <w:rFonts w:ascii="Times New Roman" w:hAnsi="Times New Roman"/>
          <w:sz w:val="20"/>
        </w:rPr>
      </w:pPr>
      <w:r>
        <w:rPr>
          <w:rFonts w:ascii="Times New Roman" w:hAnsi="Times New Roman"/>
          <w:b/>
          <w:sz w:val="20"/>
        </w:rPr>
        <w:t>South San Francisco, Calif. </w:t>
      </w:r>
      <w:r>
        <w:rPr>
          <w:rFonts w:ascii="Times New Roman" w:hAnsi="Times New Roman"/>
          <w:sz w:val="20"/>
        </w:rPr>
        <w:t xml:space="preserve"> </w:t>
      </w:r>
      <w:r>
        <w:rPr>
          <w:rFonts w:ascii="Times New Roman" w:hAnsi="Times New Roman"/>
          <w:b/>
          <w:sz w:val="20"/>
        </w:rPr>
        <w:t>March</w:t>
      </w:r>
      <w:r>
        <w:rPr>
          <w:rFonts w:ascii="Times New Roman" w:hAnsi="Times New Roman"/>
          <w:sz w:val="20"/>
        </w:rPr>
        <w:t> </w:t>
      </w:r>
      <w:r>
        <w:rPr>
          <w:rFonts w:ascii="Times New Roman" w:hAnsi="Times New Roman"/>
          <w:b/>
          <w:sz w:val="20"/>
        </w:rPr>
        <w:t>3, 2025</w:t>
      </w:r>
      <w:r>
        <w:rPr>
          <w:rFonts w:ascii="Times New Roman" w:hAnsi="Times New Roman"/>
          <w:sz w:val="20"/>
        </w:rPr>
        <w:t xml:space="preserve"> </w:t>
      </w:r>
      <w:r>
        <w:rPr>
          <w:rFonts w:ascii="Times New Roman" w:hAnsi="Times New Roman"/>
          <w:b/>
          <w:sz w:val="20"/>
        </w:rPr>
        <w:t></w:t>
      </w:r>
      <w:r>
        <w:rPr>
          <w:rFonts w:ascii="Times New Roman" w:hAnsi="Times New Roman"/>
          <w:sz w:val="20"/>
        </w:rPr>
        <w:t xml:space="preserve"> Tenaya Therapeutics, Inc. (Nasdaq: TNYA), a clinical-stage biotechnology company with a mission to discover, develop and deliver potentially curative therapies that address the underlying causes of heart disease, today announced the pricing of its underwritten public offering of 75,000,000 total units for gross proceeds of approximately $52.5 million prior to deducting underwriting discounts and commissions and offering expenses.</w:t>
      </w:r>
    </w:p>
    <w:p>
      <w:pPr>
        <w:pStyle w:val="TextBody"/>
        <w:bidi w:val="0"/>
        <w:spacing w:before="240" w:after="0"/>
        <w:jc w:val="left"/>
        <w:rPr>
          <w:rFonts w:ascii="Times New Roman" w:hAnsi="Times New Roman"/>
          <w:sz w:val="20"/>
        </w:rPr>
      </w:pPr>
      <w:r>
        <w:rPr>
          <w:rFonts w:ascii="Times New Roman" w:hAnsi="Times New Roman"/>
          <w:sz w:val="20"/>
        </w:rPr>
        <w:t xml:space="preserve">Tenaya intends to use the net proceeds from the offering to fund the ongoing and planned development of its clinical and early-stage product candidates, particularly TN-201 and TN-401, and for working capital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The offering is comprised of 75,000,000 units, priced at a public offering price of $0.70 per unit, with each unit consisting of one share of common stock, a warrant to purchase one share of common stock (which equates to 100% warrant coverage) at an exercise price of $0.80 per share, which will be immediately exercisable and will expire five years from the date of issuance (a Series A Warrant) and a warrant to purchase one-half of a share of common stock (which equates to 50% warrant coverage) at an exercise price of $0.70 per share, which will be immediately exercisable and expire on June 30, 2026 (a Series B Warrant). The securities comprising the units are immediately separable and will be issued separately. </w:t>
      </w:r>
    </w:p>
    <w:p>
      <w:pPr>
        <w:pStyle w:val="TextBody"/>
        <w:bidi w:val="0"/>
        <w:spacing w:before="240" w:after="0"/>
        <w:jc w:val="left"/>
        <w:rPr>
          <w:rFonts w:ascii="Times New Roman" w:hAnsi="Times New Roman"/>
          <w:sz w:val="20"/>
        </w:rPr>
      </w:pPr>
      <w:r>
        <w:rPr>
          <w:rFonts w:ascii="Times New Roman" w:hAnsi="Times New Roman"/>
          <w:sz w:val="20"/>
        </w:rPr>
        <w:t xml:space="preserve">All of the securities are to be sold by Tenaya. The offering is expected to close on or about March 5, 2025, subject to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and Piper Sandler are acting as joint book-running managers for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are being offered by Tenaya pursuant to a Registration Statement on Form S-3, which was previously filed and declared effective by the SEC, and Tenaya has filed a preliminary prospectus supplement and accompanying prospectus relating to and describing the terms of the offering with the SEC. A final prospectus supplement and accompanying prospectus relating to the offering will also be filed with the SEC. These documents can be accessed for free through the SECs website at </w:t>
      </w:r>
      <w:r>
        <w:rPr>
          <w:rFonts w:ascii="Times New Roman" w:hAnsi="Times New Roman"/>
          <w:sz w:val="20"/>
          <w:u w:val="single"/>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 available, copies of the final prospectus supplement and the accompanying prospectus relating to this offering may also be obtained from: Leerink Partners LLC, Attention: Syndicate Department, 53 State Street, 40th Floor, Boston, MA 02109, by telephone at 1 (800) 808-7525, ext. 6105, or by email at syndicate@leerink.com; or Piper Sandler &amp; Co., 800 Nicollet Mall, J12S03, Minneapolis, MN 55402, Attention: Prospectus Department, by telephone at (800) 747-3924, or by email at prospectus@psc.com.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does not constitute an offer to sell or a solicitation of an offer to buy, nor will there be any sale of these securities in any state or other jurisdiction in which such offer, solicitation, or sale would be unlawful before registration or qualification under the securities laws of that state or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Tenaya Therapeutics </w:t>
      </w:r>
    </w:p>
    <w:p>
      <w:pPr>
        <w:pStyle w:val="TextBody"/>
        <w:bidi w:val="0"/>
        <w:spacing w:before="120" w:after="0"/>
        <w:jc w:val="left"/>
        <w:rPr>
          <w:rFonts w:ascii="Times New Roman" w:hAnsi="Times New Roman"/>
          <w:sz w:val="20"/>
        </w:rPr>
      </w:pPr>
      <w:r>
        <w:rPr>
          <w:rFonts w:ascii="Times New Roman" w:hAnsi="Times New Roman"/>
          <w:sz w:val="20"/>
        </w:rPr>
        <w:t xml:space="preserve">Tenaya Therapeutics is a clinical-stage biotechnology company committed to a bold mission: to discover, develop and deliver potentially curative therapies that address the underlying drivers of heart disease. Tenaya employs a suite of integrated internal capabilities, including modality agnostic target validation, capsid engineering and manufacturing, to generate a portfolio of genetic medicines aimed at the treatment of both rare genetic disorders and more prevalent heart conditions. Tenayas pipeline includes TN-201, a gene therapy for MYBPC3-associated hypertrophic cardiomyopathy (HCM), TN-401, a gene therapy for PKP2-associated arrhythmogenic right ventricular cardiomyopathy (ARVC), TN-301, a small molecule HDAC6 inhibitor intended for heart failure with preserved ejection fraction (HFpEF), and multiple early-stage programs in preclinical development.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as that term is defined in Section 27A of the Securities Act of 1933, as amended, and Section 21E of the Securities Exchange Act of 1934, as amended. Such statements include, but are not limited to, statements relating to the offering, including the size and terms of the offering, the securities being offered, the timing of the closing of the offering, the expected gross proceeds and the use of proceeds. These forward-looking statements are neither promises nor guarantees and are subject to a variety of risks and uncertainties, including but not limited to: whether or not Tenaya will be able to raise capital through the sale of securities or consummate the offering; the final terms of the offering on the anticipated terms or at all, including the satisfaction of customary closing conditions; the anticipated use of the proceeds of the offering which could change as a result of market conditions or for other reasons; general economic and market conditions as well as geopolitical developments; and other risks. For further information regarding the foregoing and additional risks that could cause actual results to differ from those expressed in these forward-looking statements, as well as risks relating to the business of Tenaya in general, see Tenayas recent Quarterly Report on Form 10-Q filed on November 6, 2024, the prospectus supplement related to the proposed public offering we plan to file and subsequent filings with the Securities and Exchange Commission. These forward-looking statements are made as of the date of this press release, and Tenaya assumes no obligation to update or revise any forward-looking statements, whether as a result of new information, future events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Michelle Corral </w:t>
      </w:r>
    </w:p>
    <w:p>
      <w:pPr>
        <w:pStyle w:val="TextBody"/>
        <w:bidi w:val="0"/>
        <w:spacing w:before="0" w:after="0"/>
        <w:jc w:val="left"/>
        <w:rPr>
          <w:rFonts w:ascii="Times New Roman" w:hAnsi="Times New Roman"/>
          <w:sz w:val="20"/>
        </w:rPr>
      </w:pPr>
      <w:r>
        <w:rPr>
          <w:rFonts w:ascii="Times New Roman" w:hAnsi="Times New Roman"/>
          <w:sz w:val="20"/>
        </w:rPr>
        <w:t xml:space="preserve">Vice President, Investor Relations and Corporate Communications </w:t>
      </w:r>
    </w:p>
    <w:p>
      <w:pPr>
        <w:pStyle w:val="TextBody"/>
        <w:bidi w:val="0"/>
        <w:spacing w:before="0" w:after="0"/>
        <w:jc w:val="left"/>
        <w:rPr>
          <w:rFonts w:ascii="Times New Roman" w:hAnsi="Times New Roman"/>
          <w:sz w:val="20"/>
        </w:rPr>
      </w:pPr>
      <w:r>
        <w:rPr>
          <w:rFonts w:ascii="Times New Roman" w:hAnsi="Times New Roman"/>
          <w:sz w:val="20"/>
        </w:rPr>
        <w:t xml:space="preserve">Tenaya Therapeutics </w:t>
      </w:r>
    </w:p>
    <w:p>
      <w:pPr>
        <w:pStyle w:val="TextBody"/>
        <w:bidi w:val="0"/>
        <w:spacing w:before="0" w:after="0"/>
        <w:jc w:val="left"/>
        <w:rPr>
          <w:rFonts w:ascii="Times New Roman" w:hAnsi="Times New Roman"/>
          <w:sz w:val="20"/>
        </w:rPr>
      </w:pPr>
      <w:r>
        <w:rPr>
          <w:rFonts w:ascii="Times New Roman" w:hAnsi="Times New Roman"/>
          <w:sz w:val="20"/>
        </w:rPr>
        <w:t xml:space="preserve">IR@tenayathera.com </w:t>
      </w:r>
    </w:p>
    <w:p>
      <w:pPr>
        <w:pStyle w:val="TextBody"/>
        <w:bidi w:val="0"/>
        <w:spacing w:before="360" w:after="0"/>
        <w:jc w:val="left"/>
        <w:rPr>
          <w:rFonts w:ascii="Times New Roman" w:hAnsi="Times New Roman"/>
          <w:b/>
          <w:sz w:val="20"/>
        </w:rPr>
      </w:pPr>
      <w:r>
        <w:rPr>
          <w:rFonts w:ascii="Times New Roman" w:hAnsi="Times New Roman"/>
          <w:b/>
          <w:sz w:val="20"/>
        </w:rPr>
        <w:t xml:space="preserve">Investors </w:t>
      </w:r>
    </w:p>
    <w:p>
      <w:pPr>
        <w:pStyle w:val="TextBody"/>
        <w:bidi w:val="0"/>
        <w:spacing w:before="120" w:after="0"/>
        <w:jc w:val="left"/>
        <w:rPr>
          <w:rFonts w:ascii="Times New Roman" w:hAnsi="Times New Roman"/>
          <w:sz w:val="20"/>
        </w:rPr>
      </w:pPr>
      <w:r>
        <w:rPr>
          <w:rFonts w:ascii="Times New Roman" w:hAnsi="Times New Roman"/>
          <w:sz w:val="20"/>
        </w:rPr>
        <w:t xml:space="preserve">Anne-Marie Fields </w:t>
      </w:r>
    </w:p>
    <w:p>
      <w:pPr>
        <w:pStyle w:val="TextBody"/>
        <w:bidi w:val="0"/>
        <w:spacing w:before="0" w:after="0"/>
        <w:jc w:val="left"/>
        <w:rPr>
          <w:rFonts w:ascii="Times New Roman" w:hAnsi="Times New Roman"/>
          <w:sz w:val="20"/>
        </w:rPr>
      </w:pPr>
      <w:r>
        <w:rPr>
          <w:rFonts w:ascii="Times New Roman" w:hAnsi="Times New Roman"/>
          <w:sz w:val="20"/>
        </w:rPr>
        <w:t xml:space="preserve">Precision AQ (formerly Stern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annemarie.fields@precisionaq.com </w:t>
      </w:r>
    </w:p>
    <w:p>
      <w:pPr>
        <w:pStyle w:val="TextBody"/>
        <w:bidi w:val="0"/>
        <w:spacing w:before="360" w:after="0"/>
        <w:jc w:val="left"/>
        <w:rPr>
          <w:rFonts w:ascii="Times New Roman" w:hAnsi="Times New Roman"/>
          <w:b/>
          <w:sz w:val="20"/>
        </w:rPr>
      </w:pPr>
      <w:r>
        <w:rPr>
          <w:rFonts w:ascii="Times New Roman" w:hAnsi="Times New Roman"/>
          <w:b/>
          <w:sz w:val="20"/>
        </w:rPr>
        <w:t xml:space="preserve">Media </w:t>
      </w:r>
    </w:p>
    <w:p>
      <w:pPr>
        <w:pStyle w:val="TextBody"/>
        <w:bidi w:val="0"/>
        <w:spacing w:before="120" w:after="0"/>
        <w:jc w:val="left"/>
        <w:rPr>
          <w:rFonts w:ascii="Times New Roman" w:hAnsi="Times New Roman"/>
          <w:sz w:val="20"/>
        </w:rPr>
      </w:pPr>
      <w:r>
        <w:rPr>
          <w:rFonts w:ascii="Times New Roman" w:hAnsi="Times New Roman"/>
          <w:sz w:val="20"/>
        </w:rPr>
        <w:t xml:space="preserve">Wendy Ryan </w:t>
      </w:r>
    </w:p>
    <w:p>
      <w:pPr>
        <w:pStyle w:val="TextBody"/>
        <w:bidi w:val="0"/>
        <w:spacing w:before="0" w:after="0"/>
        <w:jc w:val="left"/>
        <w:rPr>
          <w:rFonts w:ascii="Times New Roman" w:hAnsi="Times New Roman"/>
          <w:sz w:val="20"/>
        </w:rPr>
      </w:pPr>
      <w:r>
        <w:rPr>
          <w:rFonts w:ascii="Times New Roman" w:hAnsi="Times New Roman"/>
          <w:sz w:val="20"/>
        </w:rPr>
        <w:t xml:space="preserve">Ten Bridge Communications </w:t>
      </w:r>
    </w:p>
    <w:p>
      <w:pPr>
        <w:pStyle w:val="TextBody"/>
        <w:bidi w:val="0"/>
        <w:spacing w:before="0" w:after="0"/>
        <w:jc w:val="left"/>
        <w:rPr>
          <w:rFonts w:ascii="Times New Roman" w:hAnsi="Times New Roman"/>
          <w:sz w:val="20"/>
        </w:rPr>
      </w:pPr>
      <w:r>
        <w:rPr>
          <w:rFonts w:ascii="Times New Roman" w:hAnsi="Times New Roman"/>
          <w:sz w:val="20"/>
        </w:rPr>
        <w:t xml:space="preserve">wendy@tenbridgecommunications.com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98</Pages>
  <Words>54434</Words>
  <Characters>276399</Characters>
  <CharactersWithSpaces>329695</CharactersWithSpaces>
  <Paragraphs>1034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