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TENAYA THERAPEUTICS,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205740</wp:posOffset>
            </wp:positionV>
            <wp:extent cx="2331720" cy="831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17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 Oyster Point Boulevard, 5th Floor</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(650) 825-6900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We are pleased to invite you to attend the annual meeting of stockholders of Tenaya Therapeutics, Inc. (Tenaya or the Company), to be held on Thursday, June 9, 2022 at 8:00 a.m. Pacific Time. Due to the ongoing COVID-19 pandemic, the annual meeting will be conducted virtually this year via a live audio webcast to support the health and safety of our stockholders, and to afford the same rights and opportunities to participate as would be available at an in-person meeting. You will be able to attend the annual meeting virtually by visiting </w:t>
      </w:r>
      <w:r>
        <w:rPr>
          <w:rFonts w:ascii="Arial" w:cs="Arial" w:eastAsia="Arial" w:hAnsi="Arial"/>
          <w:sz w:val="17"/>
          <w:szCs w:val="17"/>
          <w:u w:val="single" w:color="auto"/>
          <w:color w:val="auto"/>
        </w:rPr>
        <w:t>www.proxydocs.com/TNYA</w:t>
      </w:r>
      <w:r>
        <w:rPr>
          <w:rFonts w:ascii="Arial" w:cs="Arial" w:eastAsia="Arial" w:hAnsi="Arial"/>
          <w:sz w:val="17"/>
          <w:szCs w:val="17"/>
          <w:color w:val="auto"/>
        </w:rPr>
        <w:t>, where you will be able to listen to the meeting live, submit questions and vote online by entering the control number located on your proxy card.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attached formal meeting notice and proxy statement contain details of the business to be conducted at 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Your vote is important. Whether or not you attend the annual meeting, it is important that your shares be represented and voted at the annual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Therefore, we urge you to vote and submit your proxy promptly via the Internet, telephone or mail.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behalf of our Board of Directors, we would like to express our appreciation for your continued support of and interest in Tenaya.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994410"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944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80"/>
          </w:cols>
          <w:pgMar w:left="320" w:top="459"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rPr>
              <w:t>TENAYA THERAPEUTICS, INC.</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w w:val="91"/>
              </w:rPr>
              <w:t>171 Oyster Point Boulevard, 5th Floor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w w:val="89"/>
              </w:rPr>
              <w:t>South San Francisco, CA 94080</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20" w:type="dxa"/>
            <w:vAlign w:val="bottom"/>
            <w:gridSpan w:val="5"/>
          </w:tcPr>
          <w:p>
            <w:pPr>
              <w:jc w:val="center"/>
              <w:ind w:right="2760"/>
              <w:spacing w:after="0"/>
              <w:rPr>
                <w:sz w:val="20"/>
                <w:szCs w:val="20"/>
                <w:color w:val="auto"/>
              </w:rPr>
            </w:pPr>
            <w:r>
              <w:rPr>
                <w:rFonts w:ascii="Arial" w:cs="Arial" w:eastAsia="Arial" w:hAnsi="Arial"/>
                <w:sz w:val="18"/>
                <w:szCs w:val="18"/>
                <w:b w:val="1"/>
                <w:bCs w:val="1"/>
                <w:color w:val="auto"/>
              </w:rPr>
              <w:t>NOTICE OF ANNUAL MEETING OF STOCKHOLDERS</w:t>
            </w:r>
          </w:p>
        </w:tc>
        <w:tc>
          <w:tcPr>
            <w:tcW w:w="0" w:type="dxa"/>
            <w:vAlign w:val="bottom"/>
          </w:tcPr>
          <w:p>
            <w:pPr>
              <w:spacing w:after="0"/>
              <w:rPr>
                <w:sz w:val="1"/>
                <w:szCs w:val="1"/>
                <w:color w:val="auto"/>
              </w:rPr>
            </w:pPr>
          </w:p>
        </w:tc>
      </w:tr>
      <w:tr>
        <w:trPr>
          <w:trHeight w:val="459"/>
        </w:trPr>
        <w:tc>
          <w:tcPr>
            <w:tcW w:w="2900" w:type="dxa"/>
            <w:vAlign w:val="bottom"/>
            <w:gridSpan w:val="2"/>
          </w:tcPr>
          <w:p>
            <w:pPr>
              <w:ind w:left="120"/>
              <w:spacing w:after="0"/>
              <w:rPr>
                <w:sz w:val="20"/>
                <w:szCs w:val="20"/>
                <w:color w:val="auto"/>
              </w:rPr>
            </w:pPr>
            <w:r>
              <w:rPr>
                <w:rFonts w:ascii="Arial" w:cs="Arial" w:eastAsia="Arial" w:hAnsi="Arial"/>
                <w:sz w:val="18"/>
                <w:szCs w:val="18"/>
                <w:b w:val="1"/>
                <w:bCs w:val="1"/>
                <w:color w:val="auto"/>
              </w:rPr>
              <w:t>Time and Date</w:t>
            </w: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8:00 a.m. Pacific Time on Thursday, June 9, 2022</w:t>
            </w:r>
          </w:p>
        </w:tc>
        <w:tc>
          <w:tcPr>
            <w:tcW w:w="0" w:type="dxa"/>
            <w:vAlign w:val="bottom"/>
          </w:tcPr>
          <w:p>
            <w:pPr>
              <w:spacing w:after="0"/>
              <w:rPr>
                <w:sz w:val="1"/>
                <w:szCs w:val="1"/>
                <w:color w:val="auto"/>
              </w:rPr>
            </w:pPr>
          </w:p>
        </w:tc>
      </w:tr>
      <w:tr>
        <w:trPr>
          <w:trHeight w:val="310"/>
        </w:trPr>
        <w:tc>
          <w:tcPr>
            <w:tcW w:w="2900" w:type="dxa"/>
            <w:vAlign w:val="bottom"/>
            <w:gridSpan w:val="2"/>
          </w:tcPr>
          <w:p>
            <w:pPr>
              <w:ind w:left="120"/>
              <w:spacing w:after="0"/>
              <w:rPr>
                <w:sz w:val="20"/>
                <w:szCs w:val="20"/>
                <w:color w:val="auto"/>
              </w:rPr>
            </w:pPr>
            <w:r>
              <w:rPr>
                <w:rFonts w:ascii="Arial" w:cs="Arial" w:eastAsia="Arial" w:hAnsi="Arial"/>
                <w:sz w:val="18"/>
                <w:szCs w:val="18"/>
                <w:b w:val="1"/>
                <w:bCs w:val="1"/>
                <w:color w:val="auto"/>
              </w:rPr>
              <w:t>Place</w:t>
            </w: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1"/>
              </w:rPr>
              <w:t>The annual meeting will be conducted virtually via a live audio webcast. You will be able to attend</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140" w:type="dxa"/>
            <w:vAlign w:val="bottom"/>
            <w:gridSpan w:val="4"/>
          </w:tcPr>
          <w:p>
            <w:pPr>
              <w:spacing w:after="0" w:line="190" w:lineRule="exact"/>
              <w:rPr>
                <w:sz w:val="20"/>
                <w:szCs w:val="20"/>
                <w:color w:val="auto"/>
              </w:rPr>
            </w:pPr>
            <w:r>
              <w:rPr>
                <w:rFonts w:ascii="Arial" w:cs="Arial" w:eastAsia="Arial" w:hAnsi="Arial"/>
                <w:sz w:val="18"/>
                <w:szCs w:val="18"/>
                <w:color w:val="auto"/>
                <w:w w:val="97"/>
              </w:rPr>
              <w:t>the annual meeting virtually by visiting www.proxydocs.com/TNYA, where you will be able to</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listen to the meeting live, submit questions and vote online during the meeting by visiting</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140" w:type="dxa"/>
            <w:vAlign w:val="bottom"/>
            <w:gridSpan w:val="4"/>
          </w:tcPr>
          <w:p>
            <w:pPr>
              <w:spacing w:after="0" w:line="190" w:lineRule="exact"/>
              <w:rPr>
                <w:sz w:val="20"/>
                <w:szCs w:val="20"/>
                <w:color w:val="auto"/>
              </w:rPr>
            </w:pPr>
            <w:r>
              <w:rPr>
                <w:rFonts w:ascii="Arial" w:cs="Arial" w:eastAsia="Arial" w:hAnsi="Arial"/>
                <w:sz w:val="18"/>
                <w:szCs w:val="18"/>
                <w:color w:val="auto"/>
              </w:rPr>
              <w:t>www.proxydocs.com/TNYA.</w:t>
            </w: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Items of Business</w:t>
            </w:r>
          </w:p>
        </w:tc>
        <w:tc>
          <w:tcPr>
            <w:tcW w:w="10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9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4"/>
          </w:tcPr>
          <w:p>
            <w:pPr>
              <w:ind w:left="80"/>
              <w:spacing w:after="0"/>
              <w:rPr>
                <w:sz w:val="20"/>
                <w:szCs w:val="20"/>
                <w:color w:val="auto"/>
              </w:rPr>
            </w:pPr>
            <w:r>
              <w:rPr>
                <w:rFonts w:ascii="Arial" w:cs="Arial" w:eastAsia="Arial" w:hAnsi="Arial"/>
                <w:sz w:val="18"/>
                <w:szCs w:val="18"/>
                <w:color w:val="auto"/>
                <w:w w:val="92"/>
              </w:rPr>
              <w:t>•  To elect four Class I directors to hold office until our 2025 annual meeting of stockholders 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ind w:left="360"/>
              <w:spacing w:after="0"/>
              <w:rPr>
                <w:sz w:val="20"/>
                <w:szCs w:val="20"/>
                <w:color w:val="auto"/>
              </w:rPr>
            </w:pPr>
            <w:r>
              <w:rPr>
                <w:rFonts w:ascii="Arial" w:cs="Arial" w:eastAsia="Arial" w:hAnsi="Arial"/>
                <w:sz w:val="18"/>
                <w:szCs w:val="18"/>
                <w:color w:val="auto"/>
              </w:rPr>
              <w:t>until their respective successors are elected and qualified.</w:t>
            </w:r>
          </w:p>
        </w:tc>
        <w:tc>
          <w:tcPr>
            <w:tcW w:w="0" w:type="dxa"/>
            <w:vAlign w:val="bottom"/>
          </w:tcPr>
          <w:p>
            <w:pPr>
              <w:spacing w:after="0"/>
              <w:rPr>
                <w:sz w:val="1"/>
                <w:szCs w:val="1"/>
                <w:color w:val="auto"/>
              </w:rPr>
            </w:pPr>
          </w:p>
        </w:tc>
      </w:tr>
      <w:tr>
        <w:trPr>
          <w:trHeight w:val="323"/>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4"/>
          </w:tcPr>
          <w:p>
            <w:pPr>
              <w:ind w:left="80"/>
              <w:spacing w:after="0"/>
              <w:rPr>
                <w:sz w:val="20"/>
                <w:szCs w:val="20"/>
                <w:color w:val="auto"/>
              </w:rPr>
            </w:pPr>
            <w:r>
              <w:rPr>
                <w:rFonts w:ascii="Arial" w:cs="Arial" w:eastAsia="Arial" w:hAnsi="Arial"/>
                <w:sz w:val="18"/>
                <w:szCs w:val="18"/>
                <w:color w:val="auto"/>
                <w:w w:val="98"/>
              </w:rPr>
              <w:t>•  To ratify the appointment of Deloitte &amp; Touche LLP as our independent registered public</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ind w:left="360"/>
              <w:spacing w:after="0"/>
              <w:rPr>
                <w:sz w:val="20"/>
                <w:szCs w:val="20"/>
                <w:color w:val="auto"/>
              </w:rPr>
            </w:pPr>
            <w:r>
              <w:rPr>
                <w:rFonts w:ascii="Arial" w:cs="Arial" w:eastAsia="Arial" w:hAnsi="Arial"/>
                <w:sz w:val="18"/>
                <w:szCs w:val="18"/>
                <w:color w:val="auto"/>
              </w:rPr>
              <w:t>accounting firm for our fiscal year ending December 31, 2022.</w:t>
            </w:r>
          </w:p>
        </w:tc>
        <w:tc>
          <w:tcPr>
            <w:tcW w:w="0" w:type="dxa"/>
            <w:vAlign w:val="bottom"/>
          </w:tcPr>
          <w:p>
            <w:pPr>
              <w:spacing w:after="0"/>
              <w:rPr>
                <w:sz w:val="1"/>
                <w:szCs w:val="1"/>
                <w:color w:val="auto"/>
              </w:rPr>
            </w:pPr>
          </w:p>
        </w:tc>
      </w:tr>
      <w:tr>
        <w:trPr>
          <w:trHeight w:val="323"/>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4"/>
          </w:tcPr>
          <w:p>
            <w:pPr>
              <w:ind w:left="80"/>
              <w:spacing w:after="0"/>
              <w:rPr>
                <w:sz w:val="20"/>
                <w:szCs w:val="20"/>
                <w:color w:val="auto"/>
              </w:rPr>
            </w:pPr>
            <w:r>
              <w:rPr>
                <w:rFonts w:ascii="Arial" w:cs="Arial" w:eastAsia="Arial" w:hAnsi="Arial"/>
                <w:sz w:val="18"/>
                <w:szCs w:val="18"/>
                <w:color w:val="auto"/>
              </w:rPr>
              <w:t>•  To transact other business that may properly come before the annual meeting or any</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ind w:left="360"/>
              <w:spacing w:after="0"/>
              <w:rPr>
                <w:sz w:val="20"/>
                <w:szCs w:val="20"/>
                <w:color w:val="auto"/>
              </w:rPr>
            </w:pPr>
            <w:r>
              <w:rPr>
                <w:rFonts w:ascii="Arial" w:cs="Arial" w:eastAsia="Arial" w:hAnsi="Arial"/>
                <w:sz w:val="18"/>
                <w:szCs w:val="18"/>
                <w:color w:val="auto"/>
              </w:rPr>
              <w:t>adjournments or postponements thereof.</w:t>
            </w:r>
          </w:p>
        </w:tc>
        <w:tc>
          <w:tcPr>
            <w:tcW w:w="0" w:type="dxa"/>
            <w:vAlign w:val="bottom"/>
          </w:tcPr>
          <w:p>
            <w:pPr>
              <w:spacing w:after="0"/>
              <w:rPr>
                <w:sz w:val="1"/>
                <w:szCs w:val="1"/>
                <w:color w:val="auto"/>
              </w:rPr>
            </w:pPr>
          </w:p>
        </w:tc>
      </w:tr>
      <w:tr>
        <w:trPr>
          <w:trHeight w:val="338"/>
        </w:trPr>
        <w:tc>
          <w:tcPr>
            <w:tcW w:w="2900" w:type="dxa"/>
            <w:vAlign w:val="bottom"/>
            <w:gridSpan w:val="2"/>
          </w:tcPr>
          <w:p>
            <w:pPr>
              <w:ind w:left="120"/>
              <w:spacing w:after="0"/>
              <w:rPr>
                <w:sz w:val="20"/>
                <w:szCs w:val="20"/>
                <w:color w:val="auto"/>
              </w:rPr>
            </w:pPr>
            <w:r>
              <w:rPr>
                <w:rFonts w:ascii="Arial" w:cs="Arial" w:eastAsia="Arial" w:hAnsi="Arial"/>
                <w:sz w:val="18"/>
                <w:szCs w:val="18"/>
                <w:b w:val="1"/>
                <w:bCs w:val="1"/>
                <w:color w:val="auto"/>
              </w:rPr>
              <w:t>Record Date</w:t>
            </w: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Wednesday, April 13, 2022</w:t>
            </w:r>
          </w:p>
        </w:tc>
        <w:tc>
          <w:tcPr>
            <w:tcW w:w="0" w:type="dxa"/>
            <w:vAlign w:val="bottom"/>
          </w:tcPr>
          <w:p>
            <w:pPr>
              <w:spacing w:after="0"/>
              <w:rPr>
                <w:sz w:val="1"/>
                <w:szCs w:val="1"/>
                <w:color w:val="auto"/>
              </w:rPr>
            </w:pPr>
          </w:p>
        </w:tc>
      </w:tr>
      <w:tr>
        <w:trPr>
          <w:trHeight w:val="323"/>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1"/>
              </w:rPr>
              <w:t>Only stockholders of record as of Wednesday, April 13, 2022, at the close of business are entitled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to notice of and to vote at the annual meeting.</w:t>
            </w:r>
          </w:p>
        </w:tc>
        <w:tc>
          <w:tcPr>
            <w:tcW w:w="0" w:type="dxa"/>
            <w:vAlign w:val="bottom"/>
          </w:tcPr>
          <w:p>
            <w:pPr>
              <w:spacing w:after="0"/>
              <w:rPr>
                <w:sz w:val="1"/>
                <w:szCs w:val="1"/>
                <w:color w:val="auto"/>
              </w:rPr>
            </w:pPr>
          </w:p>
        </w:tc>
      </w:tr>
      <w:tr>
        <w:trPr>
          <w:trHeight w:val="323"/>
        </w:trPr>
        <w:tc>
          <w:tcPr>
            <w:tcW w:w="2900" w:type="dxa"/>
            <w:vAlign w:val="bottom"/>
            <w:gridSpan w:val="2"/>
          </w:tcPr>
          <w:p>
            <w:pPr>
              <w:ind w:left="120"/>
              <w:spacing w:after="0"/>
              <w:rPr>
                <w:sz w:val="20"/>
                <w:szCs w:val="20"/>
                <w:color w:val="auto"/>
              </w:rPr>
            </w:pPr>
            <w:r>
              <w:rPr>
                <w:rFonts w:ascii="Arial" w:cs="Arial" w:eastAsia="Arial" w:hAnsi="Arial"/>
                <w:sz w:val="18"/>
                <w:szCs w:val="18"/>
                <w:b w:val="1"/>
                <w:bCs w:val="1"/>
                <w:color w:val="auto"/>
              </w:rPr>
              <w:t>Availability of Proxy Materials</w:t>
            </w: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i w:val="1"/>
                <w:iCs w:val="1"/>
                <w:color w:val="auto"/>
                <w:w w:val="92"/>
              </w:rPr>
              <w:t>The Notice of Internet Availability of Proxy Materials containing instructions on how to access our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i w:val="1"/>
                <w:iCs w:val="1"/>
                <w:color w:val="auto"/>
                <w:w w:val="92"/>
              </w:rPr>
              <w:t>proxy statement, notice of annual meeting, form of proxy and our annual report, is first being sent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i w:val="1"/>
                <w:iCs w:val="1"/>
                <w:color w:val="auto"/>
                <w:w w:val="93"/>
              </w:rPr>
              <w:t>or given on or about April 28, 2022 to all stockholders entitled to vote at the annual meeting</w:t>
            </w:r>
            <w:r>
              <w:rPr>
                <w:rFonts w:ascii="Arial" w:cs="Arial" w:eastAsia="Arial" w:hAnsi="Arial"/>
                <w:sz w:val="18"/>
                <w:szCs w:val="18"/>
                <w:color w:val="auto"/>
                <w:w w:val="93"/>
              </w:rPr>
              <w:t>.</w:t>
            </w:r>
            <w:r>
              <w:rPr>
                <w:rFonts w:ascii="Arial" w:cs="Arial" w:eastAsia="Arial" w:hAnsi="Arial"/>
                <w:sz w:val="18"/>
                <w:szCs w:val="18"/>
                <w:i w:val="1"/>
                <w:iCs w:val="1"/>
                <w:color w:val="auto"/>
                <w:w w:val="93"/>
              </w:rPr>
              <w:t xml:space="preserve"> We</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i w:val="1"/>
                <w:iCs w:val="1"/>
                <w:color w:val="auto"/>
                <w:w w:val="97"/>
              </w:rPr>
              <w:t>are providing access to our proxy materials over the Internet under the rules adopted by the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spacing w:after="0"/>
              <w:rPr>
                <w:sz w:val="20"/>
                <w:szCs w:val="20"/>
                <w:color w:val="auto"/>
              </w:rPr>
            </w:pPr>
            <w:r>
              <w:rPr>
                <w:rFonts w:ascii="Arial" w:cs="Arial" w:eastAsia="Arial" w:hAnsi="Arial"/>
                <w:sz w:val="18"/>
                <w:szCs w:val="18"/>
                <w:i w:val="1"/>
                <w:iCs w:val="1"/>
                <w:color w:val="auto"/>
              </w:rPr>
              <w:t>Securities and Exchange Commission (SEC).</w:t>
            </w:r>
          </w:p>
        </w:tc>
        <w:tc>
          <w:tcPr>
            <w:tcW w:w="0" w:type="dxa"/>
            <w:vAlign w:val="bottom"/>
          </w:tcPr>
          <w:p>
            <w:pPr>
              <w:spacing w:after="0"/>
              <w:rPr>
                <w:sz w:val="1"/>
                <w:szCs w:val="1"/>
                <w:color w:val="auto"/>
              </w:rPr>
            </w:pPr>
          </w:p>
        </w:tc>
      </w:tr>
      <w:tr>
        <w:trPr>
          <w:trHeight w:val="323"/>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8"/>
              </w:rPr>
              <w:t>The proxy materials and our annual report can be accessed as of April 28, 2022 by visiting</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140" w:type="dxa"/>
            <w:vAlign w:val="bottom"/>
            <w:gridSpan w:val="4"/>
          </w:tcPr>
          <w:p>
            <w:pPr>
              <w:spacing w:after="0" w:line="190" w:lineRule="exact"/>
              <w:rPr>
                <w:sz w:val="20"/>
                <w:szCs w:val="20"/>
                <w:color w:val="auto"/>
              </w:rPr>
            </w:pPr>
            <w:r>
              <w:rPr>
                <w:rFonts w:ascii="Arial" w:cs="Arial" w:eastAsia="Arial" w:hAnsi="Arial"/>
                <w:sz w:val="18"/>
                <w:szCs w:val="18"/>
                <w:color w:val="auto"/>
              </w:rPr>
              <w:t>www.proxydocs.com/TNYA.</w:t>
            </w:r>
          </w:p>
        </w:tc>
        <w:tc>
          <w:tcPr>
            <w:tcW w:w="0" w:type="dxa"/>
            <w:vAlign w:val="bottom"/>
          </w:tcPr>
          <w:p>
            <w:pPr>
              <w:spacing w:after="0"/>
              <w:rPr>
                <w:sz w:val="1"/>
                <w:szCs w:val="1"/>
                <w:color w:val="auto"/>
              </w:rPr>
            </w:pPr>
          </w:p>
        </w:tc>
      </w:tr>
      <w:tr>
        <w:trPr>
          <w:trHeight w:val="20"/>
        </w:trPr>
        <w:tc>
          <w:tcPr>
            <w:tcW w:w="29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900" w:type="dxa"/>
            <w:vAlign w:val="bottom"/>
            <w:gridSpan w:val="2"/>
          </w:tcPr>
          <w:p>
            <w:pPr>
              <w:ind w:left="120"/>
              <w:spacing w:after="0"/>
              <w:rPr>
                <w:sz w:val="20"/>
                <w:szCs w:val="20"/>
                <w:color w:val="auto"/>
              </w:rPr>
            </w:pPr>
            <w:r>
              <w:rPr>
                <w:rFonts w:ascii="Arial" w:cs="Arial" w:eastAsia="Arial" w:hAnsi="Arial"/>
                <w:sz w:val="18"/>
                <w:szCs w:val="18"/>
                <w:b w:val="1"/>
                <w:bCs w:val="1"/>
                <w:color w:val="auto"/>
              </w:rPr>
              <w:t>Voting</w:t>
            </w:r>
          </w:p>
        </w:tc>
        <w:tc>
          <w:tcPr>
            <w:tcW w:w="1080" w:type="dxa"/>
            <w:vAlign w:val="bottom"/>
          </w:tcPr>
          <w:p>
            <w:pPr>
              <w:spacing w:after="0"/>
              <w:rPr>
                <w:sz w:val="24"/>
                <w:szCs w:val="24"/>
                <w:color w:val="auto"/>
              </w:rPr>
            </w:pPr>
          </w:p>
        </w:tc>
        <w:tc>
          <w:tcPr>
            <w:tcW w:w="7140" w:type="dxa"/>
            <w:vAlign w:val="bottom"/>
            <w:gridSpan w:val="4"/>
          </w:tcPr>
          <w:p>
            <w:pPr>
              <w:spacing w:after="0"/>
              <w:rPr>
                <w:sz w:val="20"/>
                <w:szCs w:val="20"/>
                <w:color w:val="auto"/>
              </w:rPr>
            </w:pPr>
            <w:r>
              <w:rPr>
                <w:rFonts w:ascii="Arial" w:cs="Arial" w:eastAsia="Arial" w:hAnsi="Arial"/>
                <w:sz w:val="18"/>
                <w:szCs w:val="18"/>
                <w:b w:val="1"/>
                <w:bCs w:val="1"/>
                <w:color w:val="auto"/>
                <w:w w:val="94"/>
              </w:rPr>
              <w:t>Your vote is important</w:t>
            </w:r>
            <w:r>
              <w:rPr>
                <w:rFonts w:ascii="Arial" w:cs="Arial" w:eastAsia="Arial" w:hAnsi="Arial"/>
                <w:sz w:val="18"/>
                <w:szCs w:val="18"/>
                <w:color w:val="auto"/>
                <w:w w:val="94"/>
              </w:rPr>
              <w:t>. Whether or not you plan to attend the annual meeting, we urge you to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2"/>
              </w:rPr>
              <w:t>submit your proxy or voting instructions via the Internet, telephone or mail as soon as possible to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3"/>
              </w:rPr>
              <w:t>ensure your shares are represented. For additional instructions for each of these voting options,</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5"/>
              </w:rPr>
              <w:t>please refer to the proxy card. Returning your proxy card does not deprive you of your right to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w w:val="94"/>
              </w:rPr>
              <w:t>attend the annual meeting and to vote your shares at the annual meeting. The proxy statement</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explains proxy voting and the matters to be voted on in more detail.</w:t>
            </w:r>
          </w:p>
        </w:tc>
        <w:tc>
          <w:tcPr>
            <w:tcW w:w="0" w:type="dxa"/>
            <w:vAlign w:val="bottom"/>
          </w:tcPr>
          <w:p>
            <w:pPr>
              <w:spacing w:after="0"/>
              <w:rPr>
                <w:sz w:val="1"/>
                <w:szCs w:val="1"/>
                <w:color w:val="auto"/>
              </w:rPr>
            </w:pPr>
          </w:p>
        </w:tc>
      </w:tr>
      <w:tr>
        <w:trPr>
          <w:trHeight w:val="459"/>
        </w:trPr>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080" w:type="dxa"/>
            <w:vAlign w:val="bottom"/>
            <w:gridSpan w:val="3"/>
          </w:tcPr>
          <w:p>
            <w:pPr>
              <w:ind w:left="700"/>
              <w:spacing w:after="0"/>
              <w:rPr>
                <w:sz w:val="20"/>
                <w:szCs w:val="20"/>
                <w:color w:val="auto"/>
              </w:rPr>
            </w:pPr>
            <w:r>
              <w:rPr>
                <w:rFonts w:ascii="Arial" w:cs="Arial" w:eastAsia="Arial" w:hAnsi="Arial"/>
                <w:sz w:val="18"/>
                <w:szCs w:val="18"/>
                <w:color w:val="auto"/>
              </w:rPr>
              <w:t>By order of the Board of Directors,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137160</wp:posOffset>
            </wp:positionV>
            <wp:extent cx="99441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44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Faraz Ali, M.B.A.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April 28, 2022</w:t>
      </w:r>
    </w:p>
    <w:p>
      <w:pPr>
        <w:sectPr>
          <w:pgSz w:w="11900" w:h="16838" w:orient="portrait"/>
          <w:cols w:equalWidth="0" w:num="1">
            <w:col w:w="11120"/>
          </w:cols>
          <w:pgMar w:left="32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20" w:type="dxa"/>
            <w:vAlign w:val="bottom"/>
            <w:gridSpan w:val="39"/>
            <w:vMerge w:val="restart"/>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QUESTIONS AND ANSWERS ABOUT THE PROXY MATERIALS AND OUR ANNUAL MEETING</w:t>
              </w:r>
            </w:hyperlink>
          </w:p>
        </w:tc>
        <w:tc>
          <w:tcPr>
            <w:tcW w:w="3040" w:type="dxa"/>
            <w:vAlign w:val="bottom"/>
            <w:gridSpan w:val="3"/>
            <w:vMerge w:val="restart"/>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7620" w:type="dxa"/>
            <w:vAlign w:val="bottom"/>
            <w:tcBorders>
              <w:bottom w:val="single" w:sz="8" w:color="0000EE"/>
            </w:tcBorders>
            <w:gridSpan w:val="39"/>
            <w:vMerge w:val="continue"/>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BOARD OF DIRECTORS AND CORPORATE GOVERNANCE</w:t>
              </w:r>
            </w:hyperlink>
          </w:p>
        </w:tc>
        <w:tc>
          <w:tcPr>
            <w:tcW w:w="5900" w:type="dxa"/>
            <w:vAlign w:val="bottom"/>
            <w:gridSpan w:val="9"/>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Composition of the Board</w:t>
              </w:r>
            </w:hyperlink>
          </w:p>
        </w:tc>
        <w:tc>
          <w:tcPr>
            <w:tcW w:w="8420" w:type="dxa"/>
            <w:vAlign w:val="bottom"/>
            <w:gridSpan w:val="2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Class I Nominees for Director</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Continuing Directors</w:t>
              </w:r>
            </w:hyperlink>
          </w:p>
        </w:tc>
        <w:tc>
          <w:tcPr>
            <w:tcW w:w="8140" w:type="dxa"/>
            <w:vAlign w:val="bottom"/>
            <w:gridSpan w:val="2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Director Independence</w:t>
              </w:r>
            </w:hyperlink>
          </w:p>
        </w:tc>
        <w:tc>
          <w:tcPr>
            <w:tcW w:w="8660" w:type="dxa"/>
            <w:vAlign w:val="bottom"/>
            <w:gridSpan w:val="3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Role of Board in Risk Oversight Process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Board Committees</w:t>
              </w:r>
            </w:hyperlink>
          </w:p>
        </w:tc>
        <w:tc>
          <w:tcPr>
            <w:tcW w:w="1560" w:type="dxa"/>
            <w:vAlign w:val="bottom"/>
            <w:tcBorders>
              <w:top w:val="single" w:sz="8" w:color="0000EE"/>
            </w:tcBorders>
            <w:gridSpan w:val="17"/>
          </w:tcPr>
          <w:p>
            <w:pPr>
              <w:spacing w:after="0"/>
              <w:rPr>
                <w:sz w:val="17"/>
                <w:szCs w:val="17"/>
                <w:color w:val="auto"/>
              </w:rPr>
            </w:pPr>
          </w:p>
        </w:tc>
        <w:tc>
          <w:tcPr>
            <w:tcW w:w="73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8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Attendance at Board and Stockholders Meetings</w:t>
              </w:r>
            </w:hyperlink>
          </w:p>
        </w:tc>
        <w:tc>
          <w:tcPr>
            <w:tcW w:w="68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4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Compensation Committee Interlocks and Insider Participation</w:t>
              </w:r>
            </w:hyperlink>
          </w:p>
        </w:tc>
        <w:tc>
          <w:tcPr>
            <w:tcW w:w="58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Considerations in Evaluating Director Nominees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Stockholders Recommendations and Nominations to our Board of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Communications with the Board of Directors</w:t>
              </w:r>
            </w:hyperlink>
          </w:p>
        </w:tc>
        <w:tc>
          <w:tcPr>
            <w:tcW w:w="48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Policy Prohibiting Hedging or Pledging of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520" w:type="dxa"/>
            <w:vAlign w:val="bottom"/>
            <w:tcBorders>
              <w:bottom w:val="single" w:sz="8" w:color="0000EE"/>
            </w:tcBorders>
            <w:gridSpan w:val="36"/>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Corporate Governance Guidelines and Code of Business Conduct and Ethics</w:t>
              </w:r>
            </w:hyperlink>
          </w:p>
        </w:tc>
        <w:tc>
          <w:tcPr>
            <w:tcW w:w="47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Board Diversity</w:t>
              </w:r>
            </w:hyperlink>
          </w:p>
        </w:tc>
        <w:tc>
          <w:tcPr>
            <w:tcW w:w="9140" w:type="dxa"/>
            <w:vAlign w:val="bottom"/>
            <w:gridSpan w:val="3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Director Compensation</w:t>
              </w:r>
            </w:hyperlink>
          </w:p>
        </w:tc>
        <w:tc>
          <w:tcPr>
            <w:tcW w:w="8620" w:type="dxa"/>
            <w:vAlign w:val="bottom"/>
            <w:gridSpan w:val="3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60" w:type="dxa"/>
            <w:vAlign w:val="bottom"/>
            <w:gridSpan w:val="42"/>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PROPOSAL NO. 1: ELECTION OF CLASS I DIRECTORS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0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Nominees</w:t>
              </w:r>
            </w:hyperlink>
          </w:p>
        </w:tc>
        <w:tc>
          <w:tcPr>
            <w:tcW w:w="626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Vote Required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Board Recommendation</w:t>
              </w:r>
            </w:hyperlink>
          </w:p>
        </w:tc>
        <w:tc>
          <w:tcPr>
            <w:tcW w:w="854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660" w:type="dxa"/>
            <w:vAlign w:val="bottom"/>
            <w:gridSpan w:val="4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PROPOSAL NO. 2: RATIFICATION OF APPOINTMENT OF INDEPENDENT REGISTERED PUBLIC ACCOUNTING FIRM</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468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Fees Paid to the Independent Registered Public Accounting Firm</w:t>
              </w:r>
            </w:hyperlink>
          </w:p>
        </w:tc>
        <w:tc>
          <w:tcPr>
            <w:tcW w:w="4380" w:type="dxa"/>
            <w:vAlign w:val="bottom"/>
            <w:tcBorders>
              <w:top w:val="single" w:sz="8" w:color="0000EE"/>
            </w:tcBorders>
            <w:gridSpan w:val="5"/>
          </w:tcPr>
          <w:p>
            <w:pPr>
              <w:spacing w:after="0"/>
              <w:rPr>
                <w:sz w:val="17"/>
                <w:szCs w:val="17"/>
                <w:color w:val="auto"/>
              </w:rPr>
            </w:pPr>
          </w:p>
        </w:tc>
        <w:tc>
          <w:tcPr>
            <w:tcW w:w="12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Auditor Independence</w:t>
              </w:r>
            </w:hyperlink>
          </w:p>
        </w:tc>
        <w:tc>
          <w:tcPr>
            <w:tcW w:w="8700" w:type="dxa"/>
            <w:vAlign w:val="bottom"/>
            <w:gridSpan w:val="3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060" w:type="dxa"/>
            <w:vAlign w:val="bottom"/>
            <w:tcBorders>
              <w:bottom w:val="single" w:sz="8" w:color="0000EE"/>
            </w:tcBorders>
            <w:gridSpan w:val="40"/>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Audit Committee Policy on Pre-Approval of Audit and Permissible Non-Audit Services of Independent Registered Public Accounting Firm</w:t>
              </w:r>
            </w:hyperlink>
          </w:p>
        </w:tc>
        <w:tc>
          <w:tcPr>
            <w:tcW w:w="2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Vote Required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Board Recommendation</w:t>
              </w:r>
            </w:hyperlink>
          </w:p>
        </w:tc>
        <w:tc>
          <w:tcPr>
            <w:tcW w:w="8540" w:type="dxa"/>
            <w:vAlign w:val="bottom"/>
            <w:gridSpan w:val="3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AUDIT COMMITTEE REPORT</w:t>
              </w:r>
            </w:hyperlink>
          </w:p>
        </w:tc>
        <w:tc>
          <w:tcPr>
            <w:tcW w:w="8260" w:type="dxa"/>
            <w:vAlign w:val="bottom"/>
            <w:gridSpan w:val="2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EXECUTIVE OFFICERS</w:t>
              </w:r>
            </w:hyperlink>
          </w:p>
        </w:tc>
        <w:tc>
          <w:tcPr>
            <w:tcW w:w="8760" w:type="dxa"/>
            <w:vAlign w:val="bottom"/>
            <w:gridSpan w:val="3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EXECUTIVE COMPENSATION</w:t>
              </w:r>
            </w:hyperlink>
          </w:p>
        </w:tc>
        <w:tc>
          <w:tcPr>
            <w:tcW w:w="822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94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Processes and Procedures for Compensation Decisions</w:t>
              </w:r>
            </w:hyperlink>
          </w:p>
        </w:tc>
        <w:tc>
          <w:tcPr>
            <w:tcW w:w="63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Summary Compensation Table for Fiscal 2021</w:t>
              </w:r>
            </w:hyperlink>
          </w:p>
        </w:tc>
        <w:tc>
          <w:tcPr>
            <w:tcW w:w="69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Employment Arrangements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880" w:type="dxa"/>
            <w:vAlign w:val="bottom"/>
            <w:gridSpan w:val="10"/>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Potential Payments Upon Termination or Change in Control</w:t>
              </w:r>
            </w:hyperlink>
          </w:p>
        </w:tc>
        <w:tc>
          <w:tcPr>
            <w:tcW w:w="59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Executive Incentive Compensation Plan</w:t>
              </w:r>
            </w:hyperlink>
          </w:p>
        </w:tc>
        <w:tc>
          <w:tcPr>
            <w:tcW w:w="742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Outstanding Equity Awards at Fiscal 2021 Year-End</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Equity Compensation Plan Information</w:t>
              </w:r>
            </w:hyperlink>
          </w:p>
        </w:tc>
        <w:tc>
          <w:tcPr>
            <w:tcW w:w="65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1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4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72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RELATED PERSON TRANSACTIONS</w:t>
              </w:r>
            </w:hyperlink>
          </w:p>
        </w:tc>
        <w:tc>
          <w:tcPr>
            <w:tcW w:w="39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1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11"/>
          </w:tcPr>
          <w:p>
            <w:pPr>
              <w:spacing w:after="0" w:line="20" w:lineRule="exact"/>
              <w:rPr>
                <w:sz w:val="1"/>
                <w:szCs w:val="1"/>
                <w:color w:val="auto"/>
              </w:rPr>
            </w:pPr>
          </w:p>
        </w:tc>
        <w:tc>
          <w:tcPr>
            <w:tcW w:w="6240" w:type="dxa"/>
            <w:vAlign w:val="bottom"/>
            <w:gridSpan w:val="1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Policies and Procedures for Related Person Transactions</w:t>
              </w:r>
            </w:hyperlink>
          </w:p>
        </w:tc>
        <w:tc>
          <w:tcPr>
            <w:tcW w:w="62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660" w:type="dxa"/>
            <w:vAlign w:val="bottom"/>
            <w:gridSpan w:val="4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MATTERS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22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900" w:type="dxa"/>
            <w:vAlign w:val="bottom"/>
            <w:gridSpan w:val="2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4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Delinquent Section 16(a) Reports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Fiscal Year 2021 Annual Report</w:t>
              </w:r>
            </w:hyperlink>
          </w:p>
        </w:tc>
        <w:tc>
          <w:tcPr>
            <w:tcW w:w="80" w:type="dxa"/>
            <w:vAlign w:val="bottom"/>
            <w:tcBorders>
              <w:top w:val="single" w:sz="8" w:color="0000EE"/>
            </w:tcBorders>
          </w:tcPr>
          <w:p>
            <w:pPr>
              <w:spacing w:after="0"/>
              <w:rPr>
                <w:sz w:val="17"/>
                <w:szCs w:val="17"/>
                <w:color w:val="auto"/>
              </w:rPr>
            </w:pPr>
          </w:p>
        </w:tc>
        <w:tc>
          <w:tcPr>
            <w:tcW w:w="790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TENAYA THERAPEUTICS, INC.</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PROXY STATEMENT</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at 8:00 a.m. Pacific Time on Thursday, June 9, 2022</w:t>
      </w:r>
    </w:p>
    <w:p>
      <w:pPr>
        <w:spacing w:after="0" w:line="21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38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QUESTIONS AND ANSWERS ABOUT THE PROXY MATERIALS AND OUR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This proxy statement and the form of proxy are furnished in connection with the solicitation of proxies by our board of directors for use at the 2022 annual meeting of stockholders of Tenaya Therapeutics, Inc., a Delaware corporation, and any postponements, adjournments or continuations thereof. The annual meeting will be held on Thursday, June 9, 2022 at 8:00 a.m. Pacific Time. The annual meeting will be conducted virtually via a live audio webcast. You will be able to attend the annual meeting virtually by visiting </w:t>
      </w:r>
      <w:r>
        <w:rPr>
          <w:rFonts w:ascii="Arial" w:cs="Arial" w:eastAsia="Arial" w:hAnsi="Arial"/>
          <w:sz w:val="16"/>
          <w:szCs w:val="16"/>
          <w:u w:val="single" w:color="auto"/>
          <w:color w:val="auto"/>
        </w:rPr>
        <w:t>www.proxydocs.com/TNYA</w:t>
      </w:r>
      <w:r>
        <w:rPr>
          <w:rFonts w:ascii="Arial" w:cs="Arial" w:eastAsia="Arial" w:hAnsi="Arial"/>
          <w:sz w:val="16"/>
          <w:szCs w:val="16"/>
          <w:color w:val="auto"/>
        </w:rPr>
        <w:t>, where you will be able to listen to the meeting live, submit questions and vote online during the meeting by entering the control number on your proxy card.</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28, 2022 to all stockholders of record as of April 13, 2022. The proxy materials and our annual report can be accessed as of April 28, 2022 by visiting </w:t>
      </w:r>
      <w:r>
        <w:rPr>
          <w:rFonts w:ascii="Arial" w:cs="Arial" w:eastAsia="Arial" w:hAnsi="Arial"/>
          <w:sz w:val="18"/>
          <w:szCs w:val="18"/>
          <w:u w:val="single" w:color="auto"/>
          <w:color w:val="auto"/>
        </w:rPr>
        <w:t>www.proxydocs.com/TNYA</w:t>
      </w:r>
      <w:r>
        <w:rPr>
          <w:rFonts w:ascii="Arial" w:cs="Arial" w:eastAsia="Arial" w:hAnsi="Arial"/>
          <w:sz w:val="18"/>
          <w:szCs w:val="18"/>
          <w:color w:val="auto"/>
        </w:rPr>
        <w:t>.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proposals will be voted on at the annual meeting:</w:t>
      </w:r>
    </w:p>
    <w:p>
      <w:pPr>
        <w:spacing w:after="0" w:line="131" w:lineRule="exact"/>
        <w:rPr>
          <w:sz w:val="20"/>
          <w:szCs w:val="20"/>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four Class I directors to hold office until our 2025 annual meeting of stockholders and until their respective successors are elected and qualified;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our fiscal year ending December 31, 2022.</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As of the date of this proxy statement, our management and board of directors were not aware of any other matters to be presented at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of directors recommend that I vote on these proposals?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each Class I director nominee named in this proxy statement; and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Holders of our common stock as of the close of business on April 13, 2022, the record date for the annual meeting, may vote at the annual meeting. As of the record date, there were 41,299,026 shares of our common stock outstanding. Each share of common stock is entitled to one vote on each matter properly brought before the annual meeting. Stockholders are not permitted to cumulate votes with respect to the election of directors.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i w:val="1"/>
          <w:iCs w:val="1"/>
          <w:color w:val="auto"/>
        </w:rPr>
        <w:t>Stockholders of Record</w:t>
      </w:r>
      <w:r>
        <w:rPr>
          <w:rFonts w:ascii="Arial" w:cs="Arial" w:eastAsia="Arial" w:hAnsi="Arial"/>
          <w:sz w:val="17"/>
          <w:szCs w:val="17"/>
          <w:color w:val="auto"/>
        </w:rPr>
        <w:t>. If your shares of common stock are registered directly in your name with our transfer agent, Computershare Trust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N.A., then you are 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7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brokerage account or by a broker, bank or other nominee, then you are considered the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there a list of registered stockholders entitled to vote at the annual meeting?</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A list of registered stockholders entitled to vote at the annual meeting will be made available for examination by any stockholder for any purpose germane to the meeting for a period of at least ten days prior to the meeting between the hours of 9:00 a.m. and 4:30 p.m. Pacific Time at our principal executive offices located at 171 Oyster Point Boulevard, 5th Floor, South San Francisco, CA 94080 by contacting our corporate secretary. The list of registered stockholders entitled to vote at the annual meeting will also be available online during the annual meeting at </w:t>
      </w:r>
      <w:r>
        <w:rPr>
          <w:rFonts w:ascii="Arial" w:cs="Arial" w:eastAsia="Arial" w:hAnsi="Arial"/>
          <w:sz w:val="18"/>
          <w:szCs w:val="18"/>
          <w:u w:val="single" w:color="auto"/>
          <w:color w:val="auto"/>
        </w:rPr>
        <w:t>www.proxydocs.com/TNYA</w:t>
      </w:r>
      <w:r>
        <w:rPr>
          <w:rFonts w:ascii="Arial" w:cs="Arial" w:eastAsia="Arial" w:hAnsi="Arial"/>
          <w:sz w:val="18"/>
          <w:szCs w:val="18"/>
          <w:color w:val="auto"/>
        </w:rPr>
        <w:t>, for those stockholders attending the annual meeting virtually.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quorum is the minimum number of shares required to be present or represented at the annual meeting for the meeting to be properly held under our amended and restated bylaws (Bylaws) and Delaware law. The presence, in person (including virtually) or by proxy, of a majority of the voting power of our capital stock issued and outstanding and entitled to vote will constitute a quorum to transact business at the annual meeting. Abstentions, choosing to withhold authority to vote and broker non-votes are counted as present and entitled to vote for purposes of determining a quorum. If there is no quorum, the chairperson of the meeting may adjourn the meeting to another time or place.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35" w:lineRule="exact"/>
        <w:rPr>
          <w:sz w:val="20"/>
          <w:szCs w:val="20"/>
          <w:color w:val="auto"/>
        </w:rPr>
      </w:pPr>
    </w:p>
    <w:p>
      <w:pPr>
        <w:ind w:left="1080" w:right="200" w:hanging="424"/>
        <w:spacing w:after="0" w:line="287"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Proposal No. 1</w:t>
      </w:r>
      <w:r>
        <w:rPr>
          <w:rFonts w:ascii="Arial" w:cs="Arial" w:eastAsia="Arial" w:hAnsi="Arial"/>
          <w:sz w:val="16"/>
          <w:szCs w:val="16"/>
          <w:color w:val="auto"/>
        </w:rPr>
        <w:t>: Each director is elected by a plurality of the voting power of the shares present in person (including virtually) or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proxy at the annual meeting and entitled to vote on the election of directors. A plurality means that the nominees with the largest number of FOR votes are elected as directors. You may (1) vote FOR the election of all of the director nominees named herein,</w:t>
      </w:r>
    </w:p>
    <w:p>
      <w:pPr>
        <w:spacing w:after="0" w:line="2" w:lineRule="exact"/>
        <w:rPr>
          <w:rFonts w:ascii="Arial" w:cs="Arial" w:eastAsia="Arial" w:hAnsi="Arial"/>
          <w:sz w:val="16"/>
          <w:szCs w:val="16"/>
          <w:color w:val="auto"/>
        </w:rPr>
      </w:pPr>
    </w:p>
    <w:p>
      <w:pPr>
        <w:ind w:left="1080" w:right="80"/>
        <w:spacing w:after="0" w:line="252" w:lineRule="auto"/>
        <w:rPr>
          <w:rFonts w:ascii="Arial" w:cs="Arial" w:eastAsia="Arial" w:hAnsi="Arial"/>
          <w:sz w:val="16"/>
          <w:szCs w:val="16"/>
          <w:color w:val="auto"/>
        </w:rPr>
      </w:pPr>
      <w:r>
        <w:rPr>
          <w:rFonts w:ascii="Arial" w:cs="Arial" w:eastAsia="Arial" w:hAnsi="Arial"/>
          <w:sz w:val="18"/>
          <w:szCs w:val="18"/>
          <w:color w:val="auto"/>
        </w:rPr>
        <w:t>(2)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 If you WITHHOLD your vote as to all nominees, you will be deemed to have abstained from voting on Proposal No. 1, and such abstention will have no effect on the outcome of the proposal.</w:t>
      </w:r>
    </w:p>
    <w:p>
      <w:pPr>
        <w:spacing w:after="0" w:line="99" w:lineRule="exact"/>
        <w:rPr>
          <w:rFonts w:ascii="Arial" w:cs="Arial" w:eastAsia="Arial" w:hAnsi="Arial"/>
          <w:sz w:val="16"/>
          <w:szCs w:val="16"/>
          <w:color w:val="auto"/>
        </w:rPr>
      </w:pPr>
    </w:p>
    <w:p>
      <w:pPr>
        <w:ind w:left="1080" w:right="20" w:hanging="424"/>
        <w:spacing w:after="0" w:line="28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Proposal No. 2</w:t>
      </w:r>
      <w:r>
        <w:rPr>
          <w:rFonts w:ascii="Arial" w:cs="Arial" w:eastAsia="Arial" w:hAnsi="Arial"/>
          <w:sz w:val="17"/>
          <w:szCs w:val="17"/>
          <w:color w:val="auto"/>
        </w:rPr>
        <w:t>: The ratification of the appointment of Deloitte &amp; Touche LLP as our independent registered public accounting firm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ending December 31, 2022 requires the affirmative vote of a majority of the voting power of the shares present in person (including virtually) or represented by proxy at the annual meeting and entitled to vote thereon. You may vote FOR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spacing w:after="0" w:line="275" w:lineRule="auto"/>
        <w:rPr>
          <w:sz w:val="20"/>
          <w:szCs w:val="20"/>
          <w:color w:val="auto"/>
        </w:rPr>
      </w:pPr>
      <w:r>
        <w:rPr>
          <w:rFonts w:ascii="Arial" w:cs="Arial" w:eastAsia="Arial" w:hAnsi="Arial"/>
          <w:sz w:val="17"/>
          <w:szCs w:val="17"/>
          <w:color w:val="auto"/>
        </w:rPr>
        <w:t xml:space="preserve">AGAINST this proposal, or you may indicate that you wish to ABSTAIN from voting on this proposal. Abstentions will be counted for purposes of determining the presence or absence of a quorum and will also count as votes against this proposal, i.e., will have the same effect as a vote AGAINST this proposal. Because this is a routine proposal, your broker, bank or other nominee will have discretion to vote your shares on this routine matter. See </w:t>
      </w:r>
      <w:r>
        <w:rPr>
          <w:rFonts w:ascii="Arial" w:cs="Arial" w:eastAsia="Arial" w:hAnsi="Arial"/>
          <w:sz w:val="17"/>
          <w:szCs w:val="17"/>
          <w:i w:val="1"/>
          <w:iCs w:val="1"/>
          <w:color w:val="auto"/>
        </w:rPr>
        <w:t>“What if I do not specify how my shares are to be voted or fail to provide timely directions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my broker, bank or other nominee?” </w:t>
      </w:r>
      <w:r>
        <w:rPr>
          <w:rFonts w:ascii="Arial" w:cs="Arial" w:eastAsia="Arial" w:hAnsi="Arial"/>
          <w:sz w:val="17"/>
          <w:szCs w:val="17"/>
          <w:color w:val="auto"/>
        </w:rPr>
        <w:t>below. Therefore, we do not expect any broker non-votes on this proposal.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may vote in one of the following ways:</w:t>
      </w:r>
    </w:p>
    <w:p>
      <w:pPr>
        <w:spacing w:after="0" w:line="131" w:lineRule="exact"/>
        <w:rPr>
          <w:sz w:val="20"/>
          <w:szCs w:val="20"/>
          <w:color w:val="auto"/>
        </w:rPr>
      </w:pPr>
    </w:p>
    <w:p>
      <w:pPr>
        <w:ind w:left="1080" w:right="4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www.proxydocs.com/TNYA</w:t>
      </w:r>
      <w:r>
        <w:rPr>
          <w:rFonts w:ascii="Arial" w:cs="Arial" w:eastAsia="Arial" w:hAnsi="Arial"/>
          <w:sz w:val="18"/>
          <w:szCs w:val="18"/>
          <w:color w:val="auto"/>
        </w:rPr>
        <w:t xml:space="preserve">, 24 hours a day, 7 days a week, until 11:59 p.m. Eastern Time on June 8, 2022. To vote via the Internet prior to the annual meeting, go to </w:t>
      </w:r>
      <w:r>
        <w:rPr>
          <w:rFonts w:ascii="Arial" w:cs="Arial" w:eastAsia="Arial" w:hAnsi="Arial"/>
          <w:sz w:val="18"/>
          <w:szCs w:val="18"/>
          <w:u w:val="single" w:color="auto"/>
          <w:color w:val="auto"/>
        </w:rPr>
        <w:t>www.proxydocs.com/TNYA</w:t>
      </w:r>
      <w:r>
        <w:rPr>
          <w:rFonts w:ascii="Arial" w:cs="Arial" w:eastAsia="Arial" w:hAnsi="Arial"/>
          <w:sz w:val="18"/>
          <w:szCs w:val="18"/>
          <w:color w:val="auto"/>
        </w:rPr>
        <w:t xml:space="preserve"> to complete an electronic proxy card. You will be asked to provide the control number from the proxy card you receive. If you vote via the Internet prior to the annual meeting, you do not need to return a proxy card by mail.</w:t>
      </w:r>
    </w:p>
    <w:p>
      <w:pPr>
        <w:spacing w:after="0" w:line="92" w:lineRule="exact"/>
        <w:rPr>
          <w:rFonts w:ascii="Arial" w:cs="Arial" w:eastAsia="Arial" w:hAnsi="Arial"/>
          <w:sz w:val="18"/>
          <w:szCs w:val="18"/>
          <w:color w:val="auto"/>
        </w:rPr>
      </w:pPr>
    </w:p>
    <w:p>
      <w:pPr>
        <w:ind w:left="1080" w:right="20" w:hanging="424"/>
        <w:spacing w:after="0" w:line="308"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toll-free telephone at 1-866-475-3780, 24 hours a day, 7 days a week, until 11:59 p.m. Eastern Time on June 8, 2022. You will be asked to provide the control number from the proxy card. If you vote by telephone, you do not need to return a proxy card by mail.</w:t>
      </w:r>
    </w:p>
    <w:p>
      <w:pPr>
        <w:spacing w:after="0" w:line="51" w:lineRule="exact"/>
        <w:rPr>
          <w:rFonts w:ascii="Arial" w:cs="Arial" w:eastAsia="Arial" w:hAnsi="Arial"/>
          <w:sz w:val="17"/>
          <w:szCs w:val="17"/>
          <w:color w:val="auto"/>
        </w:rPr>
      </w:pPr>
    </w:p>
    <w:p>
      <w:pPr>
        <w:ind w:left="1080" w:right="80" w:hanging="424"/>
        <w:spacing w:after="0" w:line="30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completing, signing and mailing your proxy card that accompanies this proxy statement, which must be received prior to the annual meeting.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w:t>
      </w:r>
    </w:p>
    <w:p>
      <w:pPr>
        <w:spacing w:after="0" w:line="62"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by attending the annual meeting virtually by visiting </w:t>
      </w:r>
      <w:r>
        <w:rPr>
          <w:rFonts w:ascii="Arial" w:cs="Arial" w:eastAsia="Arial" w:hAnsi="Arial"/>
          <w:sz w:val="18"/>
          <w:szCs w:val="18"/>
          <w:u w:val="single" w:color="auto"/>
          <w:color w:val="auto"/>
        </w:rPr>
        <w:t>www.proxydocs.com/TNYA</w:t>
      </w:r>
      <w:r>
        <w:rPr>
          <w:rFonts w:ascii="Arial" w:cs="Arial" w:eastAsia="Arial" w:hAnsi="Arial"/>
          <w:sz w:val="18"/>
          <w:szCs w:val="18"/>
          <w:color w:val="auto"/>
        </w:rPr>
        <w:t>, where you may vote during the meeting (have your Notice of Internet Availability or proxy card in hand when you visit the website).</w:t>
      </w:r>
    </w:p>
    <w:p>
      <w:pPr>
        <w:spacing w:after="0" w:line="170"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i w:val="1"/>
          <w:iCs w:val="1"/>
          <w:color w:val="auto"/>
        </w:rPr>
        <w:t>Street Name Stockholders</w:t>
      </w:r>
      <w:r>
        <w:rPr>
          <w:rFonts w:ascii="Arial" w:cs="Arial" w:eastAsia="Arial" w:hAnsi="Arial"/>
          <w:sz w:val="16"/>
          <w:szCs w:val="16"/>
          <w:color w:val="auto"/>
        </w:rPr>
        <w:t>. If you are a street name stockholder, then you will receive voting instructions from your broker, bank or other nominee. The</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Internet and telephone voting options will depend on the voting process of your broker, bank or other nominee. We therefore recommend that you follow the voting instructions in the materials you receive. If your voting instruction form or notice of internet availability of proxy materials indicates that you may vote your shares through the proxyvote.com website, then you may vote those shares at the annual meeting with the control number indicated on that voting instruction form or notice of internet availability of proxy materials. Otherwise, you may not vote your shares at the annual meeting unless you obtain a legal proxy from your broker, bank or other nominee. 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Stockholders of Record</w:t>
      </w:r>
      <w:r>
        <w:rPr>
          <w:rFonts w:ascii="Arial" w:cs="Arial" w:eastAsia="Arial" w:hAnsi="Arial"/>
          <w:sz w:val="16"/>
          <w:szCs w:val="16"/>
          <w:color w:val="auto"/>
        </w:rPr>
        <w:t>. If you are a stockholder of record and you submit a proxy, but you do not provide voting instructions, your shares will be voted:</w:t>
      </w:r>
    </w:p>
    <w:p>
      <w:pPr>
        <w:spacing w:after="0" w:line="154"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election of each Class I director nominee named in this proxy statement;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our fiscal year ending December 31, 2022.</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70"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i w:val="1"/>
          <w:iCs w:val="1"/>
          <w:color w:val="auto"/>
        </w:rPr>
        <w:t>Street Name Stockholders</w:t>
      </w:r>
      <w:r>
        <w:rPr>
          <w:rFonts w:ascii="Arial" w:cs="Arial" w:eastAsia="Arial" w:hAnsi="Arial"/>
          <w:sz w:val="17"/>
          <w:szCs w:val="17"/>
          <w:color w:val="auto"/>
        </w:rPr>
        <w:t>. Brokers, banks and other nominees holding shares of common stock in street name for customers are generally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vote such shares in the manner directed by their customers. In the absence of timely directions, your broker, bank or other nominee will have discretion to vote your shares on our sole routine matter: the proposal to ratify the appointment of Deloitte &amp; Touche LLP as our independent registered public accounting firm for our fiscal year ending December 31, 2022.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thereon (</w:t>
      </w:r>
      <w:r>
        <w:rPr>
          <w:rFonts w:ascii="Arial" w:cs="Arial" w:eastAsia="Arial" w:hAnsi="Arial"/>
          <w:sz w:val="16"/>
          <w:szCs w:val="16"/>
          <w:i w:val="1"/>
          <w:iCs w:val="1"/>
          <w:color w:val="auto"/>
        </w:rPr>
        <w:t>e.g.</w:t>
      </w:r>
      <w:r>
        <w:rPr>
          <w:rFonts w:ascii="Arial" w:cs="Arial" w:eastAsia="Arial" w:hAnsi="Arial"/>
          <w:sz w:val="16"/>
          <w:szCs w:val="16"/>
          <w:color w:val="auto"/>
        </w:rPr>
        <w:t>, Proposal No. 2). However, because the outcome of Proposal No. 1 (election of directors) will be determined by a plurality vote, abstentions will have no impact on the outcome of such proposal as long as a quorum exists.</w:t>
      </w:r>
    </w:p>
    <w:p>
      <w:pPr>
        <w:spacing w:after="0" w:line="16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are a stockholder of record, you can change your vote or revoke your proxy before the annual meeting by:</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telephone (subject to the applicable deadlines for each method as set forth above);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returning a later-dated proxy card, which must be received prior to the annual meeting;</w:t>
      </w:r>
    </w:p>
    <w:p>
      <w:pPr>
        <w:spacing w:after="0" w:line="130"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delivering a written notice of revocation to our Secretary at Tenaya Therapeutics, Inc., 171 Oyster Point Boulevard, 5th Floor, South San Francisco, CA 94080, Attention: Corporate Secretary, which must be received prior to the annual meeting; or</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(including virtually) and voting at the annual meeting (although attendance at the annual meeting will not, by itself, revoke a proxy).</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your broker, bank or other nominee can provide you with instructions on how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 or revoke your proxy.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be hosting the annual meeting via a live audio webcast only.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 were a stockholder of record as of the record date, then you may attend the annual meeting virtually, and will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submit your questions during the meeting and vote your shares electronically during the meeting. To attend and participate in the annual meeting, you must register in advance at www.proxydocs.com/TNYA prior to the deadline of 7:59 a.m. Pacific Time on June 9, 2022. Upon completing your registration, you will receive further instructions via email, including your unique link that will allow you to access the annual meeting and to submit questions during the annual meeting. Stockholders are already provided the opportunity to submit questions prior to the annual meeting at the time of registration. The annual meeting via a live audio only webcast will begin promptly at 8:00 a.m. Pacific Time. We encourage you to access the meeting prior to the start time. Online check-in will begin at 7:45 a.m. Pacific Time on June 9, 2022, and you should allow ample time for the check-in procedures.</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were a street name stockholder as of the record date and your voting instruction form or notice of internet availability</w:t>
      </w:r>
      <w:r>
        <w:rPr>
          <w:rFonts w:ascii="Arial" w:cs="Arial" w:eastAsia="Arial" w:hAnsi="Arial"/>
          <w:sz w:val="18"/>
          <w:szCs w:val="18"/>
          <w:i w:val="1"/>
          <w:iCs w:val="1"/>
          <w:color w:val="auto"/>
        </w:rPr>
        <w:t xml:space="preserve"> </w:t>
      </w:r>
      <w:r>
        <w:rPr>
          <w:rFonts w:ascii="Arial" w:cs="Arial" w:eastAsia="Arial" w:hAnsi="Arial"/>
          <w:sz w:val="18"/>
          <w:szCs w:val="18"/>
          <w:color w:val="auto"/>
        </w:rPr>
        <w:t>of proxy materials indicates that you may vote your shares through the proxyvote.com website, then you may access and participate in the annual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annual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get help if I have trouble checking in or listening to the annual meeting online?</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the annual meeting held virtually?</w:t>
      </w:r>
    </w:p>
    <w:p>
      <w:pPr>
        <w:spacing w:after="0" w:line="12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We believe that a virtual annual meeting allows for participation by a broader group of stockholders, reduces the costs to stockholders associated with holding an in-person meeting, and is the best option for ensuring the health and safety of the participants in light of the ongoing COVID-19 pandemic. The virtual meeting format is intended to facilitate a level of transparency as close as possible to an in-person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Proxies are solicited by and on behalf of our board of directors. Faraz Ali, our Chief Executive Officer, Leone D. Patterson, our Chief Financial and Business Officer, and Jennifer Drimmer Rokovich, our General Counsel and Corporate Secretary, have been designated as proxy holders for the annual meeting by our board of directors. When proxies are properly dated, executed and returned, the shares represented by such proxies will be voted at the annual meeting in accordance with the instructions of the stockholders. If the proxy is dated and signed, but no specific instructions are given, however, the shares will be voted in accordance with the recommendations of our board of directors on the proposals as described above. If 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representative of Mediant Communications Inc. will tabulate the votes and act as inspector of election.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contact Tenaya’s transfer agent?</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You may contact our transfer agent, Computershare Trust Company, N.A., by telephone at 800-736-3001, or by writing Computershare Trust Company, N.A, at 150 Royall Street, Canton, Massachusetts 02021. You may also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access instructions with respect to certain stockholders matters (e.g., change of address) via the Internet at www-us.computershare.com.</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will disclose voting results on a Current Report on Form 8-K that we will file with the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of Internet Availability instead of a full set of proxy materials?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 of Internet Availability or more than one set of printed proxy materials?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288"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I share an address with another stockholder, and we received only one paper copy of the Notice of Internet Availability or proxy statement and annual report. How may I obtain an additional copy of the Notice of Internet Availability or proxy statement and annual report?</w:t>
      </w:r>
    </w:p>
    <w:p>
      <w:pPr>
        <w:spacing w:after="0" w:line="12"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stockholders at a shared address to which we delivered a single copy of these documents. To receive a separate copy, or, if you are receiving multiple copies, to request that we only send a single copy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next year’s Notice of Internet Availability or proxy statement and annual report, as applicable, you may contact us as follows: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(650) 825-6990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329"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Proposals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our 2023 annual meeting of stockholders, our corporate secretary must receive the written proposal at our principal executive offices not later than December 29, 2022.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the our board of directors, or (iii) properly brought before the annual meeting by a stockholder of record entitled to vote at the annual meeting who has delivered timely written notice to our corporate secretary, which notice must contain the information specified in our Bylaws. To be timely for our 2023 annual meeting of stockholders, our corporate secretary must receive the written notice at our principal executive offices:</w:t>
      </w:r>
    </w:p>
    <w:p>
      <w:pPr>
        <w:spacing w:after="0" w:line="70"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8:00 a.m., local time, February 9, 2023;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5:00 p.m., local time, than March 11, 2023.</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the event that we hold our 2023 annual meeting of stockholders more than 25 days before or after the first anniversary of the date of this year’s annual meeting, then notice of a stockholder proposal that is not intended to be included in our proxy statement must be received no earlier than 8:00 a.m., local time, on the 120th day before such annual meeting and no later than 5:00 p.m., local time, on the 10th day following the day on which public announcement of the date of such annual meeting is first made.</w:t>
      </w:r>
    </w:p>
    <w:p>
      <w:pPr>
        <w:spacing w:after="0" w:line="187"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a proxy statement.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Availability of Bylaws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copy of our Bylaws may be obtained by accessing our public filings on the SEC’s website at http://www.sec.gov. You may also contact our corporate secretary at our principal executive office for a copy of the relevant bylaw provisions regarding the requirements for making stockholder proposals and nominating director candidates.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the Board</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board of directors currently consists of ten (10) directors, nine (9)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184"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Upon the recommendation of our corporate governance and nominating committee, we are nominating David Goeddel, Ph.D., Karah Parschauer, J.D., Jeffrey T. Walsh, M.B.A., and R. Sanders Williams, M.D., as Class I directors at the annual meeting. If elected, Drs. Goeddel and Williams,</w:t>
      </w:r>
    </w:p>
    <w:p>
      <w:pPr>
        <w:ind w:left="120" w:right="500"/>
        <w:spacing w:after="0" w:line="260" w:lineRule="auto"/>
        <w:rPr>
          <w:sz w:val="20"/>
          <w:szCs w:val="20"/>
          <w:color w:val="auto"/>
        </w:rPr>
      </w:pPr>
      <w:r>
        <w:rPr>
          <w:rFonts w:ascii="Arial" w:cs="Arial" w:eastAsia="Arial" w:hAnsi="Arial"/>
          <w:sz w:val="18"/>
          <w:szCs w:val="18"/>
          <w:color w:val="auto"/>
        </w:rPr>
        <w:t>Ms. Parschauer, and Mr. Walsh will each hold office for a three-year term until the annual meeting of stockholders to be held in 2025 or until their successors are duly elected and qualified.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as of March 31, 2022, and certain other information for each of our directors and director nominees: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Expiration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Director</w:t>
            </w:r>
          </w:p>
        </w:tc>
        <w:tc>
          <w:tcPr>
            <w:tcW w:w="78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Term for</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40" w:type="dxa"/>
            <w:vAlign w:val="bottom"/>
            <w:vMerge w:val="restart"/>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w:t>
            </w:r>
          </w:p>
        </w:tc>
        <w:tc>
          <w:tcPr>
            <w:tcW w:w="5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3"/>
              </w:rPr>
              <w:t>Age</w:t>
            </w:r>
          </w:p>
        </w:tc>
        <w:tc>
          <w:tcPr>
            <w:tcW w:w="18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Position(s)</w:t>
            </w:r>
          </w:p>
        </w:tc>
        <w:tc>
          <w:tcPr>
            <w:tcW w:w="820" w:type="dxa"/>
            <w:vAlign w:val="bottom"/>
            <w:gridSpan w:val="2"/>
            <w:vMerge w:val="continue"/>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Term</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Which</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40" w:type="dxa"/>
            <w:vAlign w:val="bottom"/>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Since</w:t>
            </w:r>
          </w:p>
        </w:tc>
        <w:tc>
          <w:tcPr>
            <w:tcW w:w="7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Expires</w:t>
            </w:r>
          </w:p>
        </w:tc>
        <w:tc>
          <w:tcPr>
            <w:tcW w:w="9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Nominees for Director</w:t>
            </w:r>
          </w:p>
        </w:tc>
        <w:tc>
          <w:tcPr>
            <w:tcW w:w="3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David Goeddel, Ph.D.(3)</w:t>
            </w: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rPr>
              <w:t>I</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Chair and Director</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2016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2022</w:t>
            </w:r>
          </w:p>
        </w:tc>
        <w:tc>
          <w:tcPr>
            <w:tcW w:w="960" w:type="dxa"/>
            <w:vAlign w:val="bottom"/>
            <w:gridSpan w:val="2"/>
          </w:tcPr>
          <w:p>
            <w:pPr>
              <w:jc w:val="center"/>
              <w:ind w:left="355"/>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Karah Parschauer, J.D.(1)</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I</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center"/>
              <w:ind w:left="355"/>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Jeffrey T. Walsh, M.B.A.(1)(2)</w:t>
            </w: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rPr>
              <w:t>I</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2020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2022</w:t>
            </w:r>
          </w:p>
        </w:tc>
        <w:tc>
          <w:tcPr>
            <w:tcW w:w="960" w:type="dxa"/>
            <w:vAlign w:val="bottom"/>
            <w:gridSpan w:val="2"/>
          </w:tcPr>
          <w:p>
            <w:pPr>
              <w:jc w:val="center"/>
              <w:ind w:left="355"/>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Sanders Williams, M.D.(2)</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I</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2016</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2022</w:t>
            </w:r>
          </w:p>
        </w:tc>
        <w:tc>
          <w:tcPr>
            <w:tcW w:w="960" w:type="dxa"/>
            <w:vAlign w:val="bottom"/>
            <w:gridSpan w:val="2"/>
            <w:shd w:val="clear" w:color="auto" w:fill="CCEEFF"/>
          </w:tcPr>
          <w:p>
            <w:pPr>
              <w:jc w:val="center"/>
              <w:ind w:left="355"/>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Continuing Directors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Casdin, M.B.A.(1)</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II</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96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Jin-Long Chen, Ph.D.(3)</w:t>
            </w:r>
          </w:p>
        </w:tc>
        <w:tc>
          <w:tcPr>
            <w:tcW w:w="600" w:type="dxa"/>
            <w:vAlign w:val="bottom"/>
            <w:gridSpan w:val="2"/>
          </w:tcPr>
          <w:p>
            <w:pPr>
              <w:jc w:val="center"/>
              <w:ind w:right="200"/>
              <w:spacing w:after="0"/>
              <w:rPr>
                <w:sz w:val="20"/>
                <w:szCs w:val="20"/>
                <w:color w:val="auto"/>
              </w:rPr>
            </w:pPr>
            <w:r>
              <w:rPr>
                <w:rFonts w:ascii="Arial" w:cs="Arial" w:eastAsia="Arial" w:hAnsi="Arial"/>
                <w:sz w:val="18"/>
                <w:szCs w:val="18"/>
                <w:color w:val="auto"/>
              </w:rPr>
              <w:t>II</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2016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2023</w:t>
            </w:r>
          </w:p>
        </w:tc>
        <w:tc>
          <w:tcPr>
            <w:tcW w:w="960" w:type="dxa"/>
            <w:vAlign w:val="bottom"/>
            <w:gridSpan w:val="2"/>
          </w:tcPr>
          <w:p>
            <w:pPr>
              <w:jc w:val="center"/>
              <w:ind w:left="37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Stehman-Breen, M.D.(2)</w:t>
            </w:r>
          </w:p>
        </w:tc>
        <w:tc>
          <w:tcPr>
            <w:tcW w:w="6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II</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96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5500" w:type="dxa"/>
            <w:vAlign w:val="bottom"/>
            <w:gridSpan w:val="2"/>
          </w:tcPr>
          <w:p>
            <w:pPr>
              <w:spacing w:after="0" w:line="201" w:lineRule="exact"/>
              <w:rPr>
                <w:sz w:val="20"/>
                <w:szCs w:val="20"/>
                <w:color w:val="auto"/>
              </w:rPr>
            </w:pPr>
            <w:r>
              <w:rPr>
                <w:rFonts w:ascii="Arial" w:cs="Arial" w:eastAsia="Arial" w:hAnsi="Arial"/>
                <w:sz w:val="18"/>
                <w:szCs w:val="18"/>
                <w:color w:val="auto"/>
              </w:rPr>
              <w:t>Faraz Ali, M.B.A.</w:t>
            </w:r>
          </w:p>
        </w:tc>
        <w:tc>
          <w:tcPr>
            <w:tcW w:w="60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III</w:t>
            </w:r>
          </w:p>
        </w:tc>
        <w:tc>
          <w:tcPr>
            <w:tcW w:w="5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49</w:t>
            </w:r>
          </w:p>
        </w:tc>
        <w:tc>
          <w:tcPr>
            <w:tcW w:w="18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Chief Executive</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Officer and Director</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2024</w:t>
            </w:r>
          </w:p>
        </w:tc>
        <w:tc>
          <w:tcPr>
            <w:tcW w:w="960" w:type="dxa"/>
            <w:vAlign w:val="bottom"/>
            <w:gridSpan w:val="2"/>
          </w:tcPr>
          <w:p>
            <w:pPr>
              <w:jc w:val="center"/>
              <w:ind w:left="37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Lee, M.D.</w:t>
            </w: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III</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2024</w:t>
            </w:r>
          </w:p>
        </w:tc>
        <w:tc>
          <w:tcPr>
            <w:tcW w:w="960" w:type="dxa"/>
            <w:vAlign w:val="bottom"/>
            <w:gridSpan w:val="2"/>
            <w:shd w:val="clear" w:color="auto" w:fill="CCEEFF"/>
          </w:tcPr>
          <w:p>
            <w:pPr>
              <w:jc w:val="center"/>
              <w:ind w:left="37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Deepak Srivastava, M.D.(3)</w:t>
            </w: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rPr>
              <w:t>III</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2016</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2024</w:t>
            </w:r>
          </w:p>
        </w:tc>
        <w:tc>
          <w:tcPr>
            <w:tcW w:w="960" w:type="dxa"/>
            <w:vAlign w:val="bottom"/>
            <w:gridSpan w:val="2"/>
          </w:tcPr>
          <w:p>
            <w:pPr>
              <w:jc w:val="center"/>
              <w:ind w:left="375"/>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Member of corporate governance and nominating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 Nominees for Director</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i w:val="1"/>
          <w:iCs w:val="1"/>
          <w:color w:val="auto"/>
        </w:rPr>
        <w:t>David Goeddel, Ph.D.</w:t>
      </w:r>
      <w:r>
        <w:rPr>
          <w:rFonts w:ascii="Arial" w:cs="Arial" w:eastAsia="Arial" w:hAnsi="Arial"/>
          <w:sz w:val="16"/>
          <w:szCs w:val="16"/>
          <w:color w:val="auto"/>
        </w:rPr>
        <w:t>, has served as a member of our board of directors since August 2016. Dr. Goeddel has served as a Managing Partner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Column Group, a venture capital firm, since 2007. Dr. Goeddel is a member of the board of directors at NGM Biopharmaceuticals, a public biopharmaceutical company, as well as A2 Biotherapeutics (Chairman) and Hexagon Bio (Chairman), both privately held biopharmaceutical companies. He previously served as a member of the board of directors for multiple other publicly and privately held companies, including most recently, RAPT Therapeutics, Inc., Nura Bio Inc., Surrozen, Inc., Exonics, Inc., Peloton Therapeutics, Inc., and Neurona Therapeutics Inc. Dr. Goeddel co-founded Tularik in November 1991, was Vice President of Research until 1996, and served as Chief Executive Officer from 1996 until 2004. He then served as Amgen’s first Senior Vice President until May 2006. Prior to Tularik, he was the first scientist hired by Genentech, and from 1978 to 1993 served in various positions, including Fellow, Staff Scientist and Director of Molecular Biology. His pioneering work in the fields of gene cloning and expression of human proteins was the basis for five marketed therapeutics developed by Genentech, including human insulin, human growth hormone,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interferon-alpha, interferon-gamma and tissue plasminogen activator. Dr. Goeddel has received numerous scientific awards including the Scheele Medal, the Eli Lilly Award in Biological Chemistry, the Inventor of the Year Award, the Jacob Heskel Gabbay Award, the Howley Prize for Arthritis Research and the Warren Alpert Foundation Prize. He is a member of the National Academy of Sciences and the American Academy of Arts and Sciences. He holds a B.A. in chemistry from the University of California, San Diego and a Ph.D. in biochemistry from the University of Colorado.</w:t>
      </w:r>
    </w:p>
    <w:p>
      <w:pPr>
        <w:spacing w:after="0" w:line="17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his extensive experience in investing in diverse biotechnology companies and his experience as a public company board member, including within the biotechnology industry.</w:t>
      </w:r>
    </w:p>
    <w:p>
      <w:pPr>
        <w:spacing w:after="0" w:line="18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b w:val="1"/>
          <w:bCs w:val="1"/>
          <w:i w:val="1"/>
          <w:iCs w:val="1"/>
          <w:color w:val="auto"/>
        </w:rPr>
        <w:t>Karah Parschauer, J.D.</w:t>
      </w:r>
      <w:r>
        <w:rPr>
          <w:rFonts w:ascii="Arial" w:cs="Arial" w:eastAsia="Arial" w:hAnsi="Arial"/>
          <w:sz w:val="17"/>
          <w:szCs w:val="17"/>
          <w:color w:val="auto"/>
        </w:rPr>
        <w:t>, has served as a member of our board of directors since December 2021. In June 2016, Ms. Parschauer began serving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Counsel and Executive Vice President and is currently serving as Chief Legal Officer and Executive Vice President of Ultragenyx Pharmaceutical Inc., a public biopharmaceutical company developing treatments for rare and ultra-rare genetic diseases. From June 2005 to June 2016, Ms. Parschauer served in various executive capacities, and most recently as Vice President, Associate General Counsel, at Allergan plc, a pharmaceutical company. Before Allergan, Ms. Parschauer was an attorney at Latham &amp; Watkins LLP, where she practiced in the areas of mergers and acquisitions, securities offerings and corporate governance. Ms. Parschauer is a member of the board of directors of Evolus, Inc., a publicly traded performance beauty company, and Anebulo Pharmaceuticals, Inc., a publicly traded pharmaceutical company. From June 2019 to August 2021, she was a member of the board of directors of Arcturus Therapeutics Holdings Inc., a public RNA medicines company. Ms. Parschauer holds a B.A. in biology from Miami University and a J.D. from Harvard Law School.</w:t>
      </w:r>
    </w:p>
    <w:p>
      <w:pPr>
        <w:spacing w:after="0" w:line="18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believe Ms. Parschauer is qualified to serve on our board of directors because of her extensive experience as an executive in the life sciences sector, her legal expertise, and her experience as a public company board member within the life sciences industry.</w:t>
      </w:r>
    </w:p>
    <w:p>
      <w:pPr>
        <w:spacing w:after="0" w:line="170"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b w:val="1"/>
          <w:bCs w:val="1"/>
          <w:i w:val="1"/>
          <w:iCs w:val="1"/>
          <w:color w:val="auto"/>
        </w:rPr>
        <w:t>Jeffrey T. Walsh, M.B.A.</w:t>
      </w:r>
      <w:r>
        <w:rPr>
          <w:rFonts w:ascii="Arial" w:cs="Arial" w:eastAsia="Arial" w:hAnsi="Arial"/>
          <w:sz w:val="17"/>
          <w:szCs w:val="17"/>
          <w:color w:val="auto"/>
        </w:rPr>
        <w:t>, has served as a member of our board of directors since March 2020. Recently in January 2022, Mr. Walsh joined Third Rock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Ventures where he serves as a part-time venture partner. Since 2011, Mr. Walsh has served in various roles at bluebird bio, including most recently as Strategic Advisor from January 2020 to April 2021,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He received a B.A. in sociology and economics from Yale University and an M.B.A. from the Kellogg Graduate School of Management at Northwestern University.</w:t>
      </w:r>
    </w:p>
    <w:p>
      <w:pPr>
        <w:spacing w:after="0" w:line="181"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We believe that Mr. Walsh’s qualifications to serve on our board of directors include his leadership and management experience in the biotechnology industry and his experience in finance and business development and strategic planning as an executive officer at multiple healthcare companies.</w:t>
      </w:r>
    </w:p>
    <w:p>
      <w:pPr>
        <w:spacing w:after="0" w:line="12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b w:val="1"/>
          <w:bCs w:val="1"/>
          <w:i w:val="1"/>
          <w:iCs w:val="1"/>
          <w:color w:val="auto"/>
        </w:rPr>
        <w:t xml:space="preserve">R. Sanders (Sandy) Williams, M.D., </w:t>
      </w:r>
      <w:r>
        <w:rPr>
          <w:rFonts w:ascii="Arial" w:cs="Arial" w:eastAsia="Arial" w:hAnsi="Arial"/>
          <w:sz w:val="18"/>
          <w:szCs w:val="18"/>
          <w:color w:val="auto"/>
        </w:rPr>
        <w:t>has served as a member of our board of directors since October 2016. Dr. Williams has served as the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Science &amp; Technology at Duke University and, from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February 2021 to January 2022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 diagnostic technologies company, serving on the audit committee and chairing the quality and compliance committee. Dr. Williams also serves as a member of the board of directors of Amgen, Inc., a biopharmaceutical company. Dr. Williams was elected to the National Academy of Medicine in 2002. Dr. Williams received an A.B. from Princeton University and an M.D. from Duke University.</w:t>
      </w:r>
    </w:p>
    <w:p>
      <w:pPr>
        <w:spacing w:after="0" w:line="194"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We believe Dr. Williams is qualified to serve on our board because of his scientific and educational background, his extensive expertise in the cardiovascular field, and his experience as a public company board member, including within the biotechnology industry.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pacing w:after="0" w:line="121"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b w:val="1"/>
          <w:bCs w:val="1"/>
          <w:i w:val="1"/>
          <w:iCs w:val="1"/>
          <w:color w:val="auto"/>
        </w:rPr>
        <w:t>Eli Casdin, M.B.A.</w:t>
      </w:r>
      <w:r>
        <w:rPr>
          <w:rFonts w:ascii="Arial" w:cs="Arial" w:eastAsia="Arial" w:hAnsi="Arial"/>
          <w:sz w:val="16"/>
          <w:szCs w:val="16"/>
          <w:color w:val="auto"/>
        </w:rPr>
        <w:t>, has served as a member of our board of directors since August 2019. Mr. Casdin founded Casdin Capital in 2011 and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Investment Officer and Founder. Mr. Casdin serves on the boards of directors of Absci, Century Therapeutics, EQRx, Fluidigm, Sema4 Holdings, SomaLogic and previously served on the board of directors of Exact Sciences and as a board observer for Invitae, 4D Molecular Therapeutics, Fulcrum Therapeutics, Tango Therapeutics and Verve Therapeutics. He also served as Chief Executive Officer and director of CM Life Sciences, Inc., CM Life Sciences II, Inc., and CM Life Sciences III, Inc., until August 2021, September 2021, and December 2021 respectively. Prior to founding Casdin Capital, Mr. Casdin served as Vice President at Alliance Bernstein’s thematic investment arm, focusing on new technologies for the life sciences and healthcare sectors. Previously, he worked as a financial analyst at Bear Sterns and Cooper Hill Partners, a healthcare-focused investment firm.</w:t>
      </w:r>
    </w:p>
    <w:p>
      <w:pPr>
        <w:spacing w:after="0" w:line="2" w:lineRule="exact"/>
        <w:rPr>
          <w:sz w:val="20"/>
          <w:szCs w:val="20"/>
          <w:color w:val="auto"/>
        </w:rPr>
      </w:pPr>
    </w:p>
    <w:p>
      <w:pPr>
        <w:jc w:val="both"/>
        <w:ind w:left="120" w:right="260"/>
        <w:spacing w:after="0" w:line="255" w:lineRule="auto"/>
        <w:rPr>
          <w:sz w:val="20"/>
          <w:szCs w:val="20"/>
          <w:color w:val="auto"/>
        </w:rPr>
      </w:pPr>
      <w:r>
        <w:rPr>
          <w:rFonts w:ascii="Arial" w:cs="Arial" w:eastAsia="Arial" w:hAnsi="Arial"/>
          <w:sz w:val="18"/>
          <w:szCs w:val="18"/>
          <w:color w:val="auto"/>
        </w:rPr>
        <w:t>Mr. Casdin earned a B.S. from Columbia University and an M.B.A. from Columbia Business School. He currently serves a director on the Columbia University School of General Studies Board of Visitors, The Rockefeller University Board of Directors, and the New York Genome Center Board of Directors.</w:t>
      </w:r>
    </w:p>
    <w:p>
      <w:pPr>
        <w:spacing w:after="0" w:line="19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believe Mr. Casdin is qualified to serve on our board because his extensive expertise and experience analyzing and investing in the life sciences industry.</w:t>
      </w:r>
    </w:p>
    <w:p>
      <w:pPr>
        <w:spacing w:after="0" w:line="170"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b w:val="1"/>
          <w:bCs w:val="1"/>
          <w:i w:val="1"/>
          <w:iCs w:val="1"/>
          <w:color w:val="auto"/>
        </w:rPr>
        <w:t>Jin-Long Chen, Ph.D.</w:t>
      </w:r>
      <w:r>
        <w:rPr>
          <w:rFonts w:ascii="Arial" w:cs="Arial" w:eastAsia="Arial" w:hAnsi="Arial"/>
          <w:sz w:val="16"/>
          <w:szCs w:val="16"/>
          <w:color w:val="auto"/>
        </w:rPr>
        <w:t>, has served as member of our board of directors since October 2016. Dr. Chen is the founder of NGM Biopharmaceuticals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a member of the NGM board of directors and as Chief Scientific Officer since January 2008. He was also NGM’s President until November 2014. Previously, Dr. Chen held various positions at Amgen, most recently as Vice President, Metabolic Disorders. Prior to joining Amgen when Amgen acquired Tularik in 2004, Dr. Chen served as Vice President of Biology at Tularik. Dr. Chen received a B.S. in nutrition and food science from Fu-Jen Catholic University and a Ph.D. in molecular and cell biology from the University of California, Berkeley.</w:t>
      </w:r>
    </w:p>
    <w:p>
      <w:pPr>
        <w:spacing w:after="0" w:line="16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believe Dr. Chen is qualified to serve on our board because of his extensive medical research experience, and his experience as a founder, executive, and director of a public biopharmaceutical company.</w:t>
      </w:r>
    </w:p>
    <w:p>
      <w:pPr>
        <w:spacing w:after="0" w:line="17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 xml:space="preserve">Catherine Stehman-Breen, M.D., </w:t>
      </w:r>
      <w:r>
        <w:rPr>
          <w:rFonts w:ascii="Arial" w:cs="Arial" w:eastAsia="Arial" w:hAnsi="Arial"/>
          <w:sz w:val="16"/>
          <w:szCs w:val="16"/>
          <w:color w:val="auto"/>
        </w:rPr>
        <w:t>has served as a member of our board of directors since June 2020. Beginning in December 2020, Dr. Stehman-Breen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the Chief Executive Officer and a member of the board of directors of Chroma Medicine, a private biotechnology company. From July 2019 to December 2020, Dr. Stehman-Breen served as Chief Development Officer of Obsidian Therapeutics, a private biotechnology</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company. Since March 2018, she has served as an entrepreneur-in-residence at Atlas Ventures, a venture capital firm. Dr. Stehman-Brown serves as a director of Generation Bio, a public biotechnology company. Dr. Stehman-Breen also serves a member of the board of directors of Dyne Therapeutics, a public biotechnology company. She also previously served as Dyne’s Chief Medical Officer from March 2018 to July 2019. From April 2018 to July 2019, Dr. Stehman-Breen served as Chief Medical Officer Disarm Therapeutics, a private biotechnology company. From March 2017 to December 2017, she served as Chief Medical Officer of Sarepta Therapeutics, a public biopharmaceutical company. Before that, she served as Vice President, Clinical Development and Regulatory Affairs at Regeneron Pharmaceuticals, a public biotechnology company, from January 2015 to March 2017. From 2003 to 2015, she held senior leadership roles at Amgen including Vice President, Global Development, leading the neuroscience, nephrology and bone therapeutic areas. Dr. Stehman-Breen earned a B.A. in biology and psychology from Colby College, an M.S. in epidemiology from the University of Washington, where she also completed her residency and fellowship training, and an M.D. from the University of Chicago in 1990. Dr. Stehman-Breen spent six years as a faculty member in the Division of Nephrology at the University of Washington.</w:t>
      </w:r>
    </w:p>
    <w:p>
      <w:pPr>
        <w:spacing w:after="0" w:line="16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believe Dr. Stehman-Breen is qualified to serve on our board based on her medical expertise, her experience with clinical development and regulatory affairs in many therapeutic areas, her expertise as an executive in the biotechnology industry and her experience as a public company board member, including within the biotechnology industry.</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b w:val="1"/>
          <w:bCs w:val="1"/>
          <w:i w:val="1"/>
          <w:iCs w:val="1"/>
          <w:color w:val="auto"/>
        </w:rPr>
        <w:t>Faraz Ali, M.B.A.</w:t>
      </w:r>
      <w:r>
        <w:rPr>
          <w:rFonts w:ascii="Arial" w:cs="Arial" w:eastAsia="Arial" w:hAnsi="Arial"/>
          <w:sz w:val="17"/>
          <w:szCs w:val="17"/>
          <w:color w:val="auto"/>
        </w:rPr>
        <w:t>, has served as our Chief Executive Officer since June 2018 and as a member of our board of directors since September 2018.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Mr. Ali was Chief Business Officer at REGENXBIO, a public biotechnology company, from February 2016 to January 2018. From May 2011 to February 2016, Mr. Ali was Vice President, Global Commercial Development and External Affairs at bluebird bio, a public biotechnology company. From August 2001 to November 2010, Mr. Ali held various roles at Genzyme, including Head of U.S. Marketing and Strategic Planning for the rare disease business unit. Prior to Genzyme, Mr. Ali served in leadership roles at GE Corporate and GE Healthcare. Mr. Ali holds a B.S. in Electrical Engineering from Stanford University and an M.B.A. with distinction from Harvard Business School.</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therapies for rare and orphan diseases, and his educational background.</w:t>
      </w:r>
    </w:p>
    <w:p>
      <w:pPr>
        <w:spacing w:after="0" w:line="18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b w:val="1"/>
          <w:bCs w:val="1"/>
          <w:i w:val="1"/>
          <w:iCs w:val="1"/>
          <w:color w:val="auto"/>
        </w:rPr>
        <w:t>June Lee, M.D.</w:t>
      </w:r>
      <w:r>
        <w:rPr>
          <w:rFonts w:ascii="Arial" w:cs="Arial" w:eastAsia="Arial" w:hAnsi="Arial"/>
          <w:sz w:val="17"/>
          <w:szCs w:val="17"/>
          <w:color w:val="auto"/>
        </w:rPr>
        <w:t>, has served as a member of our board of directors since November 2021. From February 2021 to November 2021, Dr. Lee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Founder and Chief Executive Officer at Alumis Inc. (formerly known as Esker Therapeutics), a precision medicine company developing treatments for autoimmune diseases. From January 2017 until June 2020, Dr. Lee was Chief Development Officer and Chief Operating Officer of MyoKardia, Inc., a clinical stage biotechnology company with a focus on precision cardiovascular medicines. At MyoKardia she built and led a world class development organization culminating in the company’s $13.1 billion acquisition by Bristol Myers Squibb in November 2020. Prior to MyoKardia from April 2011 to January 2017, Dr. Lee was Professor of Medicine at UCSF School of Medicine, where she served as Director of Translational Research and built the Catalyst Program, an internal accelerator at UCSF for early-stage technologies in therapeutics, devices, diagnostics, and digital health. She is also the founding chair of the University of California Drug, Device, Discovery and Development Group. Previously, from March 2004 to April 2011, she was therapeutic area head in early clinical development in cardiovascular, metabolism, respiratory, and infectious diseases at Genentech. Dr. Lee is a member of the Board of Directors of Eledon Pharmaceuticals, Inc., a public biotechnology company, CinCor Pharma, Inc. and GenEdit, Inc., both private biotechnology companies, and the Council of Korean Americans, of which she previously served as Chair. She is a founding member of the Translational Research Advisory Council of South Korea’s MOGAM Research Institute, and the MTRAC for Life Sciences Innovation Hub Therapeutic/Diagnostic Oversight Committee, a unit associated with the University of Michigan Medical School. She currently serves on Johns Hopkins University Center for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Therapeutic Translation’s Advisory Board, and on the Scientific Advisory Boards for Aer Therapeutics, Inc. and Foresite Labs. Dr. Lee completed a Bachelor of Science in chemistry at the Johns Hopkins University, an M.D. at the School of Medicine at University of California, Davis, and her clinical training in internal medicine and pulmonary and critical care at UCLA and UCSF.</w:t>
      </w:r>
    </w:p>
    <w:p>
      <w:pPr>
        <w:spacing w:after="0" w:line="18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believe Dr. Lee is qualified to serve on our board of directors because of her extensive scientific background, medical training, expertise in the cardiovascular field, and executive leadership experience in our industry.</w:t>
      </w:r>
    </w:p>
    <w:p>
      <w:pPr>
        <w:spacing w:after="0" w:line="170"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b w:val="1"/>
          <w:bCs w:val="1"/>
          <w:i w:val="1"/>
          <w:iCs w:val="1"/>
          <w:color w:val="auto"/>
        </w:rPr>
        <w:t>Deepak Srivastava, M.D.</w:t>
      </w:r>
      <w:r>
        <w:rPr>
          <w:rFonts w:ascii="Arial" w:cs="Arial" w:eastAsia="Arial" w:hAnsi="Arial"/>
          <w:sz w:val="16"/>
          <w:szCs w:val="16"/>
          <w:color w:val="auto"/>
        </w:rPr>
        <w:t>, has served as a member of our board of directors since October 2016. Dr. Srivastava has been a consultant for our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2016 and Chairman of our Scientific Advisory Board since October 2016. Dr. Srivastava has been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UC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believe Dr. Srivastava is qualified to serve on our board because of his scientific and educational background and his extensive expertise in the cardiovascular field and as a co-founder of the company with specific expertise in the science of using direct in vivo reprogramming approach to cellular regeneration.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common stock is listed on the Nasdaq Global Select Market. Under the rules of Nasdaq, independent directors must comprise a majority of a listed company’s board of directors within one year of the completion of its initial public offering. Under Nasdaq listing rules, a director will only qualify as an independent director if, in the opinion of that listed company’s board of directors, the director does not have a relationship that would interfere with the exercise of independent judgment in carrying out the responsibilities of a director. In addition, the Nasdaq listing rules require that, subject to specified exceptions, each member of our audit, compensation and corporate governance and nominating committees be independent.</w:t>
      </w:r>
    </w:p>
    <w:p>
      <w:pPr>
        <w:spacing w:after="0" w:line="161"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Audit committee members must also satisfy the additional independence criteria set forth in Rule 10A-3 under the Exchange Act, and Nasdaq listing rules applicable to audit committee members. Compensation committee members must also satisfy the additional independence criteria set forth in Rule 10C-1 under the Exchange Act and Nasdaq listing rules applicable to compensation committee members.</w:t>
      </w:r>
    </w:p>
    <w:p>
      <w:pPr>
        <w:spacing w:after="0" w:line="16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board of directors has undertaken a review of the independence of each of our directors. Based on information provided by each director concerning his or her background, employment and affiliations, our board of directors has determined that each of Drs. Chen, Goeddel, Lee, Srivastava, Stehman-Breen and Williams, Ms. Parschauer and Messrs. Casdin and Walsh, representing nine of our ten directors, do not have a relationship that would interfere with the exercise of independent judgment in carrying out the responsibilities of a director and that each of these directors is an “independent director” as defined under the listing standards of Nasdaq. Mr. Ali is not considered an independent director because of his position as our Chief Executive Officer.</w:t>
      </w:r>
    </w:p>
    <w:p>
      <w:pPr>
        <w:spacing w:after="0" w:line="192"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non-employee director, and the transactions involving them described in the section titled “Related Person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director nominees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Our board of directors is currently chaired by Dr. Goeddel. As a general policy, our board of directors believes that separation of the positions of Chair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 serves as our Chief Executive Officer while Dr. Goeddel serves as the Chair of our board of directors but is not an officer. We currently expect and intend the positions of Chair of our board of directors and Chief Executive Officer to continue to be held by two individuals in the future.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w:t>
      </w:r>
    </w:p>
    <w:p>
      <w:pPr>
        <w:spacing w:after="0" w:line="192"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In addition, our board has tasked designated standing committees with oversight of certain categories of risk management. Our audit committee assists our board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Our compensation committee assesses risks relating to our executive compensation plans and arrangements, and whether our compensation policies and programs have the potential to encourage excessive risk taking. Our corporate governance and nominating committee assesses risks relating to our corporate governance practices, the independence of the board and potential conflicts of interest.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believes its current leadership structure supports the risk oversight function of the board.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Our board of directors has established the following standing committees of the board: audit committee; compensation committee; and corporate governance and nominating committee. The composition and responsibilities of each of the committees of our board of directors is described below.</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current members of our audit committee are Ms. Parschauer and Messrs. Casdin and Walsh. Mr. Walsh is the chairperson of our audit committee. Our board of directors has determined that each member of our audit committee meets the requirements for independence of audit committee members under the rules and regulations of the SEC and the listing standards of Nasdaq, and also meets the financial literacy requirements of the listing standards of Nasdaq. Our board of directors has determined that Mr. Walsh is an audit committee financial expert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the meaning of Item 407(d) of Regulation S-K. Our audit committee is responsible for, among other things:</w:t>
      </w:r>
    </w:p>
    <w:p>
      <w:pPr>
        <w:spacing w:after="0" w:line="131" w:lineRule="exact"/>
        <w:rPr>
          <w:sz w:val="20"/>
          <w:szCs w:val="20"/>
          <w:color w:val="auto"/>
        </w:rPr>
      </w:pPr>
    </w:p>
    <w:p>
      <w:pPr>
        <w:ind w:left="1080" w:right="7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selecting, retaining, compensating, evaluating, overseeing and, where appropriate, terminating our independent registered public accounting firm;</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approving the scope and plans for the audits and the audit fees and approving all non-audit and tax services to be performed by the independent auditor;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independence and qualifications of our independent registered public accounting firm;</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our financial statements, and discussing with management and our independent registered public accounting firm the results of the annual audit and the quarterly reviews;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the quality and adequacy of our internal controls and our disclosure controls and procedures;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discussing with management our procedures regarding the presentation of our financial information, and reviewing earnings press releases and guidance;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design, implementation and performance of our internal audit function, if any;</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setting hiring policies with regard to the hiring of employees and former employees of our independent auditor and overseeing compliance with such policies;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approving and monitoring related party transactions;</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auditor the adequacy and effectiveness of our legal, regulatory and ethical compliance programs;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auditor our guidelines and policies to identify, monitor and address enterprise risks.</w:t>
      </w:r>
    </w:p>
    <w:p>
      <w:pPr>
        <w:spacing w:after="0" w:line="170"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Our audit committee operates under a written charter that satisfies the applicable rules and regulations of the SEC and the listing standards of Nasdaq. A copy of the charter of our audit committee is available on our website at https://investors.tenayatherapeutics.com/corporate-governance/governance-overview. During 2021, our audit committee held four meetings.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current members of our compensation committee are Drs. Stehman-Breen and Williams and Mr. Walsh. Dr. Williams is the chairperson of our compensation committee. Our board of directors has determined that each member of our compensation committee meets the requirements for independence for compensation committee members under the rules and regulations of the SEC and the listing standards of Nasdaq. Each member of the compensation committee is also a non-employee director, as defined pursuant to Rule 16b-3 promulgated under the Exchange Act. Our compensation committee is responsible for, among other things:</w:t>
      </w:r>
    </w:p>
    <w:p>
      <w:pPr>
        <w:spacing w:after="0" w:line="93" w:lineRule="exact"/>
        <w:rPr>
          <w:sz w:val="20"/>
          <w:szCs w:val="20"/>
          <w:color w:val="auto"/>
        </w:rPr>
      </w:pPr>
    </w:p>
    <w:p>
      <w:pPr>
        <w:ind w:left="1080" w:right="6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approving or making recommendations to our board of directors regarding the compensation for our executive officers, including our chief executive officer;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approving and administering our employee benefit and equity incentive plans;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reviewing the compensation plans and programs of our employees, and ensuring that they are consistent with our general compensation strategy;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or making recommendations to our board of directors regarding the creation or revision of any clawback policy;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non-employee director compensation;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with management compensation policies and practices to determine whether any policies are reasonably likely to have a material adverse effect on us.</w:t>
      </w:r>
    </w:p>
    <w:p>
      <w:pPr>
        <w:spacing w:after="0" w:line="17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Our compensation committee operates under a written charter that satisfies the applicable rules and regulations of the SEC and the listing standards of Nasdaq. A copy of the charter of our compensation committee is available on our website at https://investors.tenayatherapeutics.com/corporate-governance/governance-overview. During 2021, our compensation committee held six meetings.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current members of our corporate governance and nominating committee are Drs. Chen, Goeddel, and Srivastava. Dr. Srivastava is the chairperson of our corporate governance and nominating committee. Our board of directors has determined that each member of our corporate governance and nominating committee meets the requirements for independence for corporate governance and nominating committee members under the listing standards of Nasdaq. Our corporate governance and nominating committee is responsible for, among other things:</w:t>
      </w:r>
    </w:p>
    <w:p>
      <w:pPr>
        <w:spacing w:after="0" w:line="77" w:lineRule="exact"/>
        <w:rPr>
          <w:sz w:val="20"/>
          <w:szCs w:val="20"/>
          <w:color w:val="auto"/>
        </w:rPr>
      </w:pPr>
    </w:p>
    <w:p>
      <w:pPr>
        <w:ind w:left="1080" w:right="8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assessing and making recommendations to our board of directors regarding desired qualifications, expertise and characteristics sought of board members;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evaluating, selecting or making recommendations to our board of directors regarding nominees for election to our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policies and procedures for considering stockholder nominees for election to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our succession planning process for our chief executive officer and any other members of our executive management team;</w:t>
      </w:r>
    </w:p>
    <w:p>
      <w:pPr>
        <w:spacing w:after="0" w:line="153" w:lineRule="exact"/>
        <w:rPr>
          <w:rFonts w:ascii="Arial" w:cs="Arial" w:eastAsia="Arial" w:hAnsi="Arial"/>
          <w:sz w:val="16"/>
          <w:szCs w:val="16"/>
          <w:color w:val="auto"/>
        </w:rPr>
      </w:pPr>
    </w:p>
    <w:p>
      <w:pPr>
        <w:ind w:left="1080" w:right="2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regarding the composition, organization and governance our board of directors and its committees;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directors regarding our corporate governance guidelines and corporate governance framework;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director orientation for new directors and continuing education for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evaluation of the performance of our board of directors and its committees; and</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monitoring compliance with our code of business conduct and ethics, and reviewing conflicts of interest of our board members and officers other than related party transactions reviewed by our audit committee.</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corporate governance and nominating committee operates under a written charter that satisfies the applicable listing standards of Nasdaq. A copy of the charter of our corporate governance and nominating committee is available on our website at https://investors.tenayatherapeutics.com/corporate-governance/governance-overview. During 2021, our corporate governance and nominating committee held one meeting.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Attendance at Board and Stockholders Meetings</w:t>
      </w:r>
    </w:p>
    <w:p>
      <w:pPr>
        <w:spacing w:after="0" w:line="12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During our fiscal year ended December 31, 2021, our board of directors held four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the annual meetings of stockholders, we encourage, but do not require, directors to attend. This annual meeting will be our first annual meeting of our stockholders.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During 2021, the members of our compensation committee were Drs. Stehman-Breen and Williams and Mr. Walsh. 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corporate governance and nominating committee uses a variety of methods for identifying and evaluating potential director nominees. In its evaluation of director candidates, including the current directors eligible for re-election, our corporate governance and nominating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corporate governance and nominating committee considers in assessing director nominee qualifications include, without limitation, issues of character, professional ethics and integrity, judgment, business experience and diversity, and with respect to diversity, such factors as race, ethnicity, gender, differences in professional background,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 should be a diverse body, and the corporate governance and nominating committee considers a broad range of perspectives, backgrounds and experiences.</w:t>
      </w:r>
    </w:p>
    <w:p>
      <w:pPr>
        <w:spacing w:after="0" w:line="18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 our corporate governance and nominating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After completing its review and evaluation of director candidates, our corporate governance and nominating committee recommends to our full board of directors the director nominees for selection. Our corporate governance and nominating committee has discretion to decide which individuals to recommend for nomination as directors and our board of directors has the final authority in determining the selection of director candidates for nomination to our board.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Recommendations and Nominations to our Board of Directors</w:t>
      </w:r>
    </w:p>
    <w:p>
      <w:pPr>
        <w:spacing w:after="0" w:line="12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Our corporate governance and nominating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Bylaws, all applicable company policies and all applicable laws, rules and regulations, including those promulgated by the SEC. Our corporate governance and nominating committee will evaluate such recommendations in accordance with its charter, our Bylaws and corporate governance guidelines and the director nominee criteria described above.</w:t>
      </w: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 stockholder who wants to recommend a candidate to our board of directors should direct the recommendation in writing by letter to our corporate secretary at Tenaya Therapeutics, Inc., 171 Oyster Point Boulevard, 5th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Floor, South San Francisco, CA 94080,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stockholder(s) in support of the candidate. Our corporate governance and nominating committee has discretion to decide which individuals to recommend for nomination as directors.</w:t>
      </w:r>
    </w:p>
    <w:p>
      <w:pPr>
        <w:spacing w:after="0" w:line="17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Under our Bylaws, stockholders may also directly nominate persons for our board of directors. Any nomination must comply with the requirements set forth in our Bylaws and the rules and regulations of the SEC and should be sent in writing to our corporate secretary at the address above. To be timely for our 2023 annual meeting of stockholders, nominations must be received by our corporate secretary observing the deadlines discussed above under “</w:t>
      </w:r>
      <w:r>
        <w:rPr>
          <w:rFonts w:ascii="Arial" w:cs="Arial" w:eastAsia="Arial" w:hAnsi="Arial"/>
          <w:sz w:val="18"/>
          <w:szCs w:val="18"/>
          <w:i w:val="1"/>
          <w:iCs w:val="1"/>
          <w:color w:val="auto"/>
        </w:rPr>
        <w:t>Questions and Answers About The Proxy Materials—What is the deadline to propose actions for consideration at next year’s annual meeting of</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 or to nominate individuals to serve as directors?</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Stockholders and other interested parties wishing to communicate directly with our non-management directors, may do so by writing and sending the correspondence to our corporate secretary by mail to our principal executive offices at 171 Oyster Point Boulevard, 5th Floor, South San Francisco, CA 94080, Attention: Corporate Secretary. Our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corporate secretary will route such communications to the appropriate director(s) or, if none is specified, then to the chairperson of the board. These policies and procedures do not apply to</w:t>
      </w:r>
    </w:p>
    <w:p>
      <w:pPr>
        <w:spacing w:after="0" w:line="2" w:lineRule="exact"/>
        <w:rPr>
          <w:sz w:val="20"/>
          <w:szCs w:val="20"/>
          <w:color w:val="auto"/>
        </w:rPr>
      </w:pPr>
    </w:p>
    <w:p>
      <w:pPr>
        <w:ind w:left="120" w:right="180" w:hanging="4"/>
        <w:spacing w:after="0" w:line="255" w:lineRule="auto"/>
        <w:tabs>
          <w:tab w:leader="none" w:pos="3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communications to non-management directors from our officers or directors who are stockholders, (b) stockholder proposals submitted pursuant to Rule 14a-8 under the Exchange Act, or (c) communications to our audit committee pursuant to our complaint procedures for accounting and audit matters.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Prohibiting Hedging or Pledging of Securities</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w:t>
      </w:r>
    </w:p>
    <w:p>
      <w:pPr>
        <w:spacing w:after="0" w:line="2" w:lineRule="exact"/>
        <w:rPr>
          <w:sz w:val="20"/>
          <w:szCs w:val="20"/>
          <w:color w:val="auto"/>
        </w:rPr>
      </w:pPr>
    </w:p>
    <w:p>
      <w:pPr>
        <w:jc w:val="both"/>
        <w:ind w:left="120" w:right="40" w:hanging="4"/>
        <w:spacing w:after="0" w:line="253" w:lineRule="auto"/>
        <w:tabs>
          <w:tab w:leader="none" w:pos="3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and Code of Business Conduct and Ethics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qualifications and responsibilities of our directors and director candidates,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are available on our website at https://investors.tenayatherapeutics.com/corporate-governance/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governance-overview. We will post amendments to our code of business conduct and ethics or any waivers of our code of business conduct and ethics for directors and executive officers on the same website.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corporate governance and nominating committee is committed to continuing to identify and recruit highly qualified director candidates with diverse experiences, perspectives, and backgrounds to join our board of directors. The table below provides certain information regarding the composition of our board of directors. As shown below in the board diversity matrix, the Company is currently in compliance with the diversity requirements of Nasdaq Rule 5605(f) and Sections 301.3 and 301.4 of the California Corporations Code.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Board Diversity Matrix</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(as of December 31, 2021)</w:t>
      </w:r>
    </w:p>
    <w:p>
      <w:pPr>
        <w:spacing w:after="0" w:line="8"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5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Number of Directors</w:t>
            </w:r>
          </w:p>
        </w:tc>
        <w:tc>
          <w:tcPr>
            <w:tcW w:w="60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Female</w:t>
            </w:r>
          </w:p>
        </w:tc>
        <w:tc>
          <w:tcPr>
            <w:tcW w:w="5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Male</w:t>
            </w:r>
          </w:p>
        </w:tc>
        <w:tc>
          <w:tcPr>
            <w:tcW w:w="0" w:type="dxa"/>
            <w:vAlign w:val="bottom"/>
          </w:tcPr>
          <w:p>
            <w:pPr>
              <w:spacing w:after="0"/>
              <w:rPr>
                <w:sz w:val="1"/>
                <w:szCs w:val="1"/>
                <w:color w:val="auto"/>
              </w:rPr>
            </w:pPr>
          </w:p>
        </w:tc>
      </w:tr>
      <w:tr>
        <w:trPr>
          <w:trHeight w:val="128"/>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Part I: Gender Identity</w:t>
            </w:r>
          </w:p>
        </w:tc>
        <w:tc>
          <w:tcPr>
            <w:tcW w:w="60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5980" w:type="dxa"/>
            <w:vAlign w:val="bottom"/>
            <w:vMerge w:val="continue"/>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98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0"/>
        </w:trPr>
        <w:tc>
          <w:tcPr>
            <w:tcW w:w="5980" w:type="dxa"/>
            <w:vAlign w:val="bottom"/>
          </w:tcPr>
          <w:p>
            <w:pPr>
              <w:spacing w:after="0"/>
              <w:rPr>
                <w:sz w:val="20"/>
                <w:szCs w:val="20"/>
                <w:color w:val="auto"/>
              </w:rPr>
            </w:pPr>
            <w:r>
              <w:rPr>
                <w:rFonts w:ascii="Arial" w:cs="Arial" w:eastAsia="Arial" w:hAnsi="Arial"/>
                <w:sz w:val="18"/>
                <w:szCs w:val="18"/>
                <w:b w:val="1"/>
                <w:bCs w:val="1"/>
                <w:color w:val="auto"/>
              </w:rPr>
              <w:t>Part II: Demographic Background</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Asian</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Arial" w:cs="Arial" w:eastAsia="Arial" w:hAnsi="Arial"/>
                <w:sz w:val="18"/>
                <w:szCs w:val="18"/>
                <w:color w:val="auto"/>
              </w:rPr>
              <w:t>White</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 our Outside Director Compensation Policy, non-employee directors receive compensation in the form of cash and equity, as described below. We also reimburse our non-employee directors for expenses incurred in connection with attending board and committee meetings, as well as continuing director education.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Outside Director Compensation Policy provides for each non-employee director to be paid an annual cash retainer of $35,000. In addition, each non-employee director who serves as a chair or chair or member of a committee will be entitled to receive the following cash compensation for his or her services:</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$30,000 per year for service as non-executive chair of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$20,000 per year for service as a lead independent director;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$15,000 per year for service as chair of the audit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$8,000 per year for service as chair of the corporate governance and nominating committee;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$4,000 per year for service as a member of the corporate governance and nominating committee.</w:t>
      </w:r>
    </w:p>
    <w:p>
      <w:pPr>
        <w:spacing w:after="0" w:line="225"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i w:val="1"/>
          <w:iCs w:val="1"/>
          <w:color w:val="auto"/>
        </w:rPr>
        <w:t>Initial Award</w:t>
      </w:r>
      <w:r>
        <w:rPr>
          <w:rFonts w:ascii="Arial" w:cs="Arial" w:eastAsia="Arial" w:hAnsi="Arial"/>
          <w:sz w:val="17"/>
          <w:szCs w:val="17"/>
          <w:color w:val="auto"/>
        </w:rPr>
        <w:t>. Pursuant to our Outside Director Compensation Policy, each person who first becomes a non-employee director after the effective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policy will receive, on the first trading day on or after the date that the person first becomes a non-employee director, an initial award, or the Initial Award, of stock options to purchase shares of our common stock with a grant date fair value as determined in accordance with U.S. GAAP equal to $320,000.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7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Pursuant to our Outside Director Compensation Policy, each non-employee director who has served continuously as an outside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for no less than 6 months as of the date of the annual meeting of our stockholders will automatically receive, on the first trading day immediately after the date of each annual meeting of our stockholders that occurs following the effective date of our Outside Director Compensation Policy, an annual award, or the Annual Award, of stock options to purchase shares of our common stock with a grant date fair value as determined in accordance with U.S. GAAP equal to $160,000. Each Annual Award will be scheduled to vest in full upon the first anniversary of the date of the grant, or if earlier, the day immediately before the date of the next annual meeting that occurs after the Annual Award’s grant date, subject to the outside director remaining a service provider through the applicable vesting date.</w:t>
      </w:r>
    </w:p>
    <w:p>
      <w:pPr>
        <w:spacing w:after="0" w:line="19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in our 2021 Equity Incentive Plan, each non-employee director’s then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awards covering shares of our common stock will accelerate vesting in full, provided that he or she remains a non-employee director through the date of our change in control.</w:t>
      </w:r>
    </w:p>
    <w:p>
      <w:pPr>
        <w:spacing w:after="0" w:line="184"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2021 Equity Incentive Plan (or its successor plan, as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6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i w:val="1"/>
          <w:iCs w:val="1"/>
          <w:color w:val="auto"/>
        </w:rPr>
        <w:t>Director Compensation Limits</w:t>
      </w:r>
      <w:r>
        <w:rPr>
          <w:rFonts w:ascii="Arial" w:cs="Arial" w:eastAsia="Arial" w:hAnsi="Arial"/>
          <w:sz w:val="17"/>
          <w:szCs w:val="17"/>
          <w:color w:val="auto"/>
        </w:rPr>
        <w:t>. Our Outside Director Compensation Policy provides that in any fiscal year, a non-employee director may be paid cash</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granted equity awards with an aggregate value of no more than $500,000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 for Fiscal 2021</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following table sets forth information regarding the total compensation awarded to, earned by or paid to our non-employee directors for their service on our board of directors, for the fiscal year ended December 31, 2021. Directors who are also our employees receive no additional compensation for their service as directors. During 2021, Mr. Ali was an employee and executive officer of the company and therefore, did not receive compensation as a director. See “</w:t>
      </w:r>
      <w:r>
        <w:rPr>
          <w:rFonts w:ascii="Arial" w:cs="Arial" w:eastAsia="Arial" w:hAnsi="Arial"/>
          <w:sz w:val="17"/>
          <w:szCs w:val="17"/>
          <w:i w:val="1"/>
          <w:iCs w:val="1"/>
          <w:color w:val="auto"/>
        </w:rPr>
        <w:t>Executive Compensation</w:t>
      </w:r>
      <w:r>
        <w:rPr>
          <w:rFonts w:ascii="Arial" w:cs="Arial" w:eastAsia="Arial" w:hAnsi="Arial"/>
          <w:sz w:val="17"/>
          <w:szCs w:val="17"/>
          <w:color w:val="auto"/>
        </w:rPr>
        <w:t>” for additional information regarding Mr. Ali’s compensation.</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Fees Paid or</w:t>
            </w: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Earned in</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6180" w:type="dxa"/>
            <w:vAlign w:val="bottom"/>
            <w:gridSpan w:val="2"/>
            <w:vMerge w:val="continue"/>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Cash ($)</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 Casdin, M.B.A.</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17,937</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Jin-Long Chen, Ph.D.</w:t>
            </w:r>
          </w:p>
        </w:tc>
        <w:tc>
          <w:tcPr>
            <w:tcW w:w="800" w:type="dxa"/>
            <w:vAlign w:val="bottom"/>
          </w:tcPr>
          <w:p>
            <w:pPr>
              <w:jc w:val="right"/>
              <w:spacing w:after="0"/>
              <w:rPr>
                <w:sz w:val="20"/>
                <w:szCs w:val="20"/>
                <w:color w:val="auto"/>
              </w:rPr>
            </w:pPr>
            <w:r>
              <w:rPr>
                <w:rFonts w:ascii="Arial" w:cs="Arial" w:eastAsia="Arial" w:hAnsi="Arial"/>
                <w:sz w:val="18"/>
                <w:szCs w:val="18"/>
                <w:color w:val="auto"/>
              </w:rPr>
              <w:t>16,460</w:t>
            </w:r>
          </w:p>
        </w:tc>
        <w:tc>
          <w:tcPr>
            <w:tcW w:w="4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Goeddel, Ph.D.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JeenJoo Kang, Ph.D.(2)</w:t>
            </w:r>
          </w:p>
        </w:tc>
        <w:tc>
          <w:tcPr>
            <w:tcW w:w="800" w:type="dxa"/>
            <w:vAlign w:val="bottom"/>
          </w:tcPr>
          <w:p>
            <w:pPr>
              <w:jc w:val="right"/>
              <w:spacing w:after="0"/>
              <w:rPr>
                <w:sz w:val="20"/>
                <w:szCs w:val="20"/>
                <w:color w:val="auto"/>
              </w:rPr>
            </w:pPr>
            <w:r>
              <w:rPr>
                <w:rFonts w:ascii="Arial" w:cs="Arial" w:eastAsia="Arial" w:hAnsi="Arial"/>
                <w:sz w:val="18"/>
                <w:szCs w:val="18"/>
                <w:color w:val="auto"/>
              </w:rPr>
              <w:t>11,881</w:t>
            </w:r>
          </w:p>
        </w:tc>
        <w:tc>
          <w:tcPr>
            <w:tcW w:w="4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Karah Parschauer, J.D.(3)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315,242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Catherine Stehman-Breen, M.D.</w:t>
            </w:r>
          </w:p>
        </w:tc>
        <w:tc>
          <w:tcPr>
            <w:tcW w:w="800" w:type="dxa"/>
            <w:vAlign w:val="bottom"/>
          </w:tcPr>
          <w:p>
            <w:pPr>
              <w:jc w:val="right"/>
              <w:spacing w:after="0"/>
              <w:rPr>
                <w:sz w:val="20"/>
                <w:szCs w:val="20"/>
                <w:color w:val="auto"/>
              </w:rPr>
            </w:pPr>
            <w:r>
              <w:rPr>
                <w:rFonts w:ascii="Arial" w:cs="Arial" w:eastAsia="Arial" w:hAnsi="Arial"/>
                <w:sz w:val="18"/>
                <w:szCs w:val="18"/>
                <w:color w:val="auto"/>
              </w:rPr>
              <w:t>16,882</w:t>
            </w:r>
          </w:p>
        </w:tc>
        <w:tc>
          <w:tcPr>
            <w:tcW w:w="4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Lee, M.D.(4)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311,923</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Deepak Srivastava, M.D.</w:t>
            </w:r>
          </w:p>
        </w:tc>
        <w:tc>
          <w:tcPr>
            <w:tcW w:w="800" w:type="dxa"/>
            <w:vAlign w:val="bottom"/>
          </w:tcPr>
          <w:p>
            <w:pPr>
              <w:jc w:val="right"/>
              <w:spacing w:after="0"/>
              <w:rPr>
                <w:sz w:val="20"/>
                <w:szCs w:val="20"/>
                <w:color w:val="auto"/>
              </w:rPr>
            </w:pPr>
            <w:r>
              <w:rPr>
                <w:rFonts w:ascii="Arial" w:cs="Arial" w:eastAsia="Arial" w:hAnsi="Arial"/>
                <w:sz w:val="18"/>
                <w:szCs w:val="18"/>
                <w:color w:val="auto"/>
              </w:rPr>
              <w:t>18,148</w:t>
            </w:r>
          </w:p>
        </w:tc>
        <w:tc>
          <w:tcPr>
            <w:tcW w:w="4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89,600</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 Sanders Williams, M.D.</w:t>
            </w:r>
          </w:p>
        </w:tc>
        <w:tc>
          <w:tcPr>
            <w:tcW w:w="800" w:type="dxa"/>
            <w:vAlign w:val="bottom"/>
          </w:tcPr>
          <w:p>
            <w:pPr>
              <w:jc w:val="right"/>
              <w:spacing w:after="0"/>
              <w:rPr>
                <w:sz w:val="20"/>
                <w:szCs w:val="20"/>
                <w:color w:val="auto"/>
              </w:rPr>
            </w:pPr>
            <w:r>
              <w:rPr>
                <w:rFonts w:ascii="Arial" w:cs="Arial" w:eastAsia="Arial" w:hAnsi="Arial"/>
                <w:sz w:val="18"/>
                <w:szCs w:val="18"/>
                <w:color w:val="auto"/>
              </w:rPr>
              <w:t>18,992</w:t>
            </w:r>
          </w:p>
        </w:tc>
        <w:tc>
          <w:tcPr>
            <w:tcW w:w="42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18,992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5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column reflects the aggregate grant date fair value of option awards granted to the directors in the applicable fiscal year, computed in accordance with Financial Accounting Standards Board (FASB), Accounting Standards Codification Topic 718 (ASC 718). See Note 2 to our financial statements for the year ended December 31, 2021 included in our Annual Report on Form 10-K for the year ended December 31, 2021 filed with the SEC on March 23, 2022 for a discussion of the assumptions made by us in determining the grant date fair value of our equity awards. Our directors will only realize compensation to the extent the trading price of our common stock is greater than the exercise price of such stock options.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JeenJoo Kang, Ph.D., resigned from our board of directors on November 17,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Karah Parschauer, J.D., joined our board of directors on December 22,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June Lee, M.D., joined our board of directors on November 19,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lists all outstanding equity awards held by non-employee directors as of December 31, 2021:</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Number of</w:t>
            </w: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Date of</w:t>
            </w:r>
          </w:p>
        </w:tc>
        <w:tc>
          <w:tcPr>
            <w:tcW w:w="1820" w:type="dxa"/>
            <w:vAlign w:val="bottom"/>
            <w:gridSpan w:val="2"/>
            <w:vMerge w:val="continue"/>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vMerge w:val="continue"/>
          </w:tcPr>
          <w:p>
            <w:pPr>
              <w:spacing w:after="0"/>
              <w:rPr>
                <w:sz w:val="12"/>
                <w:szCs w:val="12"/>
                <w:color w:val="auto"/>
              </w:rPr>
            </w:pPr>
          </w:p>
        </w:tc>
        <w:tc>
          <w:tcPr>
            <w:tcW w:w="18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Shares Underlying</w:t>
            </w: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Grant</w:t>
            </w: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Outstanding 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9"/>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Eli Casdin, M.B.A.</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Jin-Long Chen, Ph.D.</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12/06/2019</w:t>
            </w: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5,000</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12/05/2029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Goeddel, Ph.D.</w:t>
            </w:r>
          </w:p>
        </w:tc>
        <w:tc>
          <w:tcPr>
            <w:tcW w:w="1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Karah Parschauer, J.D.</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12/22/2021</w:t>
            </w: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19,495</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20.99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12/21/2031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Catherine Stehman-Breen, M.D.</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06/17/2020</w:t>
            </w: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21,875</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06/16/2030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June Lee, M.D.</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11/19/2021</w:t>
            </w: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18,937</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21.65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11/18/2031</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Deepak Srivastava, M.D.</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12/06/2019</w:t>
            </w: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37,500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12/05/2029</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Jeffrey T. Walsh, M.B.A.</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03/10/2020</w:t>
            </w: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30,000</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2.70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03/09/2030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06/17/2021</w:t>
            </w: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06/16/2031</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R. Sanders Williams, M.D.</w:t>
            </w:r>
          </w:p>
        </w:tc>
        <w:tc>
          <w:tcPr>
            <w:tcW w:w="14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ind w:right="453"/>
              <w:spacing w:after="0"/>
              <w:rPr>
                <w:sz w:val="20"/>
                <w:szCs w:val="20"/>
                <w:color w:val="auto"/>
              </w:rPr>
            </w:pPr>
            <w:r>
              <w:rPr>
                <w:rFonts w:ascii="Arial" w:cs="Arial" w:eastAsia="Arial" w:hAnsi="Arial"/>
                <w:sz w:val="18"/>
                <w:szCs w:val="18"/>
                <w:color w:val="auto"/>
                <w:w w:val="99"/>
              </w:rPr>
              <w:t>-21-</w:t>
            </w: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CLASS I DIRECTORS</w:t>
      </w:r>
    </w:p>
    <w:p>
      <w:pPr>
        <w:spacing w:after="0" w:line="2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Our board of directors currently consists of ten members. In accordance with our amended and restated certificate of incorporation, our board of directors is divided into three classes with staggered three-year terms. At the annual meeting, four Class 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corporate governance and nominating committee has recommended, and our board of directors has approved, David Goeddel, Ph.D., Karah Parschauer, J.D., Jeffrey T. Walsh, M.B.A., and R. Sanders Williams, M.D., as nominees for election as Class I directors at the annual meeting. If elected, each of Drs. Goeddel and Williams, Ms. Parschauer, and Mr. Walsh will serve as a Class I director until the 2025 annual meeting of stockholders and until his or her respective successor is elected and qualified or until his or her earlier death, resignation or removal. For more information concerning the nominees, please see the section titled “</w:t>
      </w:r>
      <w:r>
        <w:rPr>
          <w:rFonts w:ascii="Arial" w:cs="Arial" w:eastAsia="Arial" w:hAnsi="Arial"/>
          <w:sz w:val="17"/>
          <w:szCs w:val="17"/>
          <w:i w:val="1"/>
          <w:iCs w:val="1"/>
          <w:color w:val="auto"/>
        </w:rPr>
        <w:t>Board of Directors and Corporate Governance</w:t>
      </w:r>
      <w:r>
        <w:rPr>
          <w:rFonts w:ascii="Arial" w:cs="Arial" w:eastAsia="Arial" w:hAnsi="Arial"/>
          <w:sz w:val="17"/>
          <w:szCs w:val="17"/>
          <w:color w:val="auto"/>
        </w:rPr>
        <w:t>.”</w:t>
      </w:r>
    </w:p>
    <w:p>
      <w:pPr>
        <w:spacing w:after="0" w:line="176"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Each of Drs. Goeddel and Williams, Ms. Parschauer, and Mr. Walsh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Each director is elected by a plurality of the voting power of the shares present in person (including virtually) or represented by proxy at the meeting and entitled to vote on the election of directors.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Recommendation</w:t>
      </w:r>
    </w:p>
    <w:p>
      <w:pPr>
        <w:spacing w:after="0" w:line="200" w:lineRule="exact"/>
        <w:rPr>
          <w:sz w:val="20"/>
          <w:szCs w:val="20"/>
          <w:color w:val="auto"/>
        </w:rPr>
      </w:pPr>
    </w:p>
    <w:p>
      <w:pPr>
        <w:spacing w:after="0" w:line="241" w:lineRule="exact"/>
        <w:rPr>
          <w:sz w:val="20"/>
          <w:szCs w:val="20"/>
          <w:color w:val="auto"/>
        </w:rPr>
      </w:pPr>
    </w:p>
    <w:p>
      <w:pPr>
        <w:jc w:val="center"/>
        <w:ind w:left="440" w:right="20"/>
        <w:spacing w:after="0" w:line="282" w:lineRule="auto"/>
        <w:rPr>
          <w:sz w:val="20"/>
          <w:szCs w:val="20"/>
          <w:color w:val="auto"/>
        </w:rPr>
      </w:pPr>
      <w:r>
        <w:rPr>
          <w:rFonts w:ascii="Arial" w:cs="Arial" w:eastAsia="Arial" w:hAnsi="Arial"/>
          <w:sz w:val="18"/>
          <w:szCs w:val="18"/>
          <w:b w:val="1"/>
          <w:bCs w:val="1"/>
          <w:color w:val="auto"/>
        </w:rPr>
        <w:t>OUR BOARD OF DIRECTORS RECOMMENDS A VOTE “FOR” THE ELECTION OF EACH OF THE DIRECTOR NOMINEES NAMED ABOVE.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PROPOSAL NO. 2</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audit committee has appointed Deloitte &amp; Touche LLP as our independent registered public accounting firm to audit our financial statements for our fiscal year ending December 31, 2022. Deloitte &amp; Touche LLP served as our independent registered public accounting firm for the fiscal year ended December 31, 2021.</w:t>
      </w:r>
    </w:p>
    <w:p>
      <w:pPr>
        <w:spacing w:after="0" w:line="18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At the annual meeting, we are asking our stockholders to ratify the appointment of Deloitte &amp; Touche LLP as our independent registered public accounting firm for our fiscal year ending December 31, 2022. Our audit committee is submitting the appointment of Deloitte &amp; Touche LLP to our stockholders because we value our stockholders’ views on our independent registered public accounting firm and as a matter of good corporate governance. Notwithstanding the appointment of Deloitte &amp; Touche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Deloitte &amp; Touche LLP, then our audit committee may reconsider the appointment. One or more representatives of Deloitte &amp; Touche LLP are expected to be present at the annual meeting, and they will have an opportunity to make a statement and are expected to be available to respond to appropriate questions from our stockholders.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Deloitte &amp; Touche LLP for our fiscal years ended December 31, 2021, and 2020.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280" w:type="dxa"/>
            <w:vAlign w:val="bottom"/>
            <w:gridSpan w:val="2"/>
          </w:tcPr>
          <w:p>
            <w:pPr>
              <w:jc w:val="center"/>
              <w:ind w:left="2359"/>
              <w:spacing w:after="0"/>
              <w:rPr>
                <w:sz w:val="20"/>
                <w:szCs w:val="20"/>
                <w:color w:val="auto"/>
              </w:rPr>
            </w:pPr>
            <w:r>
              <w:rPr>
                <w:rFonts w:ascii="Arial" w:cs="Arial" w:eastAsia="Arial" w:hAnsi="Arial"/>
                <w:sz w:val="14"/>
                <w:szCs w:val="14"/>
                <w:b w:val="1"/>
                <w:bCs w:val="1"/>
                <w:color w:val="auto"/>
                <w:w w:val="89"/>
              </w:rPr>
              <w:t>2021</w:t>
            </w:r>
          </w:p>
        </w:tc>
        <w:tc>
          <w:tcPr>
            <w:tcW w:w="4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$ 1,547,870</w:t>
            </w:r>
          </w:p>
        </w:tc>
        <w:tc>
          <w:tcPr>
            <w:tcW w:w="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$ 543,545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Audit-Related Fees</w:t>
            </w:r>
          </w:p>
        </w:tc>
        <w:tc>
          <w:tcPr>
            <w:tcW w:w="244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All Other Fees</w:t>
            </w:r>
          </w:p>
        </w:tc>
        <w:tc>
          <w:tcPr>
            <w:tcW w:w="24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3740" w:type="dxa"/>
            <w:vAlign w:val="bottom"/>
            <w:gridSpan w:val="3"/>
            <w:shd w:val="clear" w:color="auto" w:fill="CCEEFF"/>
          </w:tcPr>
          <w:p>
            <w:pPr>
              <w:jc w:val="center"/>
              <w:ind w:left="1899"/>
              <w:spacing w:after="0"/>
              <w:rPr>
                <w:sz w:val="20"/>
                <w:szCs w:val="20"/>
                <w:color w:val="auto"/>
              </w:rPr>
            </w:pPr>
            <w:r>
              <w:rPr>
                <w:rFonts w:ascii="Arial" w:cs="Arial" w:eastAsia="Arial" w:hAnsi="Arial"/>
                <w:sz w:val="18"/>
                <w:szCs w:val="18"/>
                <w:color w:val="auto"/>
                <w:w w:val="88"/>
              </w:rPr>
              <w:t>$ 1,547,870</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$ 543,545</w:t>
            </w:r>
          </w:p>
        </w:tc>
      </w:tr>
      <w:tr>
        <w:trPr>
          <w:trHeight w:val="20"/>
        </w:trPr>
        <w:tc>
          <w:tcPr>
            <w:tcW w:w="3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40" w:hanging="424"/>
        <w:spacing w:after="0" w:line="259"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rendered for the audit of our consolidated financial statements and review of the interim financial statements included in quarterly reports and services that are normally provided by Deloitte &amp; Touche LLP in connection with statutory and regulatory filings and other engagements such as consents and review of documents filed with the SEC. The fees for 2021 include services associated with our initial public offering in August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2021, there were no other professional services provided by Deloitte &amp; Touche LLP, other than those listed above, that would have required our audit committee to consider their compatibility with maintaining the independence of Deloitte &amp; Touche LLP.</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Audit Committee Policy on Pre-Approval of Audit and Permissible Non-Audit Services of Independent Registered Public Accounting Firm</w:t>
      </w:r>
    </w:p>
    <w:p>
      <w:pPr>
        <w:spacing w:after="0" w:line="14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such accounting firm’s independence. All services provided by Deloitte &amp; Touche LLP for our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fiscal year ended December 31, 2020, were approved by our board of directors, and following adoption of our pre-approval policy in June 2021, all fees paid to Deloitte &amp; Touche LLP for our fiscal year ended December 31, 2021, were pre-approved by our audit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ratification of the appointment of Deloitte &amp; Touche LLP as our independent registered public accounting firm for our fiscal year ending</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December 31, 2022, requires the affirmative vote of a majority of the voting power of the shares present in person (including virtually) or represented by proxy at the annual meeting and entitled to vote thereon. Abstentions will have the same effect as a vote AGAINST this proposal.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Recommendation</w:t>
      </w:r>
    </w:p>
    <w:p>
      <w:pPr>
        <w:spacing w:after="0" w:line="200" w:lineRule="exact"/>
        <w:rPr>
          <w:sz w:val="20"/>
          <w:szCs w:val="20"/>
          <w:color w:val="auto"/>
        </w:rPr>
      </w:pPr>
    </w:p>
    <w:p>
      <w:pPr>
        <w:spacing w:after="0" w:line="241" w:lineRule="exact"/>
        <w:rPr>
          <w:sz w:val="20"/>
          <w:szCs w:val="20"/>
          <w:color w:val="auto"/>
        </w:rPr>
      </w:pPr>
    </w:p>
    <w:p>
      <w:pPr>
        <w:jc w:val="center"/>
        <w:ind w:left="440" w:right="200"/>
        <w:spacing w:after="0" w:line="266" w:lineRule="auto"/>
        <w:rPr>
          <w:sz w:val="20"/>
          <w:szCs w:val="20"/>
          <w:color w:val="auto"/>
        </w:rPr>
      </w:pPr>
      <w:r>
        <w:rPr>
          <w:rFonts w:ascii="Arial" w:cs="Arial" w:eastAsia="Arial" w:hAnsi="Arial"/>
          <w:sz w:val="18"/>
          <w:szCs w:val="18"/>
          <w:b w:val="1"/>
          <w:bCs w:val="1"/>
          <w:color w:val="auto"/>
        </w:rPr>
        <w:t>OUR BOARD OF DIRECTORS RECOMMENDS A VOTE “FOR” THE RATIFICATION OF THE APPOINTMENT OF DELOITTE &amp; TOUCHE LLP AS OUR INDEPENDENT REGISTERED PUBLIC ACCOUNTING FIRM FOR OUR FISCAL YEAR ENDING DECEMBER 31, 2022.</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audit committee is a committee of the board of directors comprised solely of independent directors as required by the listing standards of the Nasdaq Stock Market LLC and the rules and regulations of the Securities and Exchange Commission (the SEC). The composition of the audit committee, the attributes of its members and the responsibilities of the audit committee, as reflected in its charter, are intended to be in accordance with applicable requirements for corporate audit committees. The audit committee operates under a written charter approved by the board of directors, which is available on our website at https://investors.tenayatherapeutics.com/corporate-governance/governance-overview. The audit committee reviews and assesses the adequacy of its charter and the audit committee’s performance on an annual basis.</w:t>
      </w:r>
    </w:p>
    <w:p>
      <w:pPr>
        <w:spacing w:after="0" w:line="17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With respect to the Company’s financial reporting process, the Company’s management is responsible for (1) establishing and maintaining internal controls and (2) preparing the Company’s financial statements. The Company’s independent registered public accounting firm, Deloitte &amp; Touche LLP (Deloitte), is responsible for performing an independent audit of the Company’s financial statements. It is the responsibility of the audit committee to oversee these activities. It is not the responsibility of the audit committee to prepare the Company’s financial statements. These are the fundamental responsibilities of management.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performance of its oversight function, the audit committee has:</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Deloitte;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discussed with Deloitte the matters required to be discussed by the applicable requirements of the Public Company Accounting Oversight Board (PCAOB) and the SEC; and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Deloitte required by applicable requirements of the PCAOB regarding the independent accountant’s communications with the audit committee concerning independence and has discussed with Deloitte its independence.</w:t>
      </w:r>
    </w:p>
    <w:p>
      <w:pPr>
        <w:spacing w:after="0" w:line="12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Based on the audit committee’s review and discussions with management and Deloitte, the audit committee recommended to the board of directors that the audited financial statements be included in the Company’s Annual Report on Form 10-K for the fiscal year ended December 31, 2021 for filing with the SEC.</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Jeffrey T. Walsh (Chair)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 Casdin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Karah Parschauer</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Exchange Act, except to the extent the Company specifically requests that the information be treated as “soliciting material” or specifically incorporates it by reference.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about our executive officers as of March 31, 2022.</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tcPr>
          <w:p>
            <w:pPr>
              <w:ind w:left="19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Faraz Ali, M.B.A.</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Leone D. Patterson, M.B.A.</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4440" w:type="dxa"/>
            <w:vAlign w:val="bottom"/>
          </w:tcPr>
          <w:p>
            <w:pPr>
              <w:spacing w:after="0"/>
              <w:rPr>
                <w:sz w:val="20"/>
                <w:szCs w:val="20"/>
                <w:color w:val="auto"/>
              </w:rPr>
            </w:pPr>
            <w:r>
              <w:rPr>
                <w:rFonts w:ascii="Arial" w:cs="Arial" w:eastAsia="Arial" w:hAnsi="Arial"/>
                <w:sz w:val="18"/>
                <w:szCs w:val="18"/>
                <w:color w:val="auto"/>
              </w:rPr>
              <w:t>Chief Financial and Business Officer</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Hoey, Ph.D.</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Whittemore (Whit) Tingley, M.D., Ph.D.</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4440" w:type="dxa"/>
            <w:vAlign w:val="bottom"/>
          </w:tcPr>
          <w:p>
            <w:pPr>
              <w:spacing w:after="0"/>
              <w:rPr>
                <w:sz w:val="20"/>
                <w:szCs w:val="20"/>
                <w:color w:val="auto"/>
              </w:rPr>
            </w:pPr>
            <w:r>
              <w:rPr>
                <w:rFonts w:ascii="Arial" w:cs="Arial" w:eastAsia="Arial" w:hAnsi="Arial"/>
                <w:sz w:val="18"/>
                <w:szCs w:val="18"/>
                <w:color w:val="auto"/>
              </w:rPr>
              <w:t>Chief Medical Officer</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biography of Mr. Ali, please see “</w:t>
      </w:r>
      <w:r>
        <w:rPr>
          <w:rFonts w:ascii="Arial" w:cs="Arial" w:eastAsia="Arial" w:hAnsi="Arial"/>
          <w:sz w:val="18"/>
          <w:szCs w:val="18"/>
          <w:i w:val="1"/>
          <w:iCs w:val="1"/>
          <w:color w:val="auto"/>
        </w:rPr>
        <w:t>Board of Directors and Corporate Governance—Continuing Directors</w:t>
      </w:r>
      <w:r>
        <w:rPr>
          <w:rFonts w:ascii="Arial" w:cs="Arial" w:eastAsia="Arial" w:hAnsi="Arial"/>
          <w:sz w:val="18"/>
          <w:szCs w:val="18"/>
          <w:color w:val="auto"/>
        </w:rPr>
        <w:t>.”</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i w:val="1"/>
          <w:iCs w:val="1"/>
          <w:color w:val="auto"/>
        </w:rPr>
        <w:t>Leone D. Patterson, M.B.A.</w:t>
      </w:r>
      <w:r>
        <w:rPr>
          <w:rFonts w:ascii="Arial" w:cs="Arial" w:eastAsia="Arial" w:hAnsi="Arial"/>
          <w:sz w:val="17"/>
          <w:szCs w:val="17"/>
          <w:color w:val="auto"/>
        </w:rPr>
        <w:t>, began serving as our Chief Financial and Business Officer in June 2021. Prior to joining us, Ms. Patterson joined Adverum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Biotechnologies, Inc., a public clinical-stage gene therapy company, in June 2016 as the Chief Financial Officer and also served as Chief Executive Officer from May 2018 to June 2020, director from October 2018 to June 2020, and President from December 2019 to June 2021. Ms. Patterson has held various senior positions at Diadexus, Inc., Transcept Pharmaceuticals, Inc., NetApp, Inc., Exelixis, Inc., Novartis AG, Chiron (acquired by Novartis AG), and KPMG. Ms. Patterson currently serves on the board of directors and as the Chair of the audit committee of Nkarta and Eliem Therapeutics, both public biotechnology companies. Ms. Patterson holds a B.S. in Business Administration and Accounting from Chapman University and an Executive M.B.A. from St. Mary’s College. Ms. Patterson is also a Certified Public Accountant (inactive status).</w:t>
      </w:r>
    </w:p>
    <w:p>
      <w:pPr>
        <w:spacing w:after="0" w:line="17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b w:val="1"/>
          <w:bCs w:val="1"/>
          <w:i w:val="1"/>
          <w:iCs w:val="1"/>
          <w:color w:val="auto"/>
        </w:rPr>
        <w:t>Timothy Hoey, Ph.D.</w:t>
      </w:r>
      <w:r>
        <w:rPr>
          <w:rFonts w:ascii="Arial" w:cs="Arial" w:eastAsia="Arial" w:hAnsi="Arial"/>
          <w:sz w:val="17"/>
          <w:szCs w:val="17"/>
          <w:color w:val="auto"/>
        </w:rPr>
        <w:t>, has served as our Chief Scientific Officer since August 2017. From 2005 to June 2017, he held various roles at OncoMed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Pharmaceuticals, a public biotechnology company (acquired by Mereo BioPharma Group), including as the Senior Vice-President, Cancer Biology and co-Chief Scientific Officer from January 2016 to June 2017. From 1993 to 2005, Dr. Hoey served in various roles at Tularik, a public biopharmaceutical company acquired by Amgen in 2004, including as Director, Biology Department at both Tularik and Amgen. Dr. Hoey received a B.S. in Biology from the University of Michigan and a Ph.D. in Biological Sciences from Columbia University.</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b w:val="1"/>
          <w:bCs w:val="1"/>
          <w:i w:val="1"/>
          <w:iCs w:val="1"/>
          <w:color w:val="auto"/>
        </w:rPr>
        <w:t>Whittemore (Whit) Tingley, M.D., Ph.D.</w:t>
      </w:r>
      <w:r>
        <w:rPr>
          <w:rFonts w:ascii="Arial" w:cs="Arial" w:eastAsia="Arial" w:hAnsi="Arial"/>
          <w:sz w:val="18"/>
          <w:szCs w:val="18"/>
          <w:color w:val="auto"/>
        </w:rPr>
        <w:t>, has served as our Chief Medical Officer since December 2018. Before joining us, he served as the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Clinical Research, Cardiology, at Cytokinetics, a public biotechnology company, from September 2017 to December 2018. From 2009 to September 2017, Dr. Tingley held various medical director and group medical director roles at Genentech. Before that, Dr. Tingley was adjunct assistant professor of medicine in the cardiology division at the University of California, San Francisco,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University of California, San Francisco and post-doctoral research at Gladstone Institutes.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Our compensation committee is responsible for the executive compensation programs for our executive officers and reports to our board of directors on its discussions, decisions and other actions. Typically, our chief executive officer makes recommendations to our compensation committee, often attends committee meetings and is involved in the determination of compensation for the respective executive officers who report to him, except that the chief executive officer does not make recommendations as to his own compensation. Our chief executive officer makes recommendations to our compensation committee regarding short- and long-term compensation for all executive officers (other than himself) based on our results, an individual executive officer’s contribution toward these results and performance toward individual goal achievement. Our compensation committee then reviews the recommendations and other data. Our compensation committee makes decisions as to total compensation for each executive officer other than the chief executive officer, although it may instead, in its discretion, make recommendations to our board of directors regarding executive compensation for its approval. Our board of directors makes decisions as to total compensation for our chief executive officer.</w:t>
      </w:r>
    </w:p>
    <w:p>
      <w:pPr>
        <w:spacing w:after="0" w:line="16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compensation committee is authorized to retain the services of one or more executive compensation advisors, as it sees fit, in connection with the establishment of our compensation programs and related policies. In 2021, our compensation committee retained Compensia, a national compensation consultant, to provide it with information, recommendations and other advice relating to executive compensation on an ongoing basis. Compensia serves at the discretion of our compensation committee. As part of its engagement, Compensia assists our compensation committee in developing an appropriate group of peer companies to help us determine the appropriate level of overall compensation for our executive officers, as well as assess each separate element of compensation, with a goal of ensuring that the compensation we offer to our executive officers is competitive and fair.</w:t>
      </w:r>
    </w:p>
    <w:p>
      <w:pPr>
        <w:spacing w:after="0" w:line="16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Our named executive officers, consisting of our principal executive officer and the two most highly compensated executive officers (other than our principal executive officer), as of December 31, 2021, were:</w:t>
      </w:r>
    </w:p>
    <w:p>
      <w:pPr>
        <w:spacing w:after="0" w:line="76"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Faraz Ali, M.B.A., our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Leone D. Patterson, M.B.A, our Chief Financial and Business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Whittemore (Whit) Tingley, M.D., Ph.D., our Chief Medical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table sets forth information regarding the compensation reportable for our named executive officers for the years ended December 31, 2021, and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Non-Equity</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Nonqualified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gridSpan w:val="2"/>
            <w:vMerge w:val="continue"/>
          </w:tcPr>
          <w:p>
            <w:pPr>
              <w:spacing w:after="0"/>
              <w:rPr>
                <w:sz w:val="12"/>
                <w:szCs w:val="12"/>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1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1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560" w:type="dxa"/>
            <w:vAlign w:val="bottom"/>
          </w:tcPr>
          <w:p>
            <w:pPr>
              <w:jc w:val="right"/>
              <w:ind w:right="10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700" w:type="dxa"/>
            <w:vAlign w:val="bottom"/>
          </w:tcPr>
          <w:p>
            <w:pPr>
              <w:jc w:val="right"/>
              <w:ind w:right="18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Faraz Ali, M.B.A.</w:t>
            </w:r>
          </w:p>
        </w:tc>
        <w:tc>
          <w:tcPr>
            <w:tcW w:w="1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2021</w:t>
            </w: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6"/>
              </w:rPr>
              <w:t>493,750</w:t>
            </w: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4,259,989</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216,120</w:t>
            </w: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4,970,756</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60" w:type="dxa"/>
            <w:vAlign w:val="bottom"/>
            <w:gridSpan w:val="3"/>
          </w:tcPr>
          <w:p>
            <w:pPr>
              <w:ind w:left="220"/>
              <w:spacing w:after="0"/>
              <w:rPr>
                <w:sz w:val="20"/>
                <w:szCs w:val="20"/>
                <w:color w:val="auto"/>
              </w:rPr>
            </w:pPr>
            <w:r>
              <w:rPr>
                <w:rFonts w:ascii="Arial" w:cs="Arial" w:eastAsia="Arial" w:hAnsi="Arial"/>
                <w:sz w:val="16"/>
                <w:szCs w:val="16"/>
                <w:color w:val="auto"/>
              </w:rPr>
              <w:t>2020</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425,000</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126,500</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197,500</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1,300</w:t>
            </w:r>
          </w:p>
        </w:tc>
        <w:tc>
          <w:tcPr>
            <w:tcW w:w="700" w:type="dxa"/>
            <w:vAlign w:val="bottom"/>
          </w:tcPr>
          <w:p>
            <w:pPr>
              <w:jc w:val="right"/>
              <w:spacing w:after="0"/>
              <w:rPr>
                <w:sz w:val="20"/>
                <w:szCs w:val="20"/>
                <w:color w:val="auto"/>
              </w:rPr>
            </w:pPr>
            <w:r>
              <w:rPr>
                <w:rFonts w:ascii="Arial" w:cs="Arial" w:eastAsia="Arial" w:hAnsi="Arial"/>
                <w:sz w:val="16"/>
                <w:szCs w:val="16"/>
                <w:color w:val="auto"/>
              </w:rPr>
              <w:t>750,300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40" w:type="dxa"/>
            <w:vAlign w:val="bottom"/>
            <w:gridSpan w:val="2"/>
          </w:tcPr>
          <w:p>
            <w:pPr>
              <w:spacing w:after="0"/>
              <w:rPr>
                <w:sz w:val="20"/>
                <w:szCs w:val="20"/>
                <w:color w:val="auto"/>
              </w:rPr>
            </w:pPr>
            <w:r>
              <w:rPr>
                <w:rFonts w:ascii="Arial" w:cs="Arial" w:eastAsia="Arial" w:hAnsi="Arial"/>
                <w:sz w:val="16"/>
                <w:szCs w:val="16"/>
                <w:color w:val="auto"/>
              </w:rPr>
              <w:t>Leone D. Patterson, M.B.A.(4)</w:t>
            </w:r>
          </w:p>
        </w:tc>
        <w:tc>
          <w:tcPr>
            <w:tcW w:w="760" w:type="dxa"/>
            <w:vAlign w:val="bottom"/>
            <w:gridSpan w:val="3"/>
          </w:tcPr>
          <w:p>
            <w:pPr>
              <w:ind w:left="220"/>
              <w:spacing w:after="0"/>
              <w:rPr>
                <w:sz w:val="20"/>
                <w:szCs w:val="20"/>
                <w:color w:val="auto"/>
              </w:rPr>
            </w:pPr>
            <w:r>
              <w:rPr>
                <w:rFonts w:ascii="Arial" w:cs="Arial" w:eastAsia="Arial" w:hAnsi="Arial"/>
                <w:sz w:val="16"/>
                <w:szCs w:val="16"/>
                <w:color w:val="auto"/>
              </w:rPr>
              <w:t>2021</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216,477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2"/>
              </w:rPr>
              <w:t>3,414,160</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75,600</w:t>
            </w: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1,903</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3,708,140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2020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Whittemore (Whit) Tingley, M.D., Ph.D.</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402,947</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2"/>
              </w:rPr>
              <w:t>1,146,080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146,000</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1,697,258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gridSpan w:val="3"/>
          </w:tcPr>
          <w:p>
            <w:pPr>
              <w:ind w:left="220"/>
              <w:spacing w:after="0"/>
              <w:rPr>
                <w:sz w:val="20"/>
                <w:szCs w:val="20"/>
                <w:color w:val="auto"/>
              </w:rPr>
            </w:pPr>
            <w:r>
              <w:rPr>
                <w:rFonts w:ascii="Arial" w:cs="Arial" w:eastAsia="Arial" w:hAnsi="Arial"/>
                <w:sz w:val="16"/>
                <w:szCs w:val="16"/>
                <w:color w:val="auto"/>
              </w:rPr>
              <w:t>2020</w:t>
            </w:r>
          </w:p>
        </w:tc>
        <w:tc>
          <w:tcPr>
            <w:tcW w:w="780" w:type="dxa"/>
            <w:vAlign w:val="bottom"/>
            <w:gridSpan w:val="2"/>
          </w:tcPr>
          <w:p>
            <w:pPr>
              <w:ind w:left="40"/>
              <w:spacing w:after="0"/>
              <w:rPr>
                <w:sz w:val="20"/>
                <w:szCs w:val="20"/>
                <w:color w:val="auto"/>
              </w:rPr>
            </w:pPr>
            <w:r>
              <w:rPr>
                <w:rFonts w:ascii="Arial" w:cs="Arial" w:eastAsia="Arial" w:hAnsi="Arial"/>
                <w:sz w:val="16"/>
                <w:szCs w:val="16"/>
                <w:color w:val="auto"/>
              </w:rPr>
              <w:t>371,000</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95,000</w:t>
            </w: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1,520</w:t>
            </w:r>
          </w:p>
        </w:tc>
        <w:tc>
          <w:tcPr>
            <w:tcW w:w="700" w:type="dxa"/>
            <w:vAlign w:val="bottom"/>
          </w:tcPr>
          <w:p>
            <w:pPr>
              <w:jc w:val="right"/>
              <w:spacing w:after="0"/>
              <w:rPr>
                <w:sz w:val="20"/>
                <w:szCs w:val="20"/>
                <w:color w:val="auto"/>
              </w:rPr>
            </w:pPr>
            <w:r>
              <w:rPr>
                <w:rFonts w:ascii="Arial" w:cs="Arial" w:eastAsia="Arial" w:hAnsi="Arial"/>
                <w:sz w:val="16"/>
                <w:szCs w:val="16"/>
                <w:color w:val="auto"/>
              </w:rPr>
              <w:t>467,520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Bonuses for services rendered by our named executive officers in 2020 are included in the Bonus column. While our compensation committee had established general guidelines related to bonus target amounts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the portion of each named executive officer’s annual cash bonus that is tied to company-wide or personal performance components, the compensation committee exercised discretion in determining the amount of cash bonuses for 2020. Accordingly, we do not consider the 2020 cash bonus payments to be Non-Equity Incentive Plan Compensation.</w:t>
      </w:r>
    </w:p>
    <w:p>
      <w:pPr>
        <w:spacing w:after="0" w:line="3" w:lineRule="exact"/>
        <w:rPr>
          <w:sz w:val="20"/>
          <w:szCs w:val="20"/>
          <w:color w:val="auto"/>
        </w:rPr>
      </w:pPr>
    </w:p>
    <w:p>
      <w:pPr>
        <w:ind w:left="540" w:right="160" w:hanging="424"/>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This column reflects the aggregate grant date fair value of option awards granted to the officer in the applicable fiscal year, computed in accordance with FASB ASC Topic 718. See Note 2 to our financial statements for the year ended December 31, 2021 included in our Annual Report on Form 10-K for the year ended December 31, 2021 filed with the SEC on March 23, 2022 for a discussion of the assumptions made by us in determining the grant date fair value of our equity awards. Our named executive officers will only realize compensation to the extent the trading price of our common stock is greater than the exercise price of such stock options.</w:t>
      </w:r>
    </w:p>
    <w:p>
      <w:pPr>
        <w:ind w:left="540" w:right="140" w:hanging="424"/>
        <w:spacing w:after="0" w:line="246"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amounts in this column represent the portion of the cash bonuses awarded under our Executive Incentive Compensation Plan that was based on the compensation committee’s assessment of the achievement of pre-determined corporate goals.</w:t>
      </w:r>
    </w:p>
    <w:p>
      <w:pPr>
        <w:ind w:left="540" w:hanging="42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Ms. Patterson commenced employment with us in June 2021.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of our current executive officers has executed our standard form of confidential information, invention assignment and arbitration agreement.</w:t>
      </w:r>
    </w:p>
    <w:p>
      <w:pPr>
        <w:spacing w:after="0" w:line="23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entered into an employment offer letter agreement with each of our executive officers in connection with his or her employment with us. These offer letters provide for “at will”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Faraz Ali, M.B.A.</w:t>
      </w:r>
    </w:p>
    <w:p>
      <w:pPr>
        <w:spacing w:after="0" w:line="11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We have entered into a confirmatory employment letter with Mr. Ali, our Chief Executive Officer. The confirmatory employment letter has no specific term and provides for at-will employment. Mr. Ali’s current annual base salary is $571,000 and his annual target bonus is 50% of his annual base salary.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Leone D. Patterson, M.B.A.</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have entered into an employment letter with Ms. Patterson, our Chief Financial and Business Officer. Ms. Patterson began employment in June 2021. The employment letter has no specific term and provides for at-will employment. Ms. Patterson’s current annual base salary is $445,000 and her annual target bonus is 40% of her annual base salary.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Timothy Hoey, Ph.D.</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entered into a confirmatory employment letter with Dr. Hoey, our Chief Scientific Officer. The confirmatory employment letter has no specific term and provides for at-will employment. Dr. Hoey’s current annual base salary is $420,000 and his annual target bonus is 40% of his annual base salary.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Whittemore (Whit) Tingley, M.D., Ph.D.</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entered into a confirmatory employment letter with Dr. Tingley, our Chief Medical Officer. The confirmatory employment letter has no specific term and provides for at-will employment. Dr. Tingley’s current annual base salary is $455,000 and his annual target bonus is 40% of his annual base salary.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Change in Control and Severance Plan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June 2021, our board of directors adopted an Executive Change in Control and Severance Plan, or the Executive Severance Plan, pursuant to which our named executive officers and certain other key employees are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eligible to receive severance benefits, as specified in and subject to the employee signing a participation agreement under our Executive Severance Plan. This Executive Severance Plan was developed with input from Compensia regarding severance practices at comparable companies. It is designed to attract, retain and reward senior level employees. The Executive Severance Plan will be in lieu of any other severance payments and benefits to which such key employee was entitled prior to signing the participation agreement.</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Each of our named executive officers has signed a participation agreement under our Executive Severance Plan providing for the rights to the applicable payments and benefits described below.</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event of a “qualifying termination” of the employment of a named executive officer, which generally includes a termination of employment by us for a reason other than “cause” or the named executive officer’s death or “disability” (as such terms are defined in our Executive Severance Plan), but in the case of Mr. Ali includes a termination of employment by him for “good reason” or by us for a reason other than “cause” or his death or disability, in all cases, that occurs outside the change in control period (as described below), then the named executive officer will be entitled to the following payments and benefits:</w:t>
      </w:r>
    </w:p>
    <w:p>
      <w:pPr>
        <w:spacing w:after="0" w:line="93" w:lineRule="exact"/>
        <w:rPr>
          <w:sz w:val="20"/>
          <w:szCs w:val="20"/>
          <w:color w:val="auto"/>
        </w:rPr>
      </w:pPr>
    </w:p>
    <w:p>
      <w:pPr>
        <w:ind w:left="1080" w:right="16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lump sum payment equal to nine months of the named executive officer’s annual base salary as in effect immediately prior to his or her qualifying termination of employment, or twelve months in the case of Mr. Ali; and</w:t>
      </w:r>
    </w:p>
    <w:p>
      <w:pPr>
        <w:spacing w:after="0" w:line="75"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continued health coverage under COBRA or a lump sum payment equal to the premium cost of continued health coverage under the Consolidated Omnibus Reconciliation Act of 1985 as amended, or COBRA, for a period of twelve months.</w:t>
      </w:r>
    </w:p>
    <w:p>
      <w:pPr>
        <w:spacing w:after="0" w:line="146"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In the event of a termination of employment by the named executive officer for “good reason” or by us for a reason other than “cause” or the named executive officer’s death or disability, in each case, within a period beginning upon and ending twelve months following a “change in control” (as defined in our Executive Severance Plan), or in the case of Mr. Ali beginning three months prior to and ending 18 months following a “change in control” (such period, in either case, the “change in control period”), then the named executive officer will be entitled to the following payments and benefits:</w:t>
      </w:r>
    </w:p>
    <w:p>
      <w:pPr>
        <w:spacing w:after="0" w:line="93" w:lineRule="exact"/>
        <w:rPr>
          <w:sz w:val="20"/>
          <w:szCs w:val="20"/>
          <w:color w:val="auto"/>
        </w:rPr>
      </w:pPr>
    </w:p>
    <w:p>
      <w:pPr>
        <w:ind w:left="1080" w:right="3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lump sum payment equal to 12 months of the named executive officer’s annual base salary as in effect immediately prior to his or her qualifying termination of employment;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health coverage under COBRA or a lump sum payment equal to the cost of continued health coverage under COBRA for a period of 12 months;</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100% accelerated vesting of all outstanding equity awards, and, with respect to equity awards with performance-based vesting, all performance goals or other vesting criteria will be deemed achieved at 100% of target levels for the relevant performance period(s); and</w:t>
      </w:r>
    </w:p>
    <w:p>
      <w:pPr>
        <w:spacing w:after="0" w:line="29"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Mr. Ali, a lump sum payment equal to 100% of his target annual bonus for the year in which the qualifying termination occurs.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receipt of the payments and benefits provided for under the Executive Severance Plan described above is conditioned on the named executive officer signing and not revoking a separation and release of claims agreement and such release becoming effective and irrevocable no later than the 60</w:t>
      </w:r>
      <w:r>
        <w:rPr>
          <w:rFonts w:ascii="Arial" w:cs="Arial" w:eastAsia="Arial" w:hAnsi="Arial"/>
          <w:sz w:val="15"/>
          <w:szCs w:val="15"/>
          <w:color w:val="auto"/>
        </w:rPr>
        <w:t>th</w:t>
      </w:r>
      <w:r>
        <w:rPr>
          <w:rFonts w:ascii="Arial" w:cs="Arial" w:eastAsia="Arial" w:hAnsi="Arial"/>
          <w:sz w:val="18"/>
          <w:szCs w:val="18"/>
          <w:color w:val="auto"/>
        </w:rPr>
        <w:t xml:space="preserve"> day following the named executive officer’s involuntary termination of employment, as well as continued compliance with the invention assignment and confidentiality agreement applicable to the named executive officer.</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addition, if any of the payments or benefits provided for under the Executive Severance Plan or otherwise payable to a named executive officer would constitute “parachute payments” within the meaning of Section 280G of the Code and could be subject to the related excise tax, the named executive officer will receive either full payment of such payments and benefits or such lesser amount that would result in no portion of the payments and benefits being subject to the excise tax, whichever results in the greater amount of after-tax benefits to them.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Executive Severance Plan does not require us to provide any tax gross-up payments to the named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1" w:lineRule="exact"/>
        <w:rPr>
          <w:sz w:val="20"/>
          <w:szCs w:val="20"/>
          <w:color w:val="auto"/>
        </w:rPr>
      </w:pPr>
    </w:p>
    <w:p>
      <w:pPr>
        <w:ind w:left="120" w:right="820"/>
        <w:spacing w:after="0" w:line="311" w:lineRule="auto"/>
        <w:rPr>
          <w:sz w:val="20"/>
          <w:szCs w:val="20"/>
          <w:color w:val="auto"/>
        </w:rPr>
      </w:pPr>
      <w:r>
        <w:rPr>
          <w:rFonts w:ascii="Arial" w:cs="Arial" w:eastAsia="Arial" w:hAnsi="Arial"/>
          <w:sz w:val="16"/>
          <w:szCs w:val="16"/>
          <w:color w:val="auto"/>
        </w:rPr>
        <w:t>In June 2021, our board of directors adopted the Executive Incentive Compensation Plan, or the Incentive Compensation Plan. Our Incentive Compensation Plan allows our compensation committee to grant incentive awards, generally payable in cash, to employees selected by our compensation committee, including our executive officers, based upon performance goals established by our compensation committee.</w:t>
      </w:r>
    </w:p>
    <w:p>
      <w:pPr>
        <w:spacing w:after="0" w:line="14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Under our Incentive Compensation Plan, our compensation committee will determine the performance goals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64" w:lineRule="exact"/>
        <w:rPr>
          <w:sz w:val="20"/>
          <w:szCs w:val="20"/>
          <w:color w:val="auto"/>
        </w:rPr>
      </w:pPr>
    </w:p>
    <w:p>
      <w:pPr>
        <w:jc w:val="both"/>
        <w:ind w:left="120" w:right="180"/>
        <w:spacing w:after="0" w:line="257" w:lineRule="auto"/>
        <w:rPr>
          <w:sz w:val="20"/>
          <w:szCs w:val="20"/>
          <w:color w:val="auto"/>
        </w:rPr>
      </w:pPr>
      <w:r>
        <w:rPr>
          <w:rFonts w:ascii="Arial" w:cs="Arial" w:eastAsia="Arial" w:hAnsi="Arial"/>
          <w:sz w:val="18"/>
          <w:szCs w:val="18"/>
          <w:color w:val="auto"/>
        </w:rPr>
        <w:t>The compensation committee of our board of directors administers our Incentive Compensation Plan and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board of directors and our compensation committee have the authority to amend, suspend or terminate our Incentive Compensation Plan, provided such action does not impair the existing rights of any participant with respect to any earned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2021 Year-End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Equity</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Incentive</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vMerge w:val="continue"/>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Options (#)</w:t>
            </w:r>
          </w:p>
        </w:tc>
        <w:tc>
          <w:tcPr>
            <w:tcW w:w="2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9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Unexercisable</w:t>
            </w:r>
          </w:p>
        </w:tc>
        <w:tc>
          <w:tcPr>
            <w:tcW w:w="200" w:type="dxa"/>
            <w:vAlign w:val="bottom"/>
          </w:tcPr>
          <w:p>
            <w:pPr>
              <w:spacing w:after="0"/>
              <w:rPr>
                <w:sz w:val="15"/>
                <w:szCs w:val="15"/>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Options (#)</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04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Faraz Ali, M.B.A.</w:t>
            </w: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ind w:left="100"/>
              <w:spacing w:after="0" w:line="203" w:lineRule="exact"/>
              <w:rPr>
                <w:sz w:val="20"/>
                <w:szCs w:val="20"/>
                <w:color w:val="auto"/>
              </w:rPr>
            </w:pPr>
            <w:r>
              <w:rPr>
                <w:rFonts w:ascii="Arial" w:cs="Arial" w:eastAsia="Arial" w:hAnsi="Arial"/>
                <w:sz w:val="18"/>
                <w:szCs w:val="18"/>
                <w:color w:val="auto"/>
                <w:w w:val="88"/>
              </w:rPr>
              <w:t>09/06/2018</w:t>
            </w:r>
          </w:p>
        </w:tc>
        <w:tc>
          <w:tcPr>
            <w:tcW w:w="2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425,000</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0.66</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8"/>
              </w:rPr>
              <w:t>09/05/2028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03/10/2020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18,228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23,438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03/09/2030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02/27/2021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95,485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321,181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02/26/2031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06/17/2021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20,833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145,833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06/16/2031</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Leone D. Patterson, M.B.A.</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07/06/2021</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354,166</w:t>
            </w:r>
          </w:p>
        </w:tc>
        <w:tc>
          <w:tcPr>
            <w:tcW w:w="200" w:type="dxa"/>
            <w:vAlign w:val="bottom"/>
          </w:tcPr>
          <w:p>
            <w:pPr>
              <w:spacing w:after="0"/>
              <w:rPr>
                <w:sz w:val="18"/>
                <w:szCs w:val="18"/>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10.56</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w w:val="97"/>
              </w:rPr>
              <w:t>07/05/2031</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w:t>
            </w:r>
          </w:p>
        </w:tc>
        <w:tc>
          <w:tcPr>
            <w:tcW w:w="14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12/10/2018</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12/09/2028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01/19/2021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19,271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01/18/2031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06/17/2021</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13,541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94,792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9.36</w:t>
            </w: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06/16/2031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December 31, 2021. Information is included for equity compensation plans approved by our stockholders. We do not have any equity compensation plans not approved by our stockholders.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(c) Number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gridSpan w:val="2"/>
            <w:vMerge w:val="restart"/>
          </w:tcPr>
          <w:p>
            <w:pPr>
              <w:jc w:val="center"/>
              <w:ind w:right="820"/>
              <w:spacing w:after="0"/>
              <w:rPr>
                <w:sz w:val="20"/>
                <w:szCs w:val="20"/>
                <w:color w:val="auto"/>
              </w:rPr>
            </w:pPr>
            <w:r>
              <w:rPr>
                <w:rFonts w:ascii="Arial" w:cs="Arial" w:eastAsia="Arial" w:hAnsi="Arial"/>
                <w:sz w:val="14"/>
                <w:szCs w:val="14"/>
                <w:b w:val="1"/>
                <w:bCs w:val="1"/>
                <w:color w:val="auto"/>
                <w:w w:val="94"/>
              </w:rPr>
              <w:t>(a) Number of</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Securities Remaining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vMerge w:val="restart"/>
          </w:tcPr>
          <w:p>
            <w:pPr>
              <w:jc w:val="center"/>
              <w:ind w:right="940"/>
              <w:spacing w:after="0"/>
              <w:rPr>
                <w:sz w:val="20"/>
                <w:szCs w:val="20"/>
                <w:color w:val="auto"/>
              </w:rPr>
            </w:pPr>
            <w:r>
              <w:rPr>
                <w:rFonts w:ascii="Arial" w:cs="Arial" w:eastAsia="Arial" w:hAnsi="Arial"/>
                <w:sz w:val="14"/>
                <w:szCs w:val="14"/>
                <w:b w:val="1"/>
                <w:bCs w:val="1"/>
                <w:color w:val="auto"/>
                <w:w w:val="93"/>
              </w:rPr>
              <w:t>(b) Weighted-</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0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Issued Upon Exercise</w:t>
            </w:r>
          </w:p>
        </w:tc>
        <w:tc>
          <w:tcPr>
            <w:tcW w:w="100" w:type="dxa"/>
            <w:vAlign w:val="bottom"/>
          </w:tcPr>
          <w:p>
            <w:pPr>
              <w:spacing w:after="0"/>
              <w:rPr>
                <w:sz w:val="12"/>
                <w:szCs w:val="12"/>
                <w:color w:val="auto"/>
              </w:rPr>
            </w:pPr>
          </w:p>
        </w:tc>
        <w:tc>
          <w:tcPr>
            <w:tcW w:w="20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4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of Outstanding</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3540" w:type="dxa"/>
            <w:vAlign w:val="bottom"/>
            <w:vMerge w:val="restart"/>
          </w:tcPr>
          <w:p>
            <w:pPr>
              <w:spacing w:after="0"/>
              <w:rPr>
                <w:sz w:val="12"/>
                <w:szCs w:val="12"/>
                <w:color w:val="auto"/>
              </w:rPr>
            </w:pPr>
          </w:p>
        </w:tc>
        <w:tc>
          <w:tcPr>
            <w:tcW w:w="21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1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4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gridSpan w:val="2"/>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2160" w:type="dxa"/>
            <w:vAlign w:val="bottom"/>
            <w:gridSpan w:val="2"/>
          </w:tcPr>
          <w:p>
            <w:pPr>
              <w:jc w:val="center"/>
              <w:ind w:right="820"/>
              <w:spacing w:after="0" w:line="158" w:lineRule="exact"/>
              <w:rPr>
                <w:sz w:val="20"/>
                <w:szCs w:val="20"/>
                <w:color w:val="auto"/>
              </w:rPr>
            </w:pPr>
            <w:r>
              <w:rPr>
                <w:rFonts w:ascii="Arial" w:cs="Arial" w:eastAsia="Arial" w:hAnsi="Arial"/>
                <w:sz w:val="14"/>
                <w:szCs w:val="14"/>
                <w:b w:val="1"/>
                <w:bCs w:val="1"/>
                <w:color w:val="auto"/>
                <w:w w:val="91"/>
              </w:rPr>
              <w:t>and Rights</w:t>
            </w:r>
          </w:p>
        </w:tc>
        <w:tc>
          <w:tcPr>
            <w:tcW w:w="100" w:type="dxa"/>
            <w:vAlign w:val="bottom"/>
          </w:tcPr>
          <w:p>
            <w:pPr>
              <w:spacing w:after="0"/>
              <w:rPr>
                <w:sz w:val="15"/>
                <w:szCs w:val="15"/>
                <w:color w:val="auto"/>
              </w:rPr>
            </w:pPr>
          </w:p>
        </w:tc>
        <w:tc>
          <w:tcPr>
            <w:tcW w:w="2020" w:type="dxa"/>
            <w:vAlign w:val="bottom"/>
            <w:gridSpan w:val="2"/>
          </w:tcPr>
          <w:p>
            <w:pPr>
              <w:jc w:val="center"/>
              <w:ind w:right="920"/>
              <w:spacing w:after="0" w:line="158" w:lineRule="exact"/>
              <w:rPr>
                <w:sz w:val="20"/>
                <w:szCs w:val="20"/>
                <w:color w:val="auto"/>
              </w:rPr>
            </w:pPr>
            <w:r>
              <w:rPr>
                <w:rFonts w:ascii="Arial" w:cs="Arial" w:eastAsia="Arial" w:hAnsi="Arial"/>
                <w:sz w:val="14"/>
                <w:szCs w:val="14"/>
                <w:b w:val="1"/>
                <w:bCs w:val="1"/>
                <w:color w:val="auto"/>
                <w:w w:val="91"/>
              </w:rPr>
              <w:t>and Rights</w:t>
            </w:r>
          </w:p>
        </w:tc>
        <w:tc>
          <w:tcPr>
            <w:tcW w:w="14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75"/>
        </w:trPr>
        <w:tc>
          <w:tcPr>
            <w:tcW w:w="444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13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2021</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Equity Incentive Plan(1)</w:t>
            </w:r>
          </w:p>
        </w:tc>
        <w:tc>
          <w:tcPr>
            <w:tcW w:w="2160" w:type="dxa"/>
            <w:vAlign w:val="bottom"/>
            <w:gridSpan w:val="2"/>
          </w:tcPr>
          <w:p>
            <w:pPr>
              <w:jc w:val="right"/>
              <w:ind w:right="840"/>
              <w:spacing w:after="0"/>
              <w:rPr>
                <w:sz w:val="20"/>
                <w:szCs w:val="20"/>
                <w:color w:val="auto"/>
              </w:rPr>
            </w:pPr>
            <w:r>
              <w:rPr>
                <w:rFonts w:ascii="Arial" w:cs="Arial" w:eastAsia="Arial" w:hAnsi="Arial"/>
                <w:sz w:val="18"/>
                <w:szCs w:val="18"/>
                <w:color w:val="auto"/>
              </w:rPr>
              <w:t>417,722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20.86</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3,594,158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2021</w:t>
            </w:r>
          </w:p>
        </w:tc>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Employee Stock Purchase Plan(2)</w:t>
            </w:r>
          </w:p>
        </w:tc>
        <w:tc>
          <w:tcPr>
            <w:tcW w:w="21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84"/>
              </w:rPr>
              <w:t>2016</w:t>
            </w:r>
          </w:p>
        </w:tc>
        <w:tc>
          <w:tcPr>
            <w:tcW w:w="4080" w:type="dxa"/>
            <w:vAlign w:val="bottom"/>
            <w:gridSpan w:val="2"/>
          </w:tcPr>
          <w:p>
            <w:pPr>
              <w:ind w:left="40"/>
              <w:spacing w:after="0"/>
              <w:rPr>
                <w:sz w:val="20"/>
                <w:szCs w:val="20"/>
                <w:color w:val="auto"/>
              </w:rPr>
            </w:pPr>
            <w:r>
              <w:rPr>
                <w:rFonts w:ascii="Arial" w:cs="Arial" w:eastAsia="Arial" w:hAnsi="Arial"/>
                <w:sz w:val="18"/>
                <w:szCs w:val="18"/>
                <w:color w:val="auto"/>
              </w:rPr>
              <w:t>Equity Incentive Plan(3)</w:t>
            </w:r>
          </w:p>
        </w:tc>
        <w:tc>
          <w:tcPr>
            <w:tcW w:w="2160" w:type="dxa"/>
            <w:vAlign w:val="bottom"/>
            <w:gridSpan w:val="2"/>
          </w:tcPr>
          <w:p>
            <w:pPr>
              <w:jc w:val="right"/>
              <w:ind w:right="840"/>
              <w:spacing w:after="0"/>
              <w:rPr>
                <w:sz w:val="20"/>
                <w:szCs w:val="20"/>
                <w:color w:val="auto"/>
              </w:rPr>
            </w:pPr>
            <w:r>
              <w:rPr>
                <w:rFonts w:ascii="Arial" w:cs="Arial" w:eastAsia="Arial" w:hAnsi="Arial"/>
                <w:sz w:val="18"/>
                <w:szCs w:val="18"/>
                <w:color w:val="auto"/>
              </w:rPr>
              <w:t>2,354,432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5.61</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2,772,154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7.90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4,394,158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55"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available for issuance under our 2021 Equity Incentive Plan (2021 Plan) will automatically increase on the first day of each fiscal year, in an amount equal to the lesser of: 4,000,000 shares; 4% of our outstanding shares of common stock as of the last day of the immediately preceding year; or such other amount as our board of directors may determine.</w:t>
      </w:r>
    </w:p>
    <w:p>
      <w:pPr>
        <w:spacing w:after="0" w:line="2" w:lineRule="exact"/>
        <w:rPr>
          <w:rFonts w:ascii="Arial" w:cs="Arial" w:eastAsia="Arial" w:hAnsi="Arial"/>
          <w:sz w:val="18"/>
          <w:szCs w:val="18"/>
          <w:color w:val="auto"/>
        </w:rPr>
      </w:pPr>
    </w:p>
    <w:p>
      <w:pPr>
        <w:ind w:left="540" w:right="320" w:hanging="424"/>
        <w:spacing w:after="0" w:line="25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shares of common stock available for issuance under our 2021 Employee Stock Purchase Plan (2021 ESPP) will automatically increase on the first day of each fiscal year in an amount equal to the lesser of: 800,000 shares; 1% of the outstanding shares of the Company’s common stock as of the last day of the immediately preceding year; or such other amount as the board of directors may determine. The first offering period has not commenced as of December 31, 2021.</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86"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no longer grant awards under the 2016 Equity Incentive Plan (2016 Plan); however, all outstanding options issued pursuant to the 2016 Plan continue to be governed by their existing terms. To the extent that any such awards are forfeited or lapse unexercised or are repurchased, the shares of common stock subject to such awards will become available for issuance under the 2021 Plan.</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320" w:top="459" w:right="6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beneficial ownership of our common stock as of March 31, 2022, by:</w:t>
      </w:r>
    </w:p>
    <w:p>
      <w:pPr>
        <w:spacing w:after="0" w:line="131"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4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have based our calculation of the percentage of beneficial ownership on 41,299,026 shares of our common stock outstanding as of March 31, 2022. We have deemed shares of our common stock subject to stock options that are currently exercisable or exercisable within 60 days of March 31, 2022,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Unless otherwise indicated, the address for each person or entity listed in the table is c/o Tenaya Therapeutics, Inc., 171 Oyster Point Boulevard, 5th Floor, South San Francisco, CA 94080.</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6440" w:type="dxa"/>
            <w:vAlign w:val="bottom"/>
            <w:vMerge w:val="restart"/>
          </w:tcPr>
          <w:p>
            <w:pPr>
              <w:spacing w:after="0"/>
              <w:rPr>
                <w:sz w:val="14"/>
                <w:szCs w:val="14"/>
                <w:color w:val="auto"/>
              </w:rPr>
            </w:pPr>
          </w:p>
        </w:tc>
        <w:tc>
          <w:tcPr>
            <w:tcW w:w="2060" w:type="dxa"/>
            <w:vAlign w:val="bottom"/>
            <w:gridSpan w:val="4"/>
          </w:tcPr>
          <w:p>
            <w:pPr>
              <w:ind w:left="18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vMerge w:val="continue"/>
          </w:tcPr>
          <w:p>
            <w:pPr>
              <w:spacing w:after="0"/>
              <w:rPr>
                <w:sz w:val="12"/>
                <w:szCs w:val="12"/>
                <w:color w:val="auto"/>
              </w:rPr>
            </w:pPr>
          </w:p>
        </w:tc>
        <w:tc>
          <w:tcPr>
            <w:tcW w:w="6440" w:type="dxa"/>
            <w:vAlign w:val="bottom"/>
            <w:vMerge w:val="continue"/>
          </w:tcPr>
          <w:p>
            <w:pPr>
              <w:spacing w:after="0"/>
              <w:rPr>
                <w:sz w:val="12"/>
                <w:szCs w:val="12"/>
                <w:color w:val="auto"/>
              </w:rPr>
            </w:pPr>
          </w:p>
        </w:tc>
        <w:tc>
          <w:tcPr>
            <w:tcW w:w="1320" w:type="dxa"/>
            <w:vAlign w:val="bottom"/>
            <w:tcBorders>
              <w:top w:val="single" w:sz="8" w:color="auto"/>
            </w:tcBorders>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rPr>
              <w:t>Shares</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Percentage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5% or Greater Stockholders:</w:t>
            </w: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Entities affiliated with The Column Group(1)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9,400,290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LLC(2)</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5,723,732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Entities affiliated with Casdin Group(3)</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3,586,818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Inc.(4)</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2,993,503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Symbiosis II, LLC(5)</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2,642,285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RTW(6)</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2,458,750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r>
              <w:rPr>
                <w:rFonts w:ascii="Arial" w:cs="Arial" w:eastAsia="Arial" w:hAnsi="Arial"/>
                <w:sz w:val="18"/>
                <w:szCs w:val="18"/>
                <w:b w:val="1"/>
                <w:bCs w:val="1"/>
                <w:color w:val="auto"/>
              </w:rPr>
              <w:t>:</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Faraz Ali, M.B.A.(7)</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649,737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Leone D. Patterson, M.B.A.(8)</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4,125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Whittemore (Whit) Tingley, M.D., Ph.D.(9)</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116,971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Eli Casdin, M.B.A. (3)</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3,586,818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Jin-Long Chen, Ph.D.(10)</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David Goeddel, Ph.D.(1)</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9,400,290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Karah Parschauer, J.D.(11)</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Catherine Stehman-Breen, M.D.(12)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14,375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Lee, M.D.(13)</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3,156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Deepak Srivastava, M.D.(14)</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347,221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T. Walsh, M.B.A.(15)</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25,416</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tcPr>
          <w:p>
            <w:pPr>
              <w:spacing w:after="0"/>
              <w:rPr>
                <w:sz w:val="20"/>
                <w:szCs w:val="20"/>
                <w:color w:val="auto"/>
              </w:rPr>
            </w:pPr>
            <w:r>
              <w:rPr>
                <w:rFonts w:ascii="Arial" w:cs="Arial" w:eastAsia="Arial" w:hAnsi="Arial"/>
                <w:sz w:val="18"/>
                <w:szCs w:val="18"/>
                <w:color w:val="auto"/>
              </w:rPr>
              <w:t>R. Sanders Williams, M.D.</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29,999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(13 persons)(16)</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14,432,494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23" w:lineRule="exact"/>
        <w:rPr>
          <w:sz w:val="20"/>
          <w:szCs w:val="20"/>
          <w:color w:val="auto"/>
        </w:rPr>
      </w:pPr>
    </w:p>
    <w:p>
      <w:pPr>
        <w:ind w:left="540" w:right="12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information taken from the Schedule 13G filed on February 11, 2022, consists of 4,414,720 shares held directly by The Column Group III, LP and 4,985,570 shares held directly by The Column Group III-A,</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8" w:lineRule="auto"/>
        <w:rPr>
          <w:sz w:val="20"/>
          <w:szCs w:val="20"/>
          <w:color w:val="auto"/>
        </w:rPr>
      </w:pPr>
      <w:r>
        <w:rPr>
          <w:rFonts w:ascii="Arial" w:cs="Arial" w:eastAsia="Arial" w:hAnsi="Arial"/>
          <w:sz w:val="17"/>
          <w:szCs w:val="17"/>
          <w:color w:val="auto"/>
        </w:rPr>
        <w:t>LP (Column Group Funds). The Column Group III GP, LP (TCG III GP) is the general partner of each of the Column Group Funds. The managing partners of TCG III GP are David V. Goeddel, Peter Svennilson and Tim Kutzkey who may be deemed to share voting and investment power with respect to the shares, and each of whom disclaim beneficial ownership of the shares held by the Column Group Funds except to the extent of their pecuniary interests therein, if any. Dr. Goeddel is a member of our board of directors. TCG III GP LP is the general partner of each of these funds and may be deemed to have voting, investment and dispositive power with respect to all of these shares. The address of the Column Group Funds is 1 Letterman Drive, Building D, Suite M-900, San Francisco, California 94129.</w:t>
      </w:r>
    </w:p>
    <w:p>
      <w:pPr>
        <w:spacing w:after="0" w:line="1" w:lineRule="exact"/>
        <w:rPr>
          <w:sz w:val="20"/>
          <w:szCs w:val="20"/>
          <w:color w:val="auto"/>
        </w:rPr>
      </w:pPr>
    </w:p>
    <w:p>
      <w:pPr>
        <w:ind w:left="540" w:right="20" w:hanging="424"/>
        <w:spacing w:after="0" w:line="265"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information taken from the Schedule 13G/A filed on February 9, 2022, these 5,723,732 shares are held by various entities affiliated with FMR LLC (FMR). FMR may be deemed to be the beneficial owner of these shares and exercises shared voting and investment control over the shares with each of the entities. FMR has the sole voting power over 371,913 shares and sole dispositive power over 5,723,732 shares.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Neither FMR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which power resides with the Fidelity Funds’ Board of Trustees. FMR Co. carries out the voting of the shares under written guidelines established by the Fidelity Funds’ Board of Trustees. The address of FMR is 245 Summer Street, Boston, Massachusetts 02210.</w:t>
      </w:r>
    </w:p>
    <w:p>
      <w:pPr>
        <w:spacing w:after="0" w:line="2"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information taken from the Schedule 13D filed on August 9, 2021. These 3,586,818 shares are held by various entities affiliated with Casdin Capital, LLC (Casdin Capital). Casdin Capital may be deemed to be the beneficial owner of these shares and exercises shared voting and investment control over these shares. Eli Casdin, a member of our board of directors, is the managing member of Casdin Capital and may be deemed to have voting and investment power with respect to the shares and disclaims beneficial ownership of the shares except to the extent of his pecuniary interests therein, if any. The address of Casdin Capital and Eli Casdin is 1350 Avenue of the Americas, Suite 2600, New York, NY 10019.</w:t>
      </w:r>
    </w:p>
    <w:p>
      <w:pPr>
        <w:spacing w:after="0" w:line="2" w:lineRule="exact"/>
        <w:rPr>
          <w:rFonts w:ascii="Arial" w:cs="Arial" w:eastAsia="Arial" w:hAnsi="Arial"/>
          <w:sz w:val="18"/>
          <w:szCs w:val="18"/>
          <w:color w:val="auto"/>
        </w:rPr>
      </w:pPr>
    </w:p>
    <w:p>
      <w:pPr>
        <w:jc w:val="both"/>
        <w:ind w:left="540" w:right="46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information taken from the Schedule 13G filed on February 14, 2022. T. Rowe Price Associates, Inc. holds sole voting power over 544,241 shares and dispositive power over 2,993,503 shares. The address of this entity is 100 East Pratt Street, Baltimore, Maryland, 21202.</w:t>
      </w:r>
    </w:p>
    <w:p>
      <w:pPr>
        <w:spacing w:after="0" w:line="1" w:lineRule="exact"/>
        <w:rPr>
          <w:rFonts w:ascii="Arial" w:cs="Arial" w:eastAsia="Arial" w:hAnsi="Arial"/>
          <w:sz w:val="16"/>
          <w:szCs w:val="16"/>
          <w:color w:val="auto"/>
        </w:rPr>
      </w:pPr>
    </w:p>
    <w:p>
      <w:pPr>
        <w:ind w:left="540" w:right="2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information taken from the Schedule 13G filed on February 14, 2022, these 2,642,285 shares held by Symbiosis II, LLC which exercises voting, investment and dispositive control of the shares. Chidozie Ugwumba is the managing partner of Symbiosis II, LLC and as such has sole voting and investment control over these shares. The address of this entity is 609 SW 8</w:t>
      </w:r>
      <w:r>
        <w:rPr>
          <w:rFonts w:ascii="Arial" w:cs="Arial" w:eastAsia="Arial" w:hAnsi="Arial"/>
          <w:sz w:val="13"/>
          <w:szCs w:val="13"/>
          <w:color w:val="auto"/>
        </w:rPr>
        <w:t>th</w:t>
      </w:r>
      <w:r>
        <w:rPr>
          <w:rFonts w:ascii="Arial" w:cs="Arial" w:eastAsia="Arial" w:hAnsi="Arial"/>
          <w:sz w:val="16"/>
          <w:szCs w:val="16"/>
          <w:color w:val="auto"/>
        </w:rPr>
        <w:t xml:space="preserve"> St., Suite 365, Bentonville, Arkansas 72712.</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information taken from the Schedule 13G filed on February 14, 2022, these shares are held by RTW Investments, LP which may be deemed to have voting, investment and dispositive power with respect to all of these shares. Roderick Wong is the managing partner and chief investment officer of RTW Investments, LP and as such has sole voting and investment control over the shares. Dr. Wong disclaims beneficial ownership of the shares except to the extent of his pecuniary interest therein, if any. The address of these entities is 40 10</w:t>
      </w:r>
      <w:r>
        <w:rPr>
          <w:rFonts w:ascii="Arial" w:cs="Arial" w:eastAsia="Arial" w:hAnsi="Arial"/>
          <w:sz w:val="15"/>
          <w:szCs w:val="15"/>
          <w:color w:val="auto"/>
        </w:rPr>
        <w:t>th</w:t>
      </w:r>
      <w:r>
        <w:rPr>
          <w:rFonts w:ascii="Arial" w:cs="Arial" w:eastAsia="Arial" w:hAnsi="Arial"/>
          <w:sz w:val="18"/>
          <w:szCs w:val="18"/>
          <w:color w:val="auto"/>
        </w:rPr>
        <w:t xml:space="preserve"> Avenue, Floor 7, New York, New York 10014.</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649,737 shares subject to outstanding options exercisable within 60 days of March 31, 2022, of which 92,084 shares may be repurchased by us, if exercised, at the original exercise price per share.</w:t>
      </w: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4,125 shares subject to outstanding options exercisable within 60 days of March 31, 2022.</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116,971 shares subject to outstanding options exercisable within 60 days of March 31, 2022, of which 10,938 shares may be repurchased by us, if exercised, as the original exercise price per share.</w:t>
      </w: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5,000 shares subject to outstanding options exercisable within 60 days of March 31,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2,707 shares subject to outstanding options exercisable within 60 days of March 31, 2022.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6,250 shares subject to outstanding options exercisable within 60 days of March 31, 2022.</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3,156 shares subject to outstanding options exercisable within 60 days of March 31, 2022.</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191,666 shares of common stock held by The J. David Gladstone Institute for which Dr. Srivastava serves as President and 13,889 shares subject to outstanding options exercisable within 60 days of March 31, 2022.</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25,416 shares subject to outstanding options exercisable within 60 days of March 31, 2022.</w:t>
      </w:r>
    </w:p>
    <w:p>
      <w:pPr>
        <w:spacing w:after="0" w:line="9" w:lineRule="exact"/>
        <w:rPr>
          <w:rFonts w:ascii="Arial" w:cs="Arial" w:eastAsia="Arial" w:hAnsi="Arial"/>
          <w:sz w:val="18"/>
          <w:szCs w:val="18"/>
          <w:color w:val="auto"/>
        </w:rPr>
      </w:pPr>
    </w:p>
    <w:p>
      <w:pPr>
        <w:ind w:left="540" w:right="840" w:hanging="424"/>
        <w:spacing w:after="0" w:line="26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848,931 shares subject to outstanding options exercisable within 60 days of March 31, 2022, of which 103,022 shares may be repurchased by us, if exercised, at the original exercise price per share.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is a description of each transaction since the beginning of our last fiscal year, and each currently proposed transaction, in which:</w:t>
      </w:r>
    </w:p>
    <w:p>
      <w:pPr>
        <w:spacing w:after="0" w:line="14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involved exceeded or exceeds $120,000;</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directors (including director nominees), executive officers, or beneficial holders of more than 5% of any class of our voting securities, or any immediate family member of, or person sharing the household with, any of these individuals or entities, had or will have a direct or indirect material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are party to an investors’ rights agreement, as amended and restated,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and SymBiosis II, LLC. Under our investors’ rights agreement, among other things, certain holders of our capital stock have the right to demand that we file a registration statement or request that their shares of our capital stock be covered by a registration statement that we are otherwise filing.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Stock Issuances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December 2020 and January 2021, we issued and sold an aggregate of 8,526,371 shares of our Series C convertible preferred stock at a purchase price of $12.432 per share for an aggregate purchase price of approximately $106.0 million.</w:t>
      </w:r>
    </w:p>
    <w:p>
      <w:pPr>
        <w:spacing w:after="0" w:line="170"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Purchasers of our Series C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 Series C</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Investor</w:t>
            </w:r>
          </w:p>
        </w:tc>
        <w:tc>
          <w:tcPr>
            <w:tcW w:w="4820" w:type="dxa"/>
            <w:vAlign w:val="bottom"/>
            <w:vMerge w:val="restart"/>
          </w:tcPr>
          <w:p>
            <w:pPr>
              <w:spacing w:after="0"/>
              <w:rPr>
                <w:sz w:val="12"/>
                <w:szCs w:val="12"/>
                <w:color w:val="auto"/>
              </w:rPr>
            </w:pPr>
          </w:p>
        </w:tc>
        <w:tc>
          <w:tcPr>
            <w:tcW w:w="17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7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20" w:type="dxa"/>
            <w:vAlign w:val="bottom"/>
          </w:tcPr>
          <w:p>
            <w:pPr>
              <w:spacing w:after="0"/>
              <w:rPr>
                <w:sz w:val="15"/>
                <w:szCs w:val="15"/>
                <w:color w:val="auto"/>
              </w:rPr>
            </w:pPr>
          </w:p>
        </w:tc>
        <w:tc>
          <w:tcPr>
            <w:tcW w:w="11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Funds affiliated with Casdin Capital LLC(1)</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723,938</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8,999,999.29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Funds affiliated with FMR LLC(2)</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1,608,750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RTW Investments, LP(3)</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1,608,750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19,999,998.65</w:t>
            </w:r>
          </w:p>
        </w:tc>
        <w:tc>
          <w:tcPr>
            <w:tcW w:w="0" w:type="dxa"/>
            <w:vAlign w:val="bottom"/>
          </w:tcPr>
          <w:p>
            <w:pPr>
              <w:spacing w:after="0"/>
              <w:rPr>
                <w:sz w:val="1"/>
                <w:szCs w:val="1"/>
                <w:color w:val="auto"/>
              </w:rPr>
            </w:pPr>
          </w:p>
        </w:tc>
      </w:tr>
      <w:tr>
        <w:trPr>
          <w:trHeight w:val="218"/>
        </w:trPr>
        <w:tc>
          <w:tcPr>
            <w:tcW w:w="5340" w:type="dxa"/>
            <w:vAlign w:val="bottom"/>
            <w:gridSpan w:val="2"/>
          </w:tcPr>
          <w:p>
            <w:pPr>
              <w:spacing w:after="0"/>
              <w:rPr>
                <w:sz w:val="20"/>
                <w:szCs w:val="20"/>
                <w:color w:val="auto"/>
              </w:rPr>
            </w:pPr>
            <w:r>
              <w:rPr>
                <w:rFonts w:ascii="Arial" w:cs="Arial" w:eastAsia="Arial" w:hAnsi="Arial"/>
                <w:sz w:val="18"/>
                <w:szCs w:val="18"/>
                <w:color w:val="auto"/>
              </w:rPr>
              <w:t>SymBiosis II, LLC</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482,625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5,999,998.14</w:t>
            </w:r>
          </w:p>
        </w:tc>
        <w:tc>
          <w:tcPr>
            <w:tcW w:w="0" w:type="dxa"/>
            <w:vAlign w:val="bottom"/>
          </w:tcPr>
          <w:p>
            <w:pPr>
              <w:spacing w:after="0"/>
              <w:rPr>
                <w:sz w:val="1"/>
                <w:szCs w:val="1"/>
                <w:color w:val="auto"/>
              </w:rPr>
            </w:pPr>
          </w:p>
        </w:tc>
      </w:tr>
    </w:tbl>
    <w:p>
      <w:pPr>
        <w:ind w:left="540" w:right="100" w:hanging="424"/>
        <w:spacing w:after="0" w:line="24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Entities affiliated with Casdin Capital LLC holding our securities are aggregated for reporting ownership information include Casdin Partners Master Fund, L.P. and Casdin Private Growth Equity Fund, L.P. Eli Casdin, a member of our board of directors is the Chief Investment Officer of Casdin Capital LLC and the managing member of Casdin Partners GP, LLC.</w:t>
      </w:r>
    </w:p>
    <w:p>
      <w:pPr>
        <w:spacing w:after="0" w:line="2" w:lineRule="exact"/>
        <w:rPr>
          <w:rFonts w:ascii="Arial" w:cs="Arial" w:eastAsia="Arial" w:hAnsi="Arial"/>
          <w:sz w:val="18"/>
          <w:szCs w:val="18"/>
          <w:color w:val="auto"/>
        </w:rPr>
      </w:pPr>
    </w:p>
    <w:p>
      <w:pPr>
        <w:ind w:left="540" w:right="460" w:hanging="424"/>
        <w:spacing w:after="0" w:line="25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Entities affiliated with Fidelity holding our securities are aggregate for reporting ownership information include Fidelity Advisor Series VII: Fidelity Advisor Biotechnology Fund and Fidelity Select Portfolios: Biotechnology Portfolio.</w:t>
      </w:r>
    </w:p>
    <w:p>
      <w:pPr>
        <w:ind w:left="540" w:right="220" w:hanging="424"/>
        <w:spacing w:after="0" w:line="260"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Entities affiliated with RTW Investments, LP holding our securities are aggregate for reporting ownership information include RTW Innovation Master Fund, Ltd., RTW Master Fund, Ltd., and RTW Venture Fund Limited.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shares of Series C convertible preferred stock were converted into common stock in connection with our initial public offering in August 2021.</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amended and restated certificate of incorporation contains provisions limiting the liability of the members of our board of directors, and our Bylaws provide that we will indemnify each of our officers and the members of our board of directors to the fullest extent permitted under Delaware law. Our amended and restated certificate of incorporation and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 party transaction.</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June 2021, our board of directors adopted a formal written policy governing our entry into any transaction that exceeds $120,000 and in which any related person has a direct or indirect material interest. The policy provides that management shall present related party transactions to the audit committee for approval. The policy does not prevent management from entering into any related party transaction without prior approval of the audit committee, so long as such related party transaction is thereafter presented to the audit committee for ratification.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jc w:val="both"/>
        <w:ind w:left="120" w:right="280"/>
        <w:spacing w:after="0" w:line="279" w:lineRule="auto"/>
        <w:rPr>
          <w:sz w:val="20"/>
          <w:szCs w:val="20"/>
          <w:color w:val="auto"/>
        </w:rPr>
      </w:pPr>
      <w:r>
        <w:rPr>
          <w:rFonts w:ascii="Arial" w:cs="Arial" w:eastAsia="Arial" w:hAnsi="Arial"/>
          <w:sz w:val="17"/>
          <w:szCs w:val="17"/>
          <w:color w:val="auto"/>
        </w:rPr>
        <w:t>Section 16(a) of the Exchange Act requires that our directors and executive officers, and persons who own more than 10% of our common stock, file reports of ownership and changes in ownership with the SEC. Based on our review of such filings and written representations from certain reporting persons that no Form 5 is required, we believe that during the fiscal year ended December 31, 2021, all directors, executive officers and greater than 10% stockholders complied with all Section 16(a) filing requirements applicable to them.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Annual Report and SEC Filings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Our financial statements for our fiscal year ended December 31, 2021 are included in our Annual Report on Form 10-K for the year ended December 31, 2021 filed with the SEC on March 23, 2022. Our proxy materials and our annual report are posted on our website at </w:t>
      </w:r>
      <w:r>
        <w:rPr>
          <w:rFonts w:ascii="Arial" w:cs="Arial" w:eastAsia="Arial" w:hAnsi="Arial"/>
          <w:sz w:val="18"/>
          <w:szCs w:val="18"/>
          <w:u w:val="single" w:color="auto"/>
          <w:color w:val="auto"/>
        </w:rPr>
        <w:t>www.tenayatherapeutics.com</w:t>
      </w:r>
      <w:r>
        <w:rPr>
          <w:rFonts w:ascii="Arial" w:cs="Arial" w:eastAsia="Arial" w:hAnsi="Arial"/>
          <w:sz w:val="18"/>
          <w:szCs w:val="18"/>
          <w:color w:val="auto"/>
        </w:rPr>
        <w:t xml:space="preserve"> and are available from the SEC at its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You may also obtain a copy of our annual report, free of charge, by sending a written</w:t>
      </w:r>
      <w:r>
        <w:rPr>
          <w:rFonts w:ascii="Arial" w:cs="Arial" w:eastAsia="Arial" w:hAnsi="Arial"/>
          <w:sz w:val="18"/>
          <w:szCs w:val="18"/>
          <w:color w:val="auto"/>
        </w:rPr>
        <w:t xml:space="preserve"> </w:t>
      </w:r>
      <w:r>
        <w:rPr>
          <w:rFonts w:ascii="Arial" w:cs="Arial" w:eastAsia="Arial" w:hAnsi="Arial"/>
          <w:sz w:val="18"/>
          <w:szCs w:val="18"/>
          <w:b w:val="1"/>
          <w:bCs w:val="1"/>
          <w:color w:val="auto"/>
        </w:rPr>
        <w:t>request to:</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Tenaya Therapeutics,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 Oyster Point Boulevard, 5th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 San Francisco,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220345</wp:posOffset>
            </wp:positionV>
            <wp:extent cx="6360795" cy="8229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220345</wp:posOffset>
            </wp:positionV>
            <wp:extent cx="6360795" cy="8229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decimal"/>
      <w:start w:val="3"/>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3"/>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2"/>
    </w:lvl>
  </w:abstractNum>
  <w:abstractNum w:abstractNumId="34">
    <w:nsid w:val="5072367"/>
    <w:multiLevelType w:val="hybridMultilevel"/>
    <w:lvl w:ilvl="0">
      <w:lvlJc w:val="left"/>
      <w:lvlText w:val="(%1)"/>
      <w:numFmt w:val="decimal"/>
      <w:start w:val="12"/>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2022-04-28T17:23:34Z</dcterms:created>
  <dcterms:modified xsi:type="dcterms:W3CDTF">2022-04-28T17:23:34Z</dcterms:modified>
</cp:coreProperties>
</file>