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8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1)*</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13G/A is filed:</w:t>
      </w:r>
    </w:p>
    <w:p>
      <w:pPr>
        <w:spacing w:after="0" w:line="229" w:lineRule="exact"/>
        <w:rPr>
          <w:sz w:val="24"/>
          <w:szCs w:val="24"/>
          <w:color w:val="auto"/>
        </w:rPr>
      </w:pPr>
    </w:p>
    <w:p>
      <w:pPr>
        <w:jc w:val="both"/>
        <w:ind w:left="640" w:right="8840"/>
        <w:spacing w:after="0" w:line="258"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5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56"/>
        <w:spacing w:after="0" w:line="242" w:lineRule="auto"/>
        <w:tabs>
          <w:tab w:leader="none" w:pos="7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221"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87990A106</w:t>
            </w:r>
          </w:p>
        </w:tc>
        <w:tc>
          <w:tcPr>
            <w:tcW w:w="63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2 of 7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34"/>
              <w:spacing w:after="0"/>
              <w:rPr>
                <w:sz w:val="20"/>
                <w:szCs w:val="20"/>
                <w:color w:val="auto"/>
              </w:rPr>
            </w:pPr>
            <w:r>
              <w:rPr>
                <w:rFonts w:ascii="Times New Roman" w:cs="Times New Roman" w:eastAsia="Times New Roman" w:hAnsi="Times New Roman"/>
                <w:sz w:val="29"/>
                <w:szCs w:val="29"/>
                <w:b w:val="1"/>
                <w:bCs w:val="1"/>
                <w:color w:val="auto"/>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RTW Investments, LP</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17"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840" w:type="dxa"/>
            <w:vAlign w:val="bottom"/>
            <w:vMerge w:val="continue"/>
          </w:tcPr>
          <w:p>
            <w:pPr>
              <w:spacing w:after="0"/>
              <w:rPr>
                <w:sz w:val="6"/>
                <w:szCs w:val="6"/>
                <w:color w:val="auto"/>
              </w:rPr>
            </w:pPr>
          </w:p>
        </w:tc>
        <w:tc>
          <w:tcPr>
            <w:tcW w:w="63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2" w:lineRule="auto"/>
        <w:tabs>
          <w:tab w:leader="none" w:pos="1920" w:val="left"/>
        </w:tabs>
        <w:numPr>
          <w:ilvl w:val="0"/>
          <w:numId w:val="3"/>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jc w:val="right"/>
              <w:ind w:right="174"/>
              <w:spacing w:after="0"/>
              <w:rPr>
                <w:sz w:val="20"/>
                <w:szCs w:val="20"/>
                <w:color w:val="auto"/>
              </w:rPr>
            </w:pPr>
            <w:r>
              <w:rPr>
                <w:rFonts w:ascii="Times New Roman" w:cs="Times New Roman" w:eastAsia="Times New Roman" w:hAnsi="Times New Roman"/>
                <w:sz w:val="20"/>
                <w:szCs w:val="20"/>
                <w:color w:val="auto"/>
              </w:rPr>
              <w:t>Delaware</w:t>
            </w:r>
          </w:p>
        </w:tc>
        <w:tc>
          <w:tcPr>
            <w:tcW w:w="7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29"/>
                <w:szCs w:val="29"/>
                <w:b w:val="1"/>
                <w:bCs w:val="1"/>
                <w:color w:val="auto"/>
              </w:rPr>
              <w:t>5</w:t>
            </w:r>
          </w:p>
        </w:tc>
        <w:tc>
          <w:tcPr>
            <w:tcW w:w="7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7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54"/>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7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54"/>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7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29"/>
                <w:szCs w:val="29"/>
                <w:b w:val="1"/>
                <w:bCs w:val="1"/>
                <w:color w:val="auto"/>
              </w:rPr>
              <w:t>8</w:t>
            </w:r>
          </w:p>
        </w:tc>
        <w:tc>
          <w:tcPr>
            <w:tcW w:w="7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7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1920" w:hanging="1079"/>
        <w:spacing w:after="0" w:line="180" w:lineRule="auto"/>
        <w:tabs>
          <w:tab w:leader="none" w:pos="1920" w:val="left"/>
        </w:tabs>
        <w:numPr>
          <w:ilvl w:val="0"/>
          <w:numId w:val="4"/>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77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1500" w:type="dxa"/>
            <w:vAlign w:val="bottom"/>
            <w:tcBorders>
              <w:bottom w:val="single" w:sz="8" w:color="auto"/>
            </w:tcBorders>
          </w:tcPr>
          <w:p>
            <w:pPr>
              <w:spacing w:after="0"/>
              <w:rPr>
                <w:sz w:val="6"/>
                <w:szCs w:val="6"/>
                <w:color w:val="auto"/>
              </w:rPr>
            </w:pPr>
          </w:p>
        </w:tc>
        <w:tc>
          <w:tcPr>
            <w:tcW w:w="77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500" w:type="dxa"/>
            <w:vAlign w:val="bottom"/>
          </w:tcPr>
          <w:p>
            <w:pPr>
              <w:jc w:val="center"/>
              <w:ind w:left="188"/>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7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770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0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00" w:type="dxa"/>
            <w:vAlign w:val="bottom"/>
            <w:vMerge w:val="restart"/>
          </w:tcPr>
          <w:p>
            <w:pPr>
              <w:jc w:val="center"/>
              <w:ind w:left="188"/>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vMerge w:val="continue"/>
          </w:tcPr>
          <w:p>
            <w:pPr>
              <w:spacing w:after="0"/>
              <w:rPr>
                <w:sz w:val="15"/>
                <w:szCs w:val="15"/>
                <w:color w:val="auto"/>
              </w:rPr>
            </w:pPr>
          </w:p>
        </w:tc>
        <w:tc>
          <w:tcPr>
            <w:tcW w:w="77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00" w:type="dxa"/>
            <w:vAlign w:val="bottom"/>
            <w:vMerge w:val="restart"/>
          </w:tcPr>
          <w:p>
            <w:pPr>
              <w:jc w:val="center"/>
              <w:ind w:left="188"/>
              <w:spacing w:after="0"/>
              <w:rPr>
                <w:sz w:val="20"/>
                <w:szCs w:val="20"/>
                <w:color w:val="auto"/>
              </w:rPr>
            </w:pPr>
            <w:r>
              <w:rPr>
                <w:rFonts w:ascii="Times New Roman" w:cs="Times New Roman" w:eastAsia="Times New Roman" w:hAnsi="Times New Roman"/>
                <w:sz w:val="29"/>
                <w:szCs w:val="29"/>
                <w:b w:val="1"/>
                <w:bCs w:val="1"/>
                <w:color w:val="auto"/>
              </w:rPr>
              <w:t>12</w:t>
            </w:r>
          </w:p>
        </w:tc>
        <w:tc>
          <w:tcPr>
            <w:tcW w:w="7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vMerge w:val="continue"/>
          </w:tcPr>
          <w:p>
            <w:pPr>
              <w:spacing w:after="0"/>
              <w:rPr>
                <w:sz w:val="15"/>
                <w:szCs w:val="15"/>
                <w:color w:val="auto"/>
              </w:rPr>
            </w:pPr>
          </w:p>
        </w:tc>
        <w:tc>
          <w:tcPr>
            <w:tcW w:w="77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PN, IA</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87990A106</w:t>
            </w:r>
          </w:p>
        </w:tc>
        <w:tc>
          <w:tcPr>
            <w:tcW w:w="63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3 of 7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34"/>
              <w:spacing w:after="0"/>
              <w:rPr>
                <w:sz w:val="20"/>
                <w:szCs w:val="20"/>
                <w:color w:val="auto"/>
              </w:rPr>
            </w:pPr>
            <w:r>
              <w:rPr>
                <w:rFonts w:ascii="Times New Roman" w:cs="Times New Roman" w:eastAsia="Times New Roman" w:hAnsi="Times New Roman"/>
                <w:sz w:val="29"/>
                <w:szCs w:val="29"/>
                <w:b w:val="1"/>
                <w:bCs w:val="1"/>
                <w:color w:val="auto"/>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Roderick Wong, M.D.</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17"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840" w:type="dxa"/>
            <w:vAlign w:val="bottom"/>
            <w:vMerge w:val="continue"/>
          </w:tcPr>
          <w:p>
            <w:pPr>
              <w:spacing w:after="0"/>
              <w:rPr>
                <w:sz w:val="6"/>
                <w:szCs w:val="6"/>
                <w:color w:val="auto"/>
              </w:rPr>
            </w:pPr>
          </w:p>
        </w:tc>
        <w:tc>
          <w:tcPr>
            <w:tcW w:w="63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2" w:lineRule="auto"/>
        <w:tabs>
          <w:tab w:leader="none" w:pos="1920" w:val="left"/>
        </w:tabs>
        <w:numPr>
          <w:ilvl w:val="0"/>
          <w:numId w:val="5"/>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94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7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7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8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54"/>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7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54"/>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7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7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8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1920" w:hanging="1079"/>
        <w:spacing w:after="0" w:line="180" w:lineRule="auto"/>
        <w:tabs>
          <w:tab w:leader="none" w:pos="1920" w:val="left"/>
        </w:tabs>
        <w:numPr>
          <w:ilvl w:val="0"/>
          <w:numId w:val="6"/>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77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1500" w:type="dxa"/>
            <w:vAlign w:val="bottom"/>
            <w:tcBorders>
              <w:bottom w:val="single" w:sz="8" w:color="auto"/>
            </w:tcBorders>
          </w:tcPr>
          <w:p>
            <w:pPr>
              <w:spacing w:after="0"/>
              <w:rPr>
                <w:sz w:val="6"/>
                <w:szCs w:val="6"/>
                <w:color w:val="auto"/>
              </w:rPr>
            </w:pPr>
          </w:p>
        </w:tc>
        <w:tc>
          <w:tcPr>
            <w:tcW w:w="77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500" w:type="dxa"/>
            <w:vAlign w:val="bottom"/>
          </w:tcPr>
          <w:p>
            <w:pPr>
              <w:jc w:val="center"/>
              <w:ind w:left="188"/>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7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770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0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00" w:type="dxa"/>
            <w:vAlign w:val="bottom"/>
            <w:vMerge w:val="restart"/>
          </w:tcPr>
          <w:p>
            <w:pPr>
              <w:jc w:val="center"/>
              <w:ind w:left="188"/>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vMerge w:val="continue"/>
          </w:tcPr>
          <w:p>
            <w:pPr>
              <w:spacing w:after="0"/>
              <w:rPr>
                <w:sz w:val="15"/>
                <w:szCs w:val="15"/>
                <w:color w:val="auto"/>
              </w:rPr>
            </w:pPr>
          </w:p>
        </w:tc>
        <w:tc>
          <w:tcPr>
            <w:tcW w:w="77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00" w:type="dxa"/>
            <w:vAlign w:val="bottom"/>
            <w:vMerge w:val="restart"/>
          </w:tcPr>
          <w:p>
            <w:pPr>
              <w:jc w:val="center"/>
              <w:ind w:left="188"/>
              <w:spacing w:after="0"/>
              <w:rPr>
                <w:sz w:val="20"/>
                <w:szCs w:val="20"/>
                <w:color w:val="auto"/>
              </w:rPr>
            </w:pPr>
            <w:r>
              <w:rPr>
                <w:rFonts w:ascii="Times New Roman" w:cs="Times New Roman" w:eastAsia="Times New Roman" w:hAnsi="Times New Roman"/>
                <w:sz w:val="29"/>
                <w:szCs w:val="29"/>
                <w:b w:val="1"/>
                <w:bCs w:val="1"/>
                <w:color w:val="auto"/>
              </w:rPr>
              <w:t>12</w:t>
            </w:r>
          </w:p>
        </w:tc>
        <w:tc>
          <w:tcPr>
            <w:tcW w:w="7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vMerge w:val="continue"/>
          </w:tcPr>
          <w:p>
            <w:pPr>
              <w:spacing w:after="0"/>
              <w:rPr>
                <w:sz w:val="15"/>
                <w:szCs w:val="15"/>
                <w:color w:val="auto"/>
              </w:rPr>
            </w:pPr>
          </w:p>
        </w:tc>
        <w:tc>
          <w:tcPr>
            <w:tcW w:w="77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IN, HC</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87990A106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2"/>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name of the issuer is Tenaya Therapeutics,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30"/>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w w:val="98"/>
              </w:rPr>
              <w:t>The Company's principal executive offices are located at 171 Oyster Point Boulevard, 5th Floor, South San Francisco,</w:t>
            </w:r>
          </w:p>
        </w:tc>
      </w:tr>
      <w:tr>
        <w:trPr>
          <w:trHeight w:val="258"/>
        </w:trPr>
        <w:tc>
          <w:tcPr>
            <w:tcW w:w="1260" w:type="dxa"/>
            <w:vAlign w:val="bottom"/>
          </w:tcPr>
          <w:p>
            <w:pPr>
              <w:spacing w:after="0"/>
              <w:rPr>
                <w:sz w:val="22"/>
                <w:szCs w:val="22"/>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CA 94080.</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8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w w:val="99"/>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80" w:type="dxa"/>
            <w:vAlign w:val="bottom"/>
            <w:gridSpan w:val="12"/>
          </w:tcPr>
          <w:p>
            <w:pPr>
              <w:ind w:left="12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that were</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8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directly held by the RTW Funds; and</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8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Roderick Wong, M.D. ("Dr.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8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Investments, with respect to the Shares that were directly held by the RTW Funds.</w:t>
            </w:r>
          </w:p>
        </w:tc>
      </w:tr>
      <w:tr>
        <w:trPr>
          <w:trHeight w:val="413"/>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8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w w:val="98"/>
              </w:rPr>
              <w:t>The address of the business office of each of the Reporting Persons is 40 10</w:t>
            </w:r>
            <w:r>
              <w:rPr>
                <w:rFonts w:ascii="Times New Roman" w:cs="Times New Roman" w:eastAsia="Times New Roman" w:hAnsi="Times New Roman"/>
                <w:sz w:val="32"/>
                <w:szCs w:val="32"/>
                <w:color w:val="auto"/>
                <w:w w:val="98"/>
                <w:vertAlign w:val="superscript"/>
              </w:rPr>
              <w:t>th</w:t>
            </w:r>
            <w:r>
              <w:rPr>
                <w:rFonts w:ascii="Times New Roman" w:cs="Times New Roman" w:eastAsia="Times New Roman" w:hAnsi="Times New Roman"/>
                <w:sz w:val="20"/>
                <w:szCs w:val="20"/>
                <w:color w:val="auto"/>
                <w:w w:val="98"/>
              </w:rPr>
              <w:t xml:space="preserve"> Avenue, Floor 7,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10014.</w:t>
            </w: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RTW Investments is a Delaware limited partnership. Dr. Wong is a citizen of the United States.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Common Stock, par value $0.0001 per share (the "Shares").</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87990A106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87990A106</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75" w:lineRule="exact"/>
        <w:rPr>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7"/>
        <w:spacing w:after="0" w:line="260" w:lineRule="exact"/>
        <w:tabs>
          <w:tab w:leader="none" w:pos="2572"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75" w:lineRule="exact"/>
        <w:rPr>
          <w:sz w:val="20"/>
          <w:szCs w:val="20"/>
          <w:color w:val="auto"/>
        </w:rPr>
      </w:pPr>
    </w:p>
    <w:p>
      <w:pPr>
        <w:ind w:left="3080" w:right="3280" w:hanging="1287"/>
        <w:spacing w:after="0" w:line="260" w:lineRule="exact"/>
        <w:tabs>
          <w:tab w:leader="none" w:pos="2569"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7"/>
        <w:spacing w:after="0" w:line="260" w:lineRule="exact"/>
        <w:tabs>
          <w:tab w:leader="none" w:pos="2572"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6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00" w:lineRule="exact"/>
        <w:rPr>
          <w:sz w:val="20"/>
          <w:szCs w:val="20"/>
          <w:color w:val="auto"/>
        </w:rPr>
      </w:pPr>
    </w:p>
    <w:p>
      <w:pPr>
        <w:spacing w:after="0" w:line="27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-46355</wp:posOffset>
            </wp:positionV>
            <wp:extent cx="254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14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42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right="200"/>
        <w:spacing w:after="0" w:line="268"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Persons have ceased to be the beneficial owner of more than 5 percent of the class of securities, check the following: </w:t>
      </w:r>
      <w:r>
        <w:rPr>
          <w:rFonts w:ascii="Arial" w:cs="Arial" w:eastAsia="Arial" w:hAnsi="Arial"/>
          <w:sz w:val="20"/>
          <w:szCs w:val="20"/>
          <w:b w:val="1"/>
          <w:bCs w:val="1"/>
          <w:color w:val="auto"/>
        </w:rPr>
        <w:t>ý</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87990A106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800" w:right="100" w:hanging="1687"/>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87990A106</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Roderick Wong, M.D.</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2024-02-14T06:33:13Z</dcterms:created>
  <dcterms:modified xsi:type="dcterms:W3CDTF">2024-02-14T06:33:13Z</dcterms:modified>
</cp:coreProperties>
</file>