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James Evangelista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 Letterman Drive, Building D, Suite DM-900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94129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 865-2050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12/15/2025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III,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4,414,720.00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4,414,720.00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4,414,720.00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such shares are held of record by TCG III LP (as defined in Item 2(a) of the Original Schedule 13D). TCG III GP</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LP (as defined in Item 2(a) of the Original Schedule 13D) is the general partner of TCG III LP and may be deemed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have voting, investment and dispositive power with respect to these securities. Peter Svennilson, David Goeddel, a</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member of the Issuer's board of directors, and Tim Kutzkey are the managing partners of TCG III GP LP and may each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be deemed to share voting, investment and dispositive power with respect to these securities. Based on 213,744,535</w:t>
      </w: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shares of Common Stock outstanding as of December 15, 2025, as reported by the Issuer in its prospectus supplement filed pursuant to Rule 424(b)(5) with the Securities and Exchange Commission (the Commission) on December 12, 2025 (the Prospectus).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III-A,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26"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4,985,570.00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4,985,570.00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4,985,570.00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such shares are held of record by TCG III-A LP (as defined in Item 2(a) of the Original Schedule 13D). TCG III</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GP LP is the general partner of TCG III-A LP and may be deemed to have voting, investment and dispositive power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with respect to these securities. Peter Svennilson, David Goeddel, a member of the Issuer's board of directors, and Tim</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Kutzkey are the managing partners of TCG III GP LP and may each be deemed to share voting, investment and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dispositive power with respect to these securities. Based on 213,744,535 shares of Common Stock outstanding as of</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December 15, 2025, as reported by the Issuer in the 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III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240"/>
          </w:cols>
          <w:pgMar w:left="320" w:top="111" w:right="33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  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9,400,290.00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9,400,290.00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9,400,290.00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4,414,720 shares held of record by TCG III LP and (ii) 4,985,570 shares held of record by TCG III-A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7"/>
              </w:rPr>
              <w:t>LP. TCG III GP LP is the general partner of each of TCG III LP and TCG III-A LP and may be deemed to have voting,</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investment and dispositive power with respect to these securities. Peter Svennilson, David Goeddel, a member of the</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Issuer's board of directors, and Tim Kutzkey are the managing partners of TCG III GP LP and may each be deemed to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share voting, investment and dispositive power with respect to these securities. Based on 213,744,535 shares of</w:t>
      </w:r>
    </w:p>
    <w:p>
      <w:pPr>
        <w:ind w:left="920"/>
        <w:spacing w:after="0"/>
        <w:rPr>
          <w:sz w:val="20"/>
          <w:szCs w:val="20"/>
          <w:color w:val="auto"/>
        </w:rPr>
      </w:pPr>
      <w:r>
        <w:rPr>
          <w:rFonts w:ascii="Times New Roman" w:cs="Times New Roman" w:eastAsia="Times New Roman" w:hAnsi="Times New Roman"/>
          <w:sz w:val="22"/>
          <w:szCs w:val="22"/>
          <w:color w:val="auto"/>
        </w:rPr>
        <w:t>Common Stock outstanding as of December 15, 2025, as reported by the Issuer in the 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Opportunity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49,313,559.00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4" w:name="page5"/>
    <w:bookmarkEnd w:id="4"/>
    <w:p>
      <w:pPr>
        <w:spacing w:after="0" w:line="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49,313,559.00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49,313,559.00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All such shares are held of record by TCG Opportunity III LP (as defined in Item 2(a) of the Original Schedule 13D).</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6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TCG Opportunity III GP LP (as defined in Item 2(a) of the Original Schedule 13D) is the general partner of TCG</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Opportunity III LP and may be deemed to have voting, investment and dispositive power with respect to these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securities. TCG Opportunity III GP LLC (as defined in Item 2(a) of the Original Schedule 13D) is the general partner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of TCG Opportunity III GP LP and the ultimate general partner of TCG Opportunity III LP and may be deemed to</w:t>
      </w:r>
    </w:p>
    <w:p>
      <w:pPr>
        <w:spacing w:after="0" w:line="1"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have voting, investment and dispositive power with respect to these securities. Peter Svennilson, David Goeddel, a member of the Issuer's board of directors, and Tim Kutzkey are 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(as defined in Item 6). Based on 213,744,535 shares of Common Stock outstanding as of December 15, 2025, as reported by the Issuer in the Prospectus.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Opportunity III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49,313,559.00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59" w:orient="portrait"/>
          <w:cols w:equalWidth="0" w:num="1">
            <w:col w:w="11240"/>
          </w:cols>
          <w:pgMar w:left="320" w:top="355" w:right="339" w:bottom="0" w:gutter="0" w:footer="0" w:header="0"/>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59" w:orient="portrait"/>
          <w:cols w:equalWidth="0" w:num="1">
            <w:col w:w="11240"/>
          </w:cols>
          <w:pgMar w:left="320" w:top="355" w:right="339" w:bottom="0" w:gutter="0" w:footer="0" w:header="0"/>
          <w:type w:val="continuous"/>
        </w:sectPr>
      </w:pPr>
    </w:p>
    <w:bookmarkStart w:id="5" w:name="page6"/>
    <w:bookmarkEnd w:id="5"/>
    <w:p>
      <w:pPr>
        <w:ind w:left="120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49,313,559.00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49,313,559.00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such shares are held of record by TCG Opportunity III LP. TCG Opportunity III GP LP is the general partner of</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TCG Opportunity III LP and may be deemed to have voting, investment and dispositive power with respect to these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securities. TCG Opportunity III GP LLC is the general partner of TCG Opportunity III GP LP and the ultimate general</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partner of TCG Opportunity III LP and may be deemed to have voting, investment and dispositive power with respect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to these securities. Peter Svennilson, David Goeddel, a member of the Issuer's board of directors, and Tim Kutzkey are</w:t>
      </w: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Based on 213,744,535 shares of Common Stock outstanding as of December 15, 2025, as reported by the Issuer in the Prospectus.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TCG Opportunity III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49,313,559.00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49,313,559.00</w:t>
      </w:r>
    </w:p>
    <w:p>
      <w:pPr>
        <w:sectPr>
          <w:pgSz w:w="11900" w:h="16838" w:orient="portrait"/>
          <w:cols w:equalWidth="0" w:num="2">
            <w:col w:w="1100" w:space="60"/>
            <w:col w:w="10080"/>
          </w:cols>
          <w:pgMar w:left="320" w:top="111" w:right="339" w:bottom="0" w:gutter="0" w:footer="0" w:header="0"/>
          <w:type w:val="continuous"/>
        </w:sectPr>
      </w:pPr>
    </w:p>
    <w:bookmarkStart w:id="6" w:name="page7"/>
    <w:bookmarkEnd w:id="6"/>
    <w:p>
      <w:pPr>
        <w:ind w:left="1160" w:right="4580" w:hanging="1112"/>
        <w:spacing w:after="0" w:line="371" w:lineRule="auto"/>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49,313,559.00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such shares are held of record by TCG Opportunity III LP. TCG Opportunity III GP LP is the general partner of</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TCG Opportunity III LP and may be deemed to have voting, investment and dispositive power with respect to these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securities. TCG Opportunity III GP LLC is the general partner of TCG Opportunity III GP LP and the ultimate general</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partner of TCG Opportunity III LP and may be deemed to have voting, investment and dispositive power with respect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to these securities. Peter Svennilson, David Goeddel, a member of the Issuer's board of directors, and Tim Kutzkey are</w:t>
      </w: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Based on 213,744,535 shares of Common Stock outstanding as of December 15, 2025, as reported by the Issuer in the Prospectus.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171 Oyster Point Boulevard, Suite 500, South San Francisco, CALIFORNIA , 94080.</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(this Amendment No. 5) supplements and amends the Schedule 13D relating to the Common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Stock of the Issuer that was filed with the Commission on December 1, 2022 (the Initial Schedule 13D), as amended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by Amendment No. 1 filed with the Commission on February 21, 2023, by Amendment No. 2 filed with the Commission on February 14, 2024 and Amendment No. 3 filed with the Commission on March 7, 2025 and Amendment No. 4 filed with the Commission on May 7, 2025 (the Initial Schedule 13D, together with all amendments thereto, the Original Schedule 13D). The securities originally reported on the Initial Schedule 13D were previously reported on a Schedule 13G filed with the Commission on February 11, 2022 (the Schedule 13G). The Schedule 13G was filed pursuant to Rule 13d-1(d) of the Securities Exchange Act. This Amendment No. 5 is being filed to update the aggregate percentage of the Issuer's Common Stock owned by the Reporting Persons solely due to dilution caused by, among other things, the Issuer's sales of additional shares of its Common Stock from time to time since the date of the filing of the Original Schedule 13D and not in connection with a disposition of any shares by the Reporting Persons. Such dilution resulted in a decrease of over one percent (1%) in the aggregate percentage ownership reported by the Reporting Persons in the Original Schedule 13D. Only those items that are reported are hereby amended; all other items reported in the Original Schedule 13D remain unchanged. Capitalized terms contained herein but not otherwise defined shall have the meanings ascribed to such terms in the Original Schedule</w:t>
      </w:r>
    </w:p>
    <w:p>
      <w:pPr>
        <w:spacing w:after="0" w:line="2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13D.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2(a)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2(b)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2(c)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2(d)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2(e)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40" w:right="1320" w:firstLine="8"/>
        <w:spacing w:after="0" w:line="281" w:lineRule="auto"/>
        <w:tabs>
          <w:tab w:leader="none" w:pos="95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2(f) of the Original Schedule 13D is incorporated herein by reference. Item 3. Source and Amount of Funds or Other Consideration</w:t>
      </w:r>
    </w:p>
    <w:p>
      <w:pPr>
        <w:spacing w:after="0" w:line="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3 of the Original Schedule 13D is incorporated herein by reference.</w:t>
      </w:r>
    </w:p>
    <w:p>
      <w:pPr>
        <w:sectPr>
          <w:pgSz w:w="11900" w:h="16838" w:orient="portrait"/>
          <w:cols w:equalWidth="0" w:num="1">
            <w:col w:w="11240"/>
          </w:cols>
          <w:pgMar w:left="320" w:top="111" w:right="339" w:bottom="0" w:gutter="0" w:footer="0" w:header="0"/>
        </w:sectPr>
      </w:pPr>
    </w:p>
    <w:bookmarkStart w:id="7" w:name="page8"/>
    <w:bookmarkEnd w:id="7"/>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5" w:lineRule="exact"/>
        <w:rPr>
          <w:sz w:val="20"/>
          <w:szCs w:val="20"/>
          <w:color w:val="auto"/>
        </w:rPr>
      </w:pPr>
    </w:p>
    <w:p>
      <w:pPr>
        <w:ind w:right="1480" w:firstLine="918"/>
        <w:spacing w:after="0" w:line="281" w:lineRule="auto"/>
        <w:rPr>
          <w:sz w:val="20"/>
          <w:szCs w:val="20"/>
          <w:color w:val="auto"/>
        </w:rPr>
      </w:pPr>
      <w:r>
        <w:rPr>
          <w:rFonts w:ascii="Times New Roman" w:cs="Times New Roman" w:eastAsia="Times New Roman" w:hAnsi="Times New Roman"/>
          <w:sz w:val="22"/>
          <w:szCs w:val="22"/>
          <w:color w:val="auto"/>
        </w:rPr>
        <w:t>The information set forth in Item 4 of the Original Schedule 13D is incorporated herein by reference. Item 5. Interest in Securities of the Issuer</w:t>
      </w:r>
    </w:p>
    <w:p>
      <w:pPr>
        <w:spacing w:after="0" w:line="2"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Items 7-11 of the cover pages of this Amendment No. 4.</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Items 7-11 of the cover pages of this Amendment No. 4.</w:t>
      </w:r>
    </w:p>
    <w:p>
      <w:pPr>
        <w:spacing w:after="0" w:line="44"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1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reported in this Statement, none of the Reporting Persons has affected any transactions in the Issuer's securities within the past 60 days.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Under certain circumstances set forth in the limited partnership agreements of each of TCG III LP, TCG III-A LP and</w:t>
      </w:r>
    </w:p>
    <w:p>
      <w:pPr>
        <w:spacing w:after="0" w:line="25" w:lineRule="exact"/>
        <w:rPr>
          <w:rFonts w:ascii="Times New Roman" w:cs="Times New Roman" w:eastAsia="Times New Roman" w:hAnsi="Times New Roman"/>
          <w:sz w:val="39"/>
          <w:szCs w:val="39"/>
          <w:color w:val="auto"/>
          <w:vertAlign w:val="subscript"/>
        </w:rPr>
      </w:pPr>
    </w:p>
    <w:p>
      <w:pPr>
        <w:ind w:left="920" w:right="40" w:hanging="912"/>
        <w:spacing w:after="0" w:line="184" w:lineRule="auto"/>
        <w:tabs>
          <w:tab w:leader="none" w:pos="920" w:val="left"/>
        </w:tabs>
        <w:numPr>
          <w:ilvl w:val="0"/>
          <w:numId w:val="1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TCG Opportunity III LP, the general partner and limited partners of TCG III LP, TCG III-A LP and TCG Opportunity III LP, as applicable, may be deemed to have the right to receive dividends from, or the proceeds from, the sale of shares of the Issuer owned by such entity of which they are a partner.</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480" w:hanging="917"/>
        <w:spacing w:after="0" w:line="335" w:lineRule="auto"/>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 The information set forth in Item 6 of the Original Schedule 13D is incorporated herein by reference.</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The Column Group III,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The Column Group III-A,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The Column Group III GP,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The Column Group Opportunity III,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The Column Group Opportunity III GP,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TCG Opportunity III GP, LLC</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4"/>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2"/>
      <w:numFmt w:val="bullet"/>
      <w:start w:val="1"/>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2"/>
      <w:numFmt w:val="bullet"/>
      <w:start w:val="1"/>
    </w:lvl>
  </w:abstractNum>
  <w:abstractNum w:abstractNumId="10">
    <w:nsid w:val="3352255A"/>
    <w:multiLevelType w:val="hybridMultilevel"/>
    <w:lvl w:ilvl="0">
      <w:lvlJc w:val="left"/>
      <w:lvlText w:val="3"/>
      <w:numFmt w:val="bullet"/>
      <w:start w:val="1"/>
    </w:lvl>
  </w:abstractNum>
  <w:abstractNum w:abstractNumId="11">
    <w:nsid w:val="109CF92E"/>
    <w:multiLevelType w:val="hybridMultilevel"/>
    <w:lvl w:ilvl="0">
      <w:lvlJc w:val="left"/>
      <w:lvlText w:val="2"/>
      <w:numFmt w:val="bullet"/>
      <w:start w:val="1"/>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2025-12-17T15:21:51Z</dcterms:created>
  <dcterms:modified xsi:type="dcterms:W3CDTF">2025-12-17T15:21:51Z</dcterms:modified>
</cp:coreProperties>
</file>