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#87990A106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3,124,956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3,125,298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3,125,298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7.555%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3,125,298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3,125,298</w:t>
      </w:r>
    </w:p>
    <w:p>
      <w:pPr>
        <w:spacing w:after="0"/>
        <w:rPr>
          <w:sz w:val="20"/>
          <w:szCs w:val="20"/>
          <w:color w:val="auto"/>
        </w:rPr>
      </w:pPr>
      <w:r>
        <w:rPr>
          <w:rFonts w:ascii="Courier New" w:cs="Courier New" w:eastAsia="Courier New" w:hAnsi="Courier New"/>
          <w:sz w:val="18"/>
          <w:szCs w:val="18"/>
          <w:color w:val="auto"/>
        </w:rPr>
        <w:t>Item 11: 7.555%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171 OYSTER POINT BLVD, SUITE 500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3,125,298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7.555%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3,125,298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TENAYA THERAPEUTICS INC. No one other person's interest in the COMMON STOCK of TENAYA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7,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October 7, 2022, agree and consent to the joint filing on their behalf of this Schedule 13G in connection with their beneficial ownership of the COMMON STOCK of TENAYA THERAPEUTICS INC at September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2022-10-11T08:06:16Z</dcterms:created>
  <dcterms:modified xsi:type="dcterms:W3CDTF">2022-10-11T08:06:16Z</dcterms:modified>
</cp:coreProperties>
</file>