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November 10, 2021</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490" w:right="499" w:bottom="1440" w:gutter="0" w:footer="0" w:header="0"/>
        </w:sectPr>
      </w:pPr>
    </w:p>
    <w:p>
      <w:pPr>
        <w:spacing w:after="0" w:line="205"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31" w:lineRule="exact"/>
        <w:rPr>
          <w:sz w:val="24"/>
          <w:szCs w:val="24"/>
          <w:color w:val="auto"/>
        </w:rPr>
      </w:pPr>
    </w:p>
    <w:p>
      <w:pPr>
        <w:sectPr>
          <w:pgSz w:w="11900" w:h="16838" w:orient="portrait"/>
          <w:cols w:equalWidth="0" w:num="3">
            <w:col w:w="4760" w:space="720"/>
            <w:col w:w="2580" w:space="720"/>
            <w:col w:w="2300"/>
          </w:cols>
          <w:pgMar w:left="320" w:top="490" w:right="499" w:bottom="1440" w:gutter="0" w:footer="0" w:header="0"/>
          <w:type w:val="continuous"/>
        </w:sectPr>
      </w:pPr>
    </w:p>
    <w:p>
      <w:pPr>
        <w:spacing w:after="0" w:line="12"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(State or other jurisdiction</w:t>
      </w:r>
    </w:p>
    <w:p>
      <w:pPr>
        <w:jc w:val="center"/>
        <w:ind w:right="2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(IRS Employer</w:t>
      </w:r>
    </w:p>
    <w:p>
      <w:pPr>
        <w:jc w:val="center"/>
        <w:ind w:right="13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500" w:space="720"/>
            <w:col w:w="2420"/>
          </w:cols>
          <w:pgMar w:left="320" w:top="490" w:right="499" w:bottom="1440" w:gutter="0" w:footer="0" w:header="0"/>
          <w:type w:val="continuous"/>
        </w:sectPr>
      </w:pP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(650) 825-6900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080"/>
          </w:cols>
          <w:pgMar w:left="320" w:top="490" w:right="499" w:bottom="1440" w:gutter="0" w:footer="0" w:header="0"/>
          <w:type w:val="continuous"/>
        </w:sectPr>
      </w:pPr>
    </w:p>
    <w:p>
      <w:pPr>
        <w:spacing w:after="0" w:line="99"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460" w:hanging="44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8" w:lineRule="exact"/>
        <w:rPr>
          <w:rFonts w:ascii="MS PGothic" w:cs="MS PGothic" w:eastAsia="MS PGothic" w:hAnsi="MS PGothic"/>
          <w:sz w:val="18"/>
          <w:szCs w:val="18"/>
          <w:color w:val="auto"/>
        </w:rPr>
      </w:pPr>
    </w:p>
    <w:p>
      <w:pPr>
        <w:ind w:left="460" w:hanging="44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4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580" w:firstLine="18"/>
        <w:spacing w:after="0" w:line="378" w:lineRule="auto"/>
        <w:tabs>
          <w:tab w:leader="none" w:pos="45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0" w:type="dxa"/>
        <w:tblCellMar>
          <w:top w:w="0" w:type="dxa"/>
          <w:left w:w="0" w:type="dxa"/>
          <w:bottom w:w="0" w:type="dxa"/>
          <w:right w:w="0" w:type="dxa"/>
        </w:tblCellMar>
      </w:tblPr>
      <w:tr>
        <w:trPr>
          <w:trHeight w:val="150"/>
        </w:trPr>
        <w:tc>
          <w:tcPr>
            <w:tcW w:w="418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260" w:type="dxa"/>
            <w:vAlign w:val="bottom"/>
          </w:tcPr>
          <w:p>
            <w:pPr>
              <w:jc w:val="center"/>
              <w:ind w:right="2"/>
              <w:spacing w:after="0" w:line="150" w:lineRule="exact"/>
              <w:rPr>
                <w:sz w:val="20"/>
                <w:szCs w:val="20"/>
                <w:color w:val="auto"/>
              </w:rPr>
            </w:pPr>
            <w:r>
              <w:rPr>
                <w:rFonts w:ascii="Arial" w:cs="Arial" w:eastAsia="Arial" w:hAnsi="Arial"/>
                <w:sz w:val="14"/>
                <w:szCs w:val="14"/>
                <w:b w:val="1"/>
                <w:bCs w:val="1"/>
                <w:color w:val="auto"/>
                <w:w w:val="97"/>
              </w:rPr>
              <w:t>Trading</w:t>
            </w:r>
          </w:p>
        </w:tc>
        <w:tc>
          <w:tcPr>
            <w:tcW w:w="3480" w:type="dxa"/>
            <w:vAlign w:val="bottom"/>
          </w:tcPr>
          <w:p>
            <w:pPr>
              <w:jc w:val="center"/>
              <w:ind w:left="802"/>
              <w:spacing w:after="0" w:line="150" w:lineRule="exact"/>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2260" w:type="dxa"/>
            <w:vAlign w:val="bottom"/>
          </w:tcPr>
          <w:p>
            <w:pPr>
              <w:jc w:val="center"/>
              <w:ind w:right="2"/>
              <w:spacing w:after="0" w:line="153" w:lineRule="exact"/>
              <w:rPr>
                <w:sz w:val="20"/>
                <w:szCs w:val="20"/>
                <w:color w:val="auto"/>
              </w:rPr>
            </w:pPr>
            <w:r>
              <w:rPr>
                <w:rFonts w:ascii="Arial" w:cs="Arial" w:eastAsia="Arial" w:hAnsi="Arial"/>
                <w:sz w:val="14"/>
                <w:szCs w:val="14"/>
                <w:b w:val="1"/>
                <w:bCs w:val="1"/>
                <w:color w:val="auto"/>
                <w:w w:val="91"/>
              </w:rPr>
              <w:t>Symbol(s)</w:t>
            </w:r>
          </w:p>
        </w:tc>
        <w:tc>
          <w:tcPr>
            <w:tcW w:w="3480" w:type="dxa"/>
            <w:vAlign w:val="bottom"/>
          </w:tcPr>
          <w:p>
            <w:pPr>
              <w:jc w:val="center"/>
              <w:ind w:left="802"/>
              <w:spacing w:after="0" w:line="153"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4180" w:type="dxa"/>
            <w:vAlign w:val="bottom"/>
          </w:tcPr>
          <w:p>
            <w:pPr>
              <w:jc w:val="center"/>
              <w:ind w:right="699"/>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2260" w:type="dxa"/>
            <w:vAlign w:val="bottom"/>
          </w:tcPr>
          <w:p>
            <w:pPr>
              <w:jc w:val="center"/>
              <w:ind w:right="2"/>
              <w:spacing w:after="0"/>
              <w:rPr>
                <w:sz w:val="20"/>
                <w:szCs w:val="20"/>
                <w:color w:val="auto"/>
              </w:rPr>
            </w:pPr>
            <w:r>
              <w:rPr>
                <w:rFonts w:ascii="Arial" w:cs="Arial" w:eastAsia="Arial" w:hAnsi="Arial"/>
                <w:sz w:val="18"/>
                <w:szCs w:val="18"/>
                <w:b w:val="1"/>
                <w:bCs w:val="1"/>
                <w:color w:val="auto"/>
              </w:rPr>
              <w:t>TNYA</w:t>
            </w:r>
          </w:p>
        </w:tc>
        <w:tc>
          <w:tcPr>
            <w:tcW w:w="3480" w:type="dxa"/>
            <w:vAlign w:val="bottom"/>
          </w:tcPr>
          <w:p>
            <w:pPr>
              <w:jc w:val="center"/>
              <w:ind w:left="802"/>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9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November 10, 2021, Tenaya Therapeutics, Inc. (the “Company”) issued a press release announcing its financial results for the third quarter ended September 30, 2021. The full text of the press release is attached hereto as Exhibit 99.1 and is incorporated herein by reference.</w:t>
      </w:r>
    </w:p>
    <w:p>
      <w:pPr>
        <w:spacing w:after="0" w:line="14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Arial" w:cs="Arial" w:eastAsia="Arial" w:hAnsi="Arial"/>
                <w:sz w:val="14"/>
                <w:szCs w:val="14"/>
                <w:color w:val="auto"/>
              </w:rPr>
              <w:t>Exhibit</w:t>
            </w:r>
          </w:p>
        </w:tc>
        <w:tc>
          <w:tcPr>
            <w:tcW w:w="5100" w:type="dxa"/>
            <w:vAlign w:val="bottom"/>
          </w:tcPr>
          <w:p>
            <w:pPr>
              <w:spacing w:after="0"/>
              <w:rPr>
                <w:sz w:val="14"/>
                <w:szCs w:val="14"/>
                <w:color w:val="auto"/>
              </w:rPr>
            </w:pPr>
          </w:p>
        </w:tc>
        <w:tc>
          <w:tcPr>
            <w:tcW w:w="5000" w:type="dxa"/>
            <w:vAlign w:val="bottom"/>
          </w:tcPr>
          <w:p>
            <w:pPr>
              <w:spacing w:after="0"/>
              <w:rPr>
                <w:sz w:val="14"/>
                <w:szCs w:val="14"/>
                <w:color w:val="auto"/>
              </w:rPr>
            </w:pPr>
          </w:p>
        </w:tc>
      </w:tr>
      <w:tr>
        <w:trPr>
          <w:trHeight w:val="182"/>
        </w:trPr>
        <w:tc>
          <w:tcPr>
            <w:tcW w:w="1140" w:type="dxa"/>
            <w:vAlign w:val="bottom"/>
          </w:tcPr>
          <w:p>
            <w:pPr>
              <w:jc w:val="center"/>
              <w:ind w:right="139"/>
              <w:spacing w:after="0"/>
              <w:rPr>
                <w:sz w:val="20"/>
                <w:szCs w:val="20"/>
                <w:color w:val="auto"/>
              </w:rPr>
            </w:pPr>
            <w:r>
              <w:rPr>
                <w:rFonts w:ascii="Arial" w:cs="Arial" w:eastAsia="Arial" w:hAnsi="Arial"/>
                <w:sz w:val="14"/>
                <w:szCs w:val="14"/>
                <w:color w:val="auto"/>
                <w:w w:val="91"/>
              </w:rPr>
              <w:t>No.</w:t>
            </w:r>
          </w:p>
        </w:tc>
        <w:tc>
          <w:tcPr>
            <w:tcW w:w="101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82"/>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510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of Tenaya Therapeutics, Inc., dated November 10, 2021.</w:t>
              </w:r>
            </w:hyperlink>
          </w:p>
        </w:tc>
        <w:tc>
          <w:tcPr>
            <w:tcW w:w="5000" w:type="dxa"/>
            <w:vAlign w:val="bottom"/>
          </w:tcPr>
          <w:p>
            <w:pPr>
              <w:spacing w:after="0"/>
              <w:rPr>
                <w:sz w:val="24"/>
                <w:szCs w:val="24"/>
                <w:color w:val="auto"/>
              </w:rPr>
            </w:pPr>
          </w:p>
        </w:tc>
      </w:tr>
      <w:tr>
        <w:trPr>
          <w:trHeight w:val="237"/>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63"/>
        </w:trPr>
        <w:tc>
          <w:tcPr>
            <w:tcW w:w="1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TENAYA THERAPEUTICS, INC.</w:t>
      </w:r>
    </w:p>
    <w:p>
      <w:pPr>
        <w:spacing w:after="0" w:line="27"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Leone D. Patterson, M.B.A.</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and Business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ectPr>
          <w:pgSz w:w="11900" w:h="16838" w:orient="portrait"/>
          <w:cols w:equalWidth="0" w:num="1">
            <w:col w:w="11200"/>
          </w:cols>
          <w:pgMar w:left="320" w:top="55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17145</wp:posOffset>
            </wp:positionV>
            <wp:extent cx="2357120" cy="1234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Tenaya Therapeutics Reports Third Quarter 2021 Financial Results and Provides Business Updates</w:t>
      </w:r>
    </w:p>
    <w:p>
      <w:pPr>
        <w:spacing w:after="0" w:line="226" w:lineRule="exact"/>
        <w:rPr>
          <w:sz w:val="20"/>
          <w:szCs w:val="20"/>
          <w:color w:val="auto"/>
        </w:rPr>
      </w:pPr>
    </w:p>
    <w:p>
      <w:pPr>
        <w:ind w:left="960" w:hanging="340"/>
        <w:spacing w:after="0"/>
        <w:tabs>
          <w:tab w:leader="none" w:pos="96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Initiated global natural history study for pediatric patients with MYBPC3 mutation to support clinical development of</w:t>
      </w:r>
    </w:p>
    <w:p>
      <w:pPr>
        <w:spacing w:after="0" w:line="42" w:lineRule="exact"/>
        <w:rPr>
          <w:rFonts w:ascii="Arial" w:cs="Arial" w:eastAsia="Arial" w:hAnsi="Arial"/>
          <w:sz w:val="19"/>
          <w:szCs w:val="19"/>
          <w:color w:val="auto"/>
        </w:rPr>
      </w:pPr>
    </w:p>
    <w:p>
      <w:pPr>
        <w:ind w:left="5140"/>
        <w:spacing w:after="0" w:line="230" w:lineRule="auto"/>
        <w:rPr>
          <w:rFonts w:ascii="Arial" w:cs="Arial" w:eastAsia="Arial" w:hAnsi="Arial"/>
          <w:sz w:val="19"/>
          <w:szCs w:val="19"/>
          <w:color w:val="auto"/>
        </w:rPr>
      </w:pPr>
      <w:r>
        <w:rPr>
          <w:rFonts w:ascii="Arial" w:cs="Arial" w:eastAsia="Arial" w:hAnsi="Arial"/>
          <w:sz w:val="22"/>
          <w:szCs w:val="22"/>
          <w:i w:val="1"/>
          <w:iCs w:val="1"/>
          <w:color w:val="auto"/>
        </w:rPr>
        <w:t>TN-201 gene therapy</w:t>
      </w:r>
    </w:p>
    <w:p>
      <w:pPr>
        <w:ind w:left="920" w:hanging="300"/>
        <w:spacing w:after="0"/>
        <w:tabs>
          <w:tab w:leader="none" w:pos="9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Presented preclinical data supporting both TN-201 and PKP2 gene therapy programs at the European Society of Gene</w:t>
      </w:r>
    </w:p>
    <w:p>
      <w:pPr>
        <w:spacing w:after="0" w:line="25" w:lineRule="exact"/>
        <w:rPr>
          <w:sz w:val="20"/>
          <w:szCs w:val="20"/>
          <w:color w:val="auto"/>
        </w:rPr>
      </w:pPr>
    </w:p>
    <w:p>
      <w:pPr>
        <w:jc w:val="center"/>
        <w:ind w:left="1180" w:right="220"/>
        <w:spacing w:after="0" w:line="230" w:lineRule="auto"/>
        <w:rPr>
          <w:sz w:val="20"/>
          <w:szCs w:val="20"/>
          <w:color w:val="auto"/>
        </w:rPr>
      </w:pPr>
      <w:r>
        <w:rPr>
          <w:rFonts w:ascii="Arial" w:cs="Arial" w:eastAsia="Arial" w:hAnsi="Arial"/>
          <w:sz w:val="22"/>
          <w:szCs w:val="22"/>
          <w:i w:val="1"/>
          <w:iCs w:val="1"/>
          <w:color w:val="auto"/>
        </w:rPr>
        <w:t>and Cell Therapy conference demonstrating significant and durable disease reversal and survival in severe murine models of disease</w:t>
      </w:r>
    </w:p>
    <w:p>
      <w:pPr>
        <w:spacing w:after="0" w:line="1" w:lineRule="exact"/>
        <w:rPr>
          <w:sz w:val="20"/>
          <w:szCs w:val="20"/>
          <w:color w:val="auto"/>
        </w:rPr>
      </w:pPr>
    </w:p>
    <w:p>
      <w:pPr>
        <w:ind w:left="1780" w:hanging="1160"/>
        <w:spacing w:after="0"/>
        <w:tabs>
          <w:tab w:leader="none" w:pos="178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Initiated cGMP manufacturing to support the IND filing for TYA-11631 small molecule for HFpEF</w:t>
      </w:r>
    </w:p>
    <w:p>
      <w:pPr>
        <w:spacing w:after="0" w:line="202"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SOUTH SAN FRANCISCO, Calif. – (BUSINESS WIRE) –November 10, 2021-- Tenaya Therapeutics, Inc. (NASDAQ: TNYA), a biotechnology company with a mission to discover, develop and deliver curative therapies that address the underlying causes of heart disease, today reported business and program updates and third quarter 2021 financial results.</w:t>
      </w:r>
    </w:p>
    <w:p>
      <w:pPr>
        <w:spacing w:after="0" w:line="147"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 xml:space="preserve">“The third quarter of 2021 was a significant marker in Tenaya’s history with the successful completion of our IPO, and it also represented a period of growth for the company as we continued to make progress on our key pipeline programs and operations,” said Faraz Ali, CEO of Tenaya. “We are pleased to announce the initiation of our global natural history study for pediatric patients with </w:t>
      </w:r>
      <w:r>
        <w:rPr>
          <w:rFonts w:ascii="Arial" w:cs="Arial" w:eastAsia="Arial" w:hAnsi="Arial"/>
          <w:sz w:val="19"/>
          <w:szCs w:val="19"/>
          <w:i w:val="1"/>
          <w:iCs w:val="1"/>
          <w:color w:val="auto"/>
        </w:rPr>
        <w:t>MYBPC3</w:t>
      </w:r>
      <w:r>
        <w:rPr>
          <w:rFonts w:ascii="Arial" w:cs="Arial" w:eastAsia="Arial" w:hAnsi="Arial"/>
          <w:sz w:val="19"/>
          <w:szCs w:val="19"/>
          <w:color w:val="auto"/>
        </w:rPr>
        <w:t xml:space="preserve"> mutations, as this supports our TN-201 gene therapy program as well as our evolution towards becoming a clinical-stage company. The initiation of cGMP manufacturing for TYA-11631 is an important operational milestone and another step in the direction of our vision for modality-agnostic drug discovery. The first-ever presentation of data supporting our </w:t>
      </w:r>
      <w:r>
        <w:rPr>
          <w:rFonts w:ascii="Arial" w:cs="Arial" w:eastAsia="Arial" w:hAnsi="Arial"/>
          <w:sz w:val="19"/>
          <w:szCs w:val="19"/>
          <w:i w:val="1"/>
          <w:iCs w:val="1"/>
          <w:color w:val="auto"/>
        </w:rPr>
        <w:t xml:space="preserve">PKP2 </w:t>
      </w:r>
      <w:r>
        <w:rPr>
          <w:rFonts w:ascii="Arial" w:cs="Arial" w:eastAsia="Arial" w:hAnsi="Arial"/>
          <w:sz w:val="19"/>
          <w:szCs w:val="19"/>
          <w:color w:val="auto"/>
        </w:rPr>
        <w:t>gene therapy program at an important scientific conference provides new hope for individuals and families fighting the</w:t>
      </w:r>
      <w:r>
        <w:rPr>
          <w:rFonts w:ascii="Arial" w:cs="Arial" w:eastAsia="Arial" w:hAnsi="Arial"/>
          <w:sz w:val="19"/>
          <w:szCs w:val="19"/>
          <w:i w:val="1"/>
          <w:iCs w:val="1"/>
          <w:color w:val="auto"/>
        </w:rPr>
        <w:t xml:space="preserve"> </w:t>
      </w:r>
      <w:r>
        <w:rPr>
          <w:rFonts w:ascii="Arial" w:cs="Arial" w:eastAsia="Arial" w:hAnsi="Arial"/>
          <w:sz w:val="19"/>
          <w:szCs w:val="19"/>
          <w:color w:val="auto"/>
        </w:rPr>
        <w:t>leading genetic cause of Arrhythmogenic Right Ventricular Cardiomyopathy, a severe disease with high unmet need.”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Program Updates</w:t>
      </w:r>
    </w:p>
    <w:p>
      <w:pPr>
        <w:spacing w:after="0" w:line="220"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22"/>
          <w:szCs w:val="22"/>
          <w:b w:val="1"/>
          <w:bCs w:val="1"/>
          <w:color w:val="auto"/>
        </w:rPr>
        <w:t xml:space="preserve">TN-201 – </w:t>
      </w:r>
      <w:r>
        <w:rPr>
          <w:rFonts w:ascii="Arial" w:cs="Arial" w:eastAsia="Arial" w:hAnsi="Arial"/>
          <w:sz w:val="22"/>
          <w:szCs w:val="22"/>
          <w:b w:val="1"/>
          <w:bCs w:val="1"/>
          <w:i w:val="1"/>
          <w:iCs w:val="1"/>
          <w:color w:val="auto"/>
        </w:rPr>
        <w:t>MYBPC3</w:t>
      </w:r>
      <w:r>
        <w:rPr>
          <w:rFonts w:ascii="Arial" w:cs="Arial" w:eastAsia="Arial" w:hAnsi="Arial"/>
          <w:sz w:val="22"/>
          <w:szCs w:val="22"/>
          <w:b w:val="1"/>
          <w:bCs w:val="1"/>
          <w:color w:val="auto"/>
        </w:rPr>
        <w:t xml:space="preserve"> Gene Therapy Program for Genetic HCM (gHCM):</w:t>
      </w:r>
    </w:p>
    <w:p>
      <w:pPr>
        <w:spacing w:after="0" w:line="14" w:lineRule="exact"/>
        <w:rPr>
          <w:rFonts w:ascii="Arial" w:cs="Arial" w:eastAsia="Arial" w:hAnsi="Arial"/>
          <w:sz w:val="18"/>
          <w:szCs w:val="18"/>
          <w:color w:val="auto"/>
        </w:rPr>
      </w:pPr>
    </w:p>
    <w:p>
      <w:pPr>
        <w:ind w:left="1740" w:right="200" w:hanging="436"/>
        <w:spacing w:after="0" w:line="233" w:lineRule="auto"/>
        <w:tabs>
          <w:tab w:leader="none" w:pos="1740" w:val="left"/>
        </w:tabs>
        <w:numPr>
          <w:ilvl w:val="1"/>
          <w:numId w:val="4"/>
        </w:numPr>
        <w:rPr>
          <w:rFonts w:ascii="Arial" w:cs="Arial" w:eastAsia="Arial" w:hAnsi="Arial"/>
          <w:sz w:val="18"/>
          <w:szCs w:val="18"/>
          <w:color w:val="auto"/>
        </w:rPr>
      </w:pPr>
      <w:r>
        <w:rPr>
          <w:rFonts w:ascii="Arial" w:cs="Arial" w:eastAsia="Arial" w:hAnsi="Arial"/>
          <w:sz w:val="22"/>
          <w:szCs w:val="22"/>
          <w:color w:val="auto"/>
        </w:rPr>
        <w:t xml:space="preserve">Pre-clinical data on the treatment in a severe </w:t>
      </w:r>
      <w:r>
        <w:rPr>
          <w:rFonts w:ascii="Arial" w:cs="Arial" w:eastAsia="Arial" w:hAnsi="Arial"/>
          <w:sz w:val="22"/>
          <w:szCs w:val="22"/>
          <w:i w:val="1"/>
          <w:iCs w:val="1"/>
          <w:color w:val="auto"/>
        </w:rPr>
        <w:t>MYBPC3</w:t>
      </w:r>
      <w:r>
        <w:rPr>
          <w:rFonts w:ascii="Arial" w:cs="Arial" w:eastAsia="Arial" w:hAnsi="Arial"/>
          <w:sz w:val="22"/>
          <w:szCs w:val="22"/>
          <w:color w:val="auto"/>
        </w:rPr>
        <w:t xml:space="preserve"> mutant mouse model of gHCM with TN-201 demonstrating extended survival to 18 months after a single dose and continued improvement in functional measures was presented at the annual meeting of the European Society of Gene and Cell Therapy (ESGCT) in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740" w:right="40" w:hanging="436"/>
        <w:spacing w:after="0" w:line="271" w:lineRule="auto"/>
        <w:tabs>
          <w:tab w:leader="none" w:pos="1740" w:val="left"/>
        </w:tabs>
        <w:numPr>
          <w:ilvl w:val="1"/>
          <w:numId w:val="5"/>
        </w:numPr>
        <w:rPr>
          <w:rFonts w:ascii="Arial" w:cs="Arial" w:eastAsia="Arial" w:hAnsi="Arial"/>
          <w:sz w:val="16"/>
          <w:szCs w:val="16"/>
          <w:color w:val="auto"/>
        </w:rPr>
      </w:pPr>
      <w:r>
        <w:rPr>
          <w:rFonts w:ascii="Arial" w:cs="Arial" w:eastAsia="Arial" w:hAnsi="Arial"/>
          <w:sz w:val="19"/>
          <w:szCs w:val="19"/>
          <w:color w:val="auto"/>
        </w:rPr>
        <w:t xml:space="preserve">Tenaya has initiated a global natural history study to improve our understanding of disease progression and unmet need in individuals carrying mutations in the </w:t>
      </w:r>
      <w:r>
        <w:rPr>
          <w:rFonts w:ascii="Arial" w:cs="Arial" w:eastAsia="Arial" w:hAnsi="Arial"/>
          <w:sz w:val="19"/>
          <w:szCs w:val="19"/>
          <w:i w:val="1"/>
          <w:iCs w:val="1"/>
          <w:color w:val="auto"/>
        </w:rPr>
        <w:t>MYBPC3</w:t>
      </w:r>
      <w:r>
        <w:rPr>
          <w:rFonts w:ascii="Arial" w:cs="Arial" w:eastAsia="Arial" w:hAnsi="Arial"/>
          <w:sz w:val="19"/>
          <w:szCs w:val="19"/>
          <w:color w:val="auto"/>
        </w:rPr>
        <w:t xml:space="preserve"> gene, with an initial focus on pediatric patients under the age of 18. For additional information about the natural history study, please visit </w:t>
      </w:r>
      <w:r>
        <w:rPr>
          <w:rFonts w:ascii="Arial" w:cs="Arial" w:eastAsia="Arial" w:hAnsi="Arial"/>
          <w:sz w:val="19"/>
          <w:szCs w:val="19"/>
          <w:u w:val="single" w:color="auto"/>
          <w:color w:val="auto"/>
        </w:rPr>
        <w:t>www.clinicaltrials.gov</w:t>
      </w:r>
      <w:r>
        <w:rPr>
          <w:rFonts w:ascii="Arial" w:cs="Arial" w:eastAsia="Arial" w:hAnsi="Arial"/>
          <w:sz w:val="19"/>
          <w:szCs w:val="19"/>
          <w:color w:val="auto"/>
        </w:rPr>
        <w:t xml:space="preserve"> using Identifier NCT05112237. These efforts may support the evaluation of Tenaya’s TN-201 gene therapy product candidate in this patient population during clinical development.</w:t>
      </w:r>
    </w:p>
    <w:p>
      <w:pPr>
        <w:ind w:left="1740" w:right="100" w:hanging="436"/>
        <w:spacing w:after="0" w:line="230" w:lineRule="auto"/>
        <w:tabs>
          <w:tab w:leader="none" w:pos="1740" w:val="left"/>
        </w:tabs>
        <w:numPr>
          <w:ilvl w:val="1"/>
          <w:numId w:val="5"/>
        </w:numPr>
        <w:rPr>
          <w:rFonts w:ascii="Arial" w:cs="Arial" w:eastAsia="Arial" w:hAnsi="Arial"/>
          <w:sz w:val="18"/>
          <w:szCs w:val="18"/>
          <w:color w:val="auto"/>
        </w:rPr>
      </w:pPr>
      <w:r>
        <w:rPr>
          <w:rFonts w:ascii="Arial" w:cs="Arial" w:eastAsia="Arial" w:hAnsi="Arial"/>
          <w:sz w:val="22"/>
          <w:szCs w:val="22"/>
          <w:color w:val="auto"/>
        </w:rPr>
        <w:t>Tenaya has initiated IND-enabling activities and intends to submit an investigational new drug (IND) application or clinical trial application (CTA) to the U.S. Food and Drug Administration (FDA) or European Medicine Agency (EMA), respectively, in 2022.</w:t>
      </w:r>
    </w:p>
    <w:p>
      <w:pPr>
        <w:spacing w:after="0" w:line="1" w:lineRule="exact"/>
        <w:rPr>
          <w:rFonts w:ascii="Arial" w:cs="Arial" w:eastAsia="Arial" w:hAnsi="Arial"/>
          <w:sz w:val="18"/>
          <w:szCs w:val="18"/>
          <w:color w:val="auto"/>
        </w:rPr>
      </w:pPr>
    </w:p>
    <w:p>
      <w:pPr>
        <w:ind w:left="880" w:right="220" w:hanging="440"/>
        <w:spacing w:after="0" w:line="230" w:lineRule="auto"/>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TYA-11631 – HDAC6 Inhibitor (HDAC6i) Small Molecule for Heart Failure with Preserved Ejection Fraction (HFpEF)</w:t>
      </w:r>
    </w:p>
    <w:p>
      <w:pPr>
        <w:spacing w:after="0" w:line="1" w:lineRule="exact"/>
        <w:rPr>
          <w:rFonts w:ascii="Arial" w:cs="Arial" w:eastAsia="Arial" w:hAnsi="Arial"/>
          <w:sz w:val="22"/>
          <w:szCs w:val="22"/>
          <w:color w:val="auto"/>
        </w:rPr>
      </w:pPr>
    </w:p>
    <w:p>
      <w:pPr>
        <w:ind w:left="1740" w:right="40" w:hanging="436"/>
        <w:spacing w:after="0" w:line="230" w:lineRule="auto"/>
        <w:tabs>
          <w:tab w:leader="none" w:pos="1740" w:val="left"/>
        </w:tabs>
        <w:numPr>
          <w:ilvl w:val="1"/>
          <w:numId w:val="5"/>
        </w:numPr>
        <w:rPr>
          <w:rFonts w:ascii="Arial" w:cs="Arial" w:eastAsia="Arial" w:hAnsi="Arial"/>
          <w:sz w:val="18"/>
          <w:szCs w:val="18"/>
          <w:color w:val="auto"/>
        </w:rPr>
      </w:pPr>
      <w:r>
        <w:rPr>
          <w:rFonts w:ascii="Arial" w:cs="Arial" w:eastAsia="Arial" w:hAnsi="Arial"/>
          <w:sz w:val="22"/>
          <w:szCs w:val="22"/>
          <w:color w:val="auto"/>
        </w:rPr>
        <w:t>Tenaya has initiated cGMP manufacturing activities to support the production of TYA-11631 at larger scales. Tenaya had previously announced initiation of IND-enabling activities and intends to submit an IND to the FDA in 2022.</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PKP2 </w:t>
      </w:r>
      <w:r>
        <w:rPr>
          <w:rFonts w:ascii="Arial" w:cs="Arial" w:eastAsia="Arial" w:hAnsi="Arial"/>
          <w:sz w:val="21"/>
          <w:szCs w:val="21"/>
          <w:b w:val="1"/>
          <w:bCs w:val="1"/>
          <w:color w:val="auto"/>
        </w:rPr>
        <w:t>Gene Therapy Program for Genetic Arrhythmogenic Right Ventricular Cardiomyopathy (ARVC)</w:t>
      </w:r>
    </w:p>
    <w:p>
      <w:pPr>
        <w:spacing w:after="0" w:line="1" w:lineRule="exact"/>
        <w:rPr>
          <w:rFonts w:ascii="Arial" w:cs="Arial" w:eastAsia="Arial" w:hAnsi="Arial"/>
          <w:sz w:val="21"/>
          <w:szCs w:val="21"/>
          <w:color w:val="auto"/>
        </w:rPr>
      </w:pPr>
    </w:p>
    <w:p>
      <w:pPr>
        <w:ind w:left="1740" w:right="180" w:hanging="436"/>
        <w:spacing w:after="0" w:line="230" w:lineRule="auto"/>
        <w:tabs>
          <w:tab w:leader="none" w:pos="1740" w:val="left"/>
        </w:tabs>
        <w:numPr>
          <w:ilvl w:val="1"/>
          <w:numId w:val="5"/>
        </w:numPr>
        <w:rPr>
          <w:rFonts w:ascii="Arial" w:cs="Arial" w:eastAsia="Arial" w:hAnsi="Arial"/>
          <w:sz w:val="18"/>
          <w:szCs w:val="18"/>
          <w:color w:val="auto"/>
        </w:rPr>
      </w:pPr>
      <w:r>
        <w:rPr>
          <w:rFonts w:ascii="Arial" w:cs="Arial" w:eastAsia="Arial" w:hAnsi="Arial"/>
          <w:sz w:val="22"/>
          <w:szCs w:val="22"/>
          <w:color w:val="auto"/>
        </w:rPr>
        <w:t xml:space="preserve">Pre-clinical data on the treatment of a severe mouse model of ARVC due to </w:t>
      </w:r>
      <w:r>
        <w:rPr>
          <w:rFonts w:ascii="Arial" w:cs="Arial" w:eastAsia="Arial" w:hAnsi="Arial"/>
          <w:sz w:val="22"/>
          <w:szCs w:val="22"/>
          <w:i w:val="1"/>
          <w:iCs w:val="1"/>
          <w:color w:val="auto"/>
        </w:rPr>
        <w:t>PKP2</w:t>
      </w:r>
      <w:r>
        <w:rPr>
          <w:rFonts w:ascii="Arial" w:cs="Arial" w:eastAsia="Arial" w:hAnsi="Arial"/>
          <w:sz w:val="22"/>
          <w:szCs w:val="22"/>
          <w:color w:val="auto"/>
        </w:rPr>
        <w:t xml:space="preserve"> gene mutations with Tenaya’s gene therapy product construct demonstrated prevention of symptoms and continued, significant improvement in functional measures and survival benefit at 15 weeks after a single dose as presented in a poster at ESGCT. Mutations due to the </w:t>
      </w:r>
      <w:r>
        <w:rPr>
          <w:rFonts w:ascii="Arial" w:cs="Arial" w:eastAsia="Arial" w:hAnsi="Arial"/>
          <w:sz w:val="22"/>
          <w:szCs w:val="22"/>
          <w:i w:val="1"/>
          <w:iCs w:val="1"/>
          <w:color w:val="auto"/>
        </w:rPr>
        <w:t>PKP2</w:t>
      </w:r>
      <w:r>
        <w:rPr>
          <w:rFonts w:ascii="Arial" w:cs="Arial" w:eastAsia="Arial" w:hAnsi="Arial"/>
          <w:sz w:val="22"/>
          <w:szCs w:val="22"/>
          <w:color w:val="auto"/>
        </w:rPr>
        <w:t xml:space="preserve"> gene are the leading genetic cause of ARVC, a severe disease estimated to effect more than 70,000 patients in the US alone and with no approved disease-specific therapies.</w:t>
      </w:r>
    </w:p>
    <w:p>
      <w:pPr>
        <w:spacing w:after="0" w:line="3" w:lineRule="exact"/>
        <w:rPr>
          <w:rFonts w:ascii="Arial" w:cs="Arial" w:eastAsia="Arial" w:hAnsi="Arial"/>
          <w:sz w:val="18"/>
          <w:szCs w:val="18"/>
          <w:color w:val="auto"/>
        </w:rPr>
      </w:pPr>
    </w:p>
    <w:p>
      <w:pPr>
        <w:ind w:left="880" w:hanging="440"/>
        <w:spacing w:after="0" w:line="23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22"/>
          <w:szCs w:val="22"/>
          <w:b w:val="1"/>
          <w:bCs w:val="1"/>
          <w:color w:val="auto"/>
        </w:rPr>
        <w:t xml:space="preserve">Strong balance sheet </w:t>
      </w:r>
      <w:r>
        <w:rPr>
          <w:rFonts w:ascii="Arial" w:cs="Arial" w:eastAsia="Arial" w:hAnsi="Arial"/>
          <w:sz w:val="22"/>
          <w:szCs w:val="22"/>
          <w:color w:val="auto"/>
        </w:rPr>
        <w:t>with net proceeds of $188.5 million from the sale of 13.8 million shares of its common stock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initial public offering (IPO), bringing cash, cash equivalents and investments in marketable securities to $280.5 million as of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2021 Financial Highlights</w:t>
      </w:r>
    </w:p>
    <w:p>
      <w:pPr>
        <w:spacing w:after="0" w:line="220" w:lineRule="exact"/>
        <w:rPr>
          <w:sz w:val="20"/>
          <w:szCs w:val="20"/>
          <w:color w:val="auto"/>
        </w:rPr>
      </w:pPr>
    </w:p>
    <w:p>
      <w:pPr>
        <w:ind w:left="880" w:right="60" w:hanging="440"/>
        <w:spacing w:after="0" w:line="236"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As of September 30, 2021, Tenaya had cash, cash equivalents and investments in marketable securities</w:t>
      </w:r>
      <w:r>
        <w:rPr>
          <w:rFonts w:ascii="Arial" w:cs="Arial" w:eastAsia="Arial" w:hAnsi="Arial"/>
          <w:sz w:val="22"/>
          <w:szCs w:val="22"/>
          <w:b w:val="1"/>
          <w:bCs w:val="1"/>
          <w:color w:val="auto"/>
        </w:rPr>
        <w:t xml:space="preserve"> </w:t>
      </w:r>
      <w:r>
        <w:rPr>
          <w:rFonts w:ascii="Arial" w:cs="Arial" w:eastAsia="Arial" w:hAnsi="Arial"/>
          <w:sz w:val="22"/>
          <w:szCs w:val="22"/>
          <w:color w:val="auto"/>
        </w:rPr>
        <w:t>of $280.5 million which included net proceeds from the Company’s IPO in August 2021. Tenaya expects its current cash, cash equivalents and investments in marketable securities will be sufficient to fund its current operating plan at least into the second half of 2023.</w:t>
      </w:r>
    </w:p>
    <w:p>
      <w:pPr>
        <w:spacing w:after="0" w:line="1" w:lineRule="exact"/>
        <w:rPr>
          <w:rFonts w:ascii="Arial" w:cs="Arial" w:eastAsia="Arial" w:hAnsi="Arial"/>
          <w:sz w:val="18"/>
          <w:szCs w:val="18"/>
          <w:color w:val="auto"/>
        </w:rPr>
      </w:pPr>
    </w:p>
    <w:p>
      <w:pPr>
        <w:ind w:left="880" w:right="240" w:hanging="440"/>
        <w:spacing w:after="0" w:line="266"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9"/>
          <w:szCs w:val="19"/>
          <w:b w:val="1"/>
          <w:bCs w:val="1"/>
          <w:color w:val="auto"/>
        </w:rPr>
        <w:t xml:space="preserve">Research &amp; Development (R&amp;D) Expenses: </w:t>
      </w:r>
      <w:r>
        <w:rPr>
          <w:rFonts w:ascii="Arial" w:cs="Arial" w:eastAsia="Arial" w:hAnsi="Arial"/>
          <w:sz w:val="19"/>
          <w:szCs w:val="19"/>
          <w:color w:val="auto"/>
        </w:rPr>
        <w:t>R&amp;D expenses were $12.9 million for the third quarter of 2021. Non-cash stock-based compensation included in R&amp;D expense was $0.3 million for the third quarter of 2021.</w:t>
      </w:r>
    </w:p>
    <w:p>
      <w:pPr>
        <w:spacing w:after="0" w:line="1" w:lineRule="exact"/>
        <w:rPr>
          <w:rFonts w:ascii="Arial" w:cs="Arial" w:eastAsia="Arial" w:hAnsi="Arial"/>
          <w:sz w:val="16"/>
          <w:szCs w:val="16"/>
          <w:color w:val="auto"/>
        </w:rPr>
      </w:pPr>
    </w:p>
    <w:p>
      <w:pPr>
        <w:ind w:left="880" w:right="240" w:hanging="440"/>
        <w:spacing w:after="0" w:line="266"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9"/>
          <w:szCs w:val="19"/>
          <w:b w:val="1"/>
          <w:bCs w:val="1"/>
          <w:color w:val="auto"/>
        </w:rPr>
        <w:t xml:space="preserve">General &amp; Administrative (G&amp;A) Expenses: </w:t>
      </w:r>
      <w:r>
        <w:rPr>
          <w:rFonts w:ascii="Arial" w:cs="Arial" w:eastAsia="Arial" w:hAnsi="Arial"/>
          <w:sz w:val="19"/>
          <w:szCs w:val="19"/>
          <w:color w:val="auto"/>
        </w:rPr>
        <w:t>G&amp;A expenses were $5.4 million for the third quarter of 2021. Non-cash stock-based compensation included in G&amp;A expense was $0.6 million for the third quarter of 2021.</w:t>
      </w:r>
    </w:p>
    <w:p>
      <w:pPr>
        <w:spacing w:after="0" w:line="1" w:lineRule="exact"/>
        <w:rPr>
          <w:rFonts w:ascii="Arial" w:cs="Arial" w:eastAsia="Arial" w:hAnsi="Arial"/>
          <w:sz w:val="16"/>
          <w:szCs w:val="16"/>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$18.3 million, or $0.68 on a per share basis, for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Tenaya Therapeutics</w:t>
      </w:r>
    </w:p>
    <w:p>
      <w:pPr>
        <w:spacing w:after="0" w:line="14"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 xml:space="preserve">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disorders as well as for more prevalent heart conditions through three distinct but interrelated product platforms: Gene Therapy, Cellular Regeneration and Precision Medicine. For more information, visit </w:t>
      </w:r>
      <w:r>
        <w:rPr>
          <w:rFonts w:ascii="Arial" w:cs="Arial" w:eastAsia="Arial" w:hAnsi="Arial"/>
          <w:sz w:val="19"/>
          <w:szCs w:val="19"/>
          <w:u w:val="single" w:color="auto"/>
          <w:color w:val="auto"/>
        </w:rPr>
        <w:t>www.tenayatherapeutics.com</w:t>
      </w:r>
      <w:r>
        <w:rPr>
          <w:rFonts w:ascii="Arial" w:cs="Arial" w:eastAsia="Arial" w:hAnsi="Arial"/>
          <w:sz w:val="19"/>
          <w:szCs w:val="19"/>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Such forward-looking statements include, among other things, statements regarding the potential of and expectations regarding Tenaya’s product candidates and programs, including TN-201 and TYA-11631; statements regarding the expected timing of IND and CTA submissions to the FDA or EMA, respectively, for Tenaya’s product candidates; statements regarding the sufficiency of Tenaya’s cash, cash equivalents and investments in marketable securities to fund its operating plan; and statements by Tenaya’s chief executive officer. Words such as “expects,” “intends,” “potential,” “utility,” and “will,” and similar expressions are intended to identify forward-looking statements. The forward-looking statements contained herein are based upon Tenaya’s current expectations and involve assumptions that may never materialize or may prove to be incorrect. Actual results could differ materially from those projected in any forward-looking statements due to numerous risks and uncertainties, including but not limited to: risks associated with the process of discovering, developing and commercializing drugs that are safe and effective for use as human therapeutics and operating as an early clinical stage company including the potential for Tenaya’s product candidates to cause serious adverse events; Tenaya’s ability to develop, initiate or complete preclinical studies and clinical trials for, obtain approvals for and commercialize any of its product candidates for heart failure patients or other patient populations; the timing, progress and results of preclinical studies and clinical trials for TN-201 and TYA-11631 and Tenaya’s other product candidates and programs; Tenaya’s ability to raise any additional funding it will need to continue to pursue its business and product development plans; negative impacts of the COVID-19 pandemic on Tenaya’s manufacturing and operations, including preclinical studies and clinical trials; the timing, scope and likelihood of regulatory filings and approvals; the potential for any clinical trial results to differ from preclinical, interim, preliminary, topline or expected results; Tenaya’s ability to develop a proprietary drug discovery platform to build a pipeline of product candidates; Tenaya’s manufacturing,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the forward-looking statements, or to update the reasons why actual results could differ from those projected in the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8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12,944</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8,480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33,440</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140"/>
              <w:spacing w:after="0"/>
              <w:rPr>
                <w:sz w:val="20"/>
                <w:szCs w:val="20"/>
                <w:color w:val="auto"/>
              </w:rPr>
            </w:pPr>
            <w:r>
              <w:rPr>
                <w:rFonts w:ascii="Arial" w:cs="Arial" w:eastAsia="Arial" w:hAnsi="Arial"/>
                <w:sz w:val="18"/>
                <w:szCs w:val="18"/>
                <w:color w:val="auto"/>
              </w:rPr>
              <w:t>Change in fair value of convertible preferred stock tranche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liability</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income tax expense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(46,570)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Unrealized loss on marketable securities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(18,285)</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(46,593)</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26,895,716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1,000,052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9,808,162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111"/>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117,077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Investments in marketable securities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163,388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284,822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129,964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non-current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331,794</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148,161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6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 (DEFICIT)</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6,171</w:t>
            </w:r>
          </w:p>
        </w:tc>
        <w:tc>
          <w:tcPr>
            <w:tcW w:w="30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Deferred rent and other lease liabilities, current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 current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and other lease liabilities, non-current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220,754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Notes receivable from stockholders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(129,382)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(82,812)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 (deficit)</w:t>
            </w:r>
          </w:p>
        </w:tc>
        <w:tc>
          <w:tcPr>
            <w:tcW w:w="9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303,699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6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9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331,794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Contacts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Leone Patterson</w:t>
      </w:r>
    </w:p>
    <w:p>
      <w:pPr>
        <w:spacing w:after="0" w:line="230" w:lineRule="auto"/>
        <w:rPr>
          <w:sz w:val="20"/>
          <w:szCs w:val="20"/>
          <w:color w:val="auto"/>
        </w:rPr>
      </w:pPr>
      <w:r>
        <w:rPr>
          <w:rFonts w:ascii="Arial" w:cs="Arial" w:eastAsia="Arial" w:hAnsi="Arial"/>
          <w:sz w:val="22"/>
          <w:szCs w:val="22"/>
          <w:color w:val="auto"/>
        </w:rPr>
        <w:t>Tenaya Therapeutics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IR@tenayathera.com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Kit Rodophele</w:t>
      </w:r>
    </w:p>
    <w:p>
      <w:pPr>
        <w:spacing w:after="0" w:line="230" w:lineRule="auto"/>
        <w:rPr>
          <w:sz w:val="20"/>
          <w:szCs w:val="20"/>
          <w:color w:val="auto"/>
        </w:rPr>
      </w:pPr>
      <w:r>
        <w:rPr>
          <w:rFonts w:ascii="Arial" w:cs="Arial" w:eastAsia="Arial" w:hAnsi="Arial"/>
          <w:sz w:val="22"/>
          <w:szCs w:val="22"/>
          <w:color w:val="auto"/>
        </w:rPr>
        <w:t>Ten Bridge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krodophele@tenbridgecommunications.com</w:t>
      </w:r>
    </w:p>
    <w:sectPr>
      <w:pgSz w:w="11900" w:h="16838" w:orient="portrait"/>
      <w:cols w:equalWidth="0" w:num="1">
        <w:col w:w="10139"/>
      </w:cols>
      <w:pgMar w:left="32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2021-11-10T15:42:09Z</dcterms:created>
  <dcterms:modified xsi:type="dcterms:W3CDTF">2021-11-10T15:42:09Z</dcterms:modified>
</cp:coreProperties>
</file>